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7048B3" w14:textId="77777777" w:rsidR="00526F25" w:rsidRPr="0000495C" w:rsidRDefault="00526F25" w:rsidP="00526F25">
      <w:pPr>
        <w:jc w:val="center"/>
        <w:rPr>
          <w:rFonts w:ascii="Arial" w:hAnsi="Arial" w:cs="Arial"/>
          <w:b/>
          <w:sz w:val="36"/>
          <w:szCs w:val="36"/>
        </w:rPr>
      </w:pPr>
      <w:r w:rsidRPr="0000495C">
        <w:rPr>
          <w:rFonts w:ascii="Arial" w:hAnsi="Arial" w:cs="Arial"/>
          <w:b/>
          <w:sz w:val="36"/>
          <w:szCs w:val="36"/>
        </w:rPr>
        <w:t>Chronic Relief: Parishioners and Poverty in Fifteenth- and Sixteenth-Century Reading</w:t>
      </w:r>
    </w:p>
    <w:p w14:paraId="5DA1C7C1" w14:textId="77777777" w:rsidR="00526F25" w:rsidRDefault="00526F25" w:rsidP="00526F25"/>
    <w:p w14:paraId="227910F4" w14:textId="399DAE1B" w:rsidR="00526F25" w:rsidRDefault="00526F25" w:rsidP="00526F25">
      <w:r>
        <w:t xml:space="preserve">The </w:t>
      </w:r>
      <w:r w:rsidR="00B06503">
        <w:t>endemic problem of</w:t>
      </w:r>
      <w:r>
        <w:t xml:space="preserve"> poverty, and the social problems surrounding it, are a common theme of fifteenth- and sixteenth-century social history. In the late fifteenth century royal government introduced new measures to tackle the problem of poverty and begging. The issue continued to hold the attention of government and, from the mid sixteenth century, their measures began to use the parish as the administrative unit for managing central government poor relief policy. Marjorie McIntosh has done much work on the changing role of parishes in poor relief, driven both by government legislation and the local concerns of residents. Her approach considers poor relief largely as an institution-led movement. Looking at grassroots involvement in poor relief offers a way of understanding how parishioners participated in this increasingly important parish activity.</w:t>
      </w:r>
    </w:p>
    <w:p w14:paraId="198C3251" w14:textId="77777777" w:rsidR="00526F25" w:rsidRDefault="00526F25" w:rsidP="00526F25"/>
    <w:p w14:paraId="32730074" w14:textId="77777777" w:rsidR="00526F25" w:rsidRPr="00B3422B" w:rsidRDefault="00526F25" w:rsidP="00526F25">
      <w:r w:rsidRPr="00B3422B">
        <w:t xml:space="preserve">This </w:t>
      </w:r>
      <w:r>
        <w:t>paper</w:t>
      </w:r>
      <w:r w:rsidRPr="00B3422B">
        <w:t xml:space="preserve"> uses testamentary evidence from the fifteenth and sixteenth centur</w:t>
      </w:r>
      <w:r>
        <w:t>ies</w:t>
      </w:r>
      <w:r w:rsidRPr="00B3422B">
        <w:t xml:space="preserve"> to </w:t>
      </w:r>
      <w:r>
        <w:t>investigate</w:t>
      </w:r>
      <w:r w:rsidRPr="00B3422B">
        <w:t xml:space="preserve"> how individuals engaged with poor relief. It explores how patterns changed across time in response to statutes on poor relief but also religious policy regarding acceptable forms of piety. </w:t>
      </w:r>
      <w:r>
        <w:t xml:space="preserve">The evidence reveals a number of features. </w:t>
      </w:r>
      <w:r w:rsidRPr="00B3422B">
        <w:t xml:space="preserve">Firstly, poor relief was practised by parishioners long before it became a statutory duty of parishes, taking a bottom-up form from active parishioners rather than an institution-led form. Secondly, pre-Reformation poor relief in wills was more common among less wealthy parishioners but during the Reformation wealthier testators </w:t>
      </w:r>
      <w:r>
        <w:t>made</w:t>
      </w:r>
      <w:r w:rsidRPr="00B3422B">
        <w:t xml:space="preserve"> provision in increasing numbers. Thirdly, as provision for intercession decline</w:t>
      </w:r>
      <w:r>
        <w:t>d</w:t>
      </w:r>
      <w:r w:rsidRPr="00B3422B">
        <w:t>, that of poor relief increase</w:t>
      </w:r>
      <w:r>
        <w:t>d</w:t>
      </w:r>
      <w:r w:rsidRPr="00B3422B">
        <w:t xml:space="preserve">. Fourthly, poor relief was not simply a case of the wealthiest in society supporting the poorest. In fact, where poverty was greatest in Reading, </w:t>
      </w:r>
      <w:r>
        <w:t xml:space="preserve">much support came from the less wealthy parishioners rather than </w:t>
      </w:r>
      <w:r w:rsidRPr="00B3422B">
        <w:t>the social elite.</w:t>
      </w:r>
    </w:p>
    <w:p w14:paraId="48880259" w14:textId="43FAAF2B" w:rsidR="00B003A4" w:rsidRDefault="003D2361" w:rsidP="00526F25"/>
    <w:p w14:paraId="031EDCE4" w14:textId="520CC941" w:rsidR="003D2361" w:rsidRDefault="003D2361" w:rsidP="00526F25"/>
    <w:p w14:paraId="219346A7" w14:textId="77777777" w:rsidR="003D2361" w:rsidRDefault="003D2361" w:rsidP="003D2361">
      <w:pPr>
        <w:rPr>
          <w:rFonts w:ascii="Arial" w:hAnsi="Arial" w:cs="Arial"/>
        </w:rPr>
      </w:pPr>
      <w:r>
        <w:rPr>
          <w:rFonts w:ascii="Arial" w:hAnsi="Arial" w:cs="Arial"/>
        </w:rPr>
        <w:t>Joe Chick</w:t>
      </w:r>
      <w:r w:rsidRPr="00AF4C55">
        <w:rPr>
          <w:rFonts w:ascii="Arial" w:hAnsi="Arial" w:cs="Arial"/>
        </w:rPr>
        <w:t xml:space="preserve"> studied Modern History at Corpus Christi College, Oxford in 2004</w:t>
      </w:r>
      <w:r>
        <w:rPr>
          <w:rFonts w:ascii="Arial" w:hAnsi="Arial" w:cs="Arial"/>
        </w:rPr>
        <w:t xml:space="preserve"> to </w:t>
      </w:r>
      <w:r w:rsidRPr="00AF4C55">
        <w:rPr>
          <w:rFonts w:ascii="Arial" w:hAnsi="Arial" w:cs="Arial"/>
        </w:rPr>
        <w:t xml:space="preserve">2007 before undertaking the </w:t>
      </w:r>
      <w:proofErr w:type="spellStart"/>
      <w:r w:rsidRPr="00AF4C55">
        <w:rPr>
          <w:rFonts w:ascii="Arial" w:hAnsi="Arial" w:cs="Arial"/>
        </w:rPr>
        <w:t>MRes</w:t>
      </w:r>
      <w:proofErr w:type="spellEnd"/>
      <w:r w:rsidRPr="00AF4C55">
        <w:rPr>
          <w:rFonts w:ascii="Arial" w:hAnsi="Arial" w:cs="Arial"/>
        </w:rPr>
        <w:t xml:space="preserve"> Medieval Studies course at Reading, in which </w:t>
      </w:r>
      <w:r>
        <w:rPr>
          <w:rFonts w:ascii="Arial" w:hAnsi="Arial" w:cs="Arial"/>
        </w:rPr>
        <w:t>he became interested in</w:t>
      </w:r>
      <w:r w:rsidRPr="00AF4C55">
        <w:rPr>
          <w:rFonts w:ascii="Arial" w:hAnsi="Arial" w:cs="Arial"/>
        </w:rPr>
        <w:t xml:space="preserve"> medieval social relations through a dissertation on the </w:t>
      </w:r>
      <w:r>
        <w:rPr>
          <w:rFonts w:ascii="Arial" w:hAnsi="Arial" w:cs="Arial"/>
        </w:rPr>
        <w:t>1381</w:t>
      </w:r>
      <w:r w:rsidRPr="00AF4C55">
        <w:rPr>
          <w:rFonts w:ascii="Arial" w:hAnsi="Arial" w:cs="Arial"/>
        </w:rPr>
        <w:t xml:space="preserve"> </w:t>
      </w:r>
      <w:r>
        <w:rPr>
          <w:rFonts w:ascii="Arial" w:hAnsi="Arial" w:cs="Arial"/>
        </w:rPr>
        <w:t>r</w:t>
      </w:r>
      <w:r w:rsidRPr="00AF4C55">
        <w:rPr>
          <w:rFonts w:ascii="Arial" w:hAnsi="Arial" w:cs="Arial"/>
        </w:rPr>
        <w:t xml:space="preserve">evolt in western Suffolk. </w:t>
      </w:r>
      <w:r>
        <w:rPr>
          <w:rFonts w:ascii="Arial" w:hAnsi="Arial" w:cs="Arial"/>
        </w:rPr>
        <w:t xml:space="preserve">His work on the uprising appeared in the 2018 volume of the Suffolk Institute journal. </w:t>
      </w:r>
      <w:r w:rsidRPr="00AF4C55">
        <w:rPr>
          <w:rFonts w:ascii="Arial" w:hAnsi="Arial" w:cs="Arial"/>
        </w:rPr>
        <w:t xml:space="preserve">In 2016 </w:t>
      </w:r>
      <w:r>
        <w:rPr>
          <w:rFonts w:ascii="Arial" w:hAnsi="Arial" w:cs="Arial"/>
        </w:rPr>
        <w:t>he</w:t>
      </w:r>
      <w:r w:rsidRPr="00AF4C55">
        <w:rPr>
          <w:rFonts w:ascii="Arial" w:hAnsi="Arial" w:cs="Arial"/>
        </w:rPr>
        <w:t xml:space="preserve"> began an ESRC-funded PhD project at the University of Warwick, supervised by Beat </w:t>
      </w:r>
      <w:proofErr w:type="spellStart"/>
      <w:r w:rsidRPr="00AF4C55">
        <w:rPr>
          <w:rFonts w:ascii="Arial" w:hAnsi="Arial" w:cs="Arial"/>
        </w:rPr>
        <w:t>Kümin</w:t>
      </w:r>
      <w:proofErr w:type="spellEnd"/>
      <w:r w:rsidRPr="00AF4C55">
        <w:rPr>
          <w:rFonts w:ascii="Arial" w:hAnsi="Arial" w:cs="Arial"/>
        </w:rPr>
        <w:t>, which looks at urban society in English monastic towns through a case study of Reading.</w:t>
      </w:r>
    </w:p>
    <w:p w14:paraId="2A0A3495" w14:textId="77777777" w:rsidR="003D2361" w:rsidRDefault="003D2361" w:rsidP="003D2361">
      <w:pPr>
        <w:rPr>
          <w:rFonts w:ascii="Arial" w:hAnsi="Arial" w:cs="Arial"/>
        </w:rPr>
      </w:pPr>
    </w:p>
    <w:p w14:paraId="64900FA5" w14:textId="77777777" w:rsidR="003D2361" w:rsidRDefault="003D2361" w:rsidP="003D2361">
      <w:pPr>
        <w:rPr>
          <w:rFonts w:ascii="Arial" w:hAnsi="Arial" w:cs="Arial"/>
        </w:rPr>
      </w:pPr>
      <w:r>
        <w:rPr>
          <w:rFonts w:ascii="Arial" w:hAnsi="Arial" w:cs="Arial"/>
        </w:rPr>
        <w:t xml:space="preserve">The PhD project is a break from traditional approaches to the study of history. </w:t>
      </w:r>
      <w:r w:rsidRPr="00AF4C55">
        <w:rPr>
          <w:rFonts w:ascii="Arial" w:hAnsi="Arial" w:cs="Arial"/>
        </w:rPr>
        <w:t xml:space="preserve">In covering the years 1350-1600, </w:t>
      </w:r>
      <w:r>
        <w:rPr>
          <w:rFonts w:ascii="Arial" w:hAnsi="Arial" w:cs="Arial"/>
        </w:rPr>
        <w:t xml:space="preserve">it sits in neither of the conventional periods of medieval and early modern, instead </w:t>
      </w:r>
      <w:r w:rsidRPr="00AF4C55">
        <w:rPr>
          <w:rFonts w:ascii="Arial" w:hAnsi="Arial" w:cs="Arial"/>
        </w:rPr>
        <w:t>look</w:t>
      </w:r>
      <w:r>
        <w:rPr>
          <w:rFonts w:ascii="Arial" w:hAnsi="Arial" w:cs="Arial"/>
        </w:rPr>
        <w:t>ing</w:t>
      </w:r>
      <w:r w:rsidRPr="00AF4C55">
        <w:rPr>
          <w:rFonts w:ascii="Arial" w:hAnsi="Arial" w:cs="Arial"/>
        </w:rPr>
        <w:t xml:space="preserve"> at the era of transition between the </w:t>
      </w:r>
      <w:r>
        <w:rPr>
          <w:rFonts w:ascii="Arial" w:hAnsi="Arial" w:cs="Arial"/>
        </w:rPr>
        <w:t>two</w:t>
      </w:r>
      <w:r w:rsidRPr="00AF4C55">
        <w:rPr>
          <w:rFonts w:ascii="Arial" w:hAnsi="Arial" w:cs="Arial"/>
        </w:rPr>
        <w:t>.</w:t>
      </w:r>
      <w:r>
        <w:rPr>
          <w:rFonts w:ascii="Arial" w:hAnsi="Arial" w:cs="Arial"/>
        </w:rPr>
        <w:t xml:space="preserve"> </w:t>
      </w:r>
      <w:r w:rsidRPr="00AF4C55">
        <w:rPr>
          <w:rFonts w:ascii="Arial" w:hAnsi="Arial" w:cs="Arial"/>
        </w:rPr>
        <w:t xml:space="preserve">The project </w:t>
      </w:r>
      <w:r>
        <w:rPr>
          <w:rFonts w:ascii="Arial" w:hAnsi="Arial" w:cs="Arial"/>
        </w:rPr>
        <w:t xml:space="preserve">also </w:t>
      </w:r>
      <w:r w:rsidRPr="00AF4C55">
        <w:rPr>
          <w:rFonts w:ascii="Arial" w:hAnsi="Arial" w:cs="Arial"/>
        </w:rPr>
        <w:t xml:space="preserve">makes use of social network analysis, </w:t>
      </w:r>
      <w:r>
        <w:rPr>
          <w:rFonts w:ascii="Arial" w:hAnsi="Arial" w:cs="Arial"/>
        </w:rPr>
        <w:t xml:space="preserve">a </w:t>
      </w:r>
      <w:r w:rsidRPr="00AF4C55">
        <w:rPr>
          <w:rFonts w:ascii="Arial" w:hAnsi="Arial" w:cs="Arial"/>
        </w:rPr>
        <w:t>method</w:t>
      </w:r>
      <w:r>
        <w:rPr>
          <w:rFonts w:ascii="Arial" w:hAnsi="Arial" w:cs="Arial"/>
        </w:rPr>
        <w:t xml:space="preserve"> with roots in the social sciences that is currently </w:t>
      </w:r>
      <w:r w:rsidRPr="00AF4C55">
        <w:rPr>
          <w:rFonts w:ascii="Arial" w:hAnsi="Arial" w:cs="Arial"/>
        </w:rPr>
        <w:t xml:space="preserve">emerging within </w:t>
      </w:r>
      <w:r>
        <w:rPr>
          <w:rFonts w:ascii="Arial" w:hAnsi="Arial" w:cs="Arial"/>
        </w:rPr>
        <w:t>pre-modern</w:t>
      </w:r>
      <w:r w:rsidRPr="00AF4C55">
        <w:rPr>
          <w:rFonts w:ascii="Arial" w:hAnsi="Arial" w:cs="Arial"/>
        </w:rPr>
        <w:t xml:space="preserve"> history.</w:t>
      </w:r>
    </w:p>
    <w:p w14:paraId="05B50CC7" w14:textId="77777777" w:rsidR="003D2361" w:rsidRDefault="003D2361" w:rsidP="003D2361"/>
    <w:p w14:paraId="4F91A5D2" w14:textId="77777777" w:rsidR="003D2361" w:rsidRPr="00526F25" w:rsidRDefault="003D2361" w:rsidP="00526F25">
      <w:bookmarkStart w:id="0" w:name="_GoBack"/>
      <w:bookmarkEnd w:id="0"/>
    </w:p>
    <w:sectPr w:rsidR="003D2361" w:rsidRPr="00526F25" w:rsidSect="004351F5">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534"/>
    <w:rsid w:val="00225473"/>
    <w:rsid w:val="002F0534"/>
    <w:rsid w:val="003D2361"/>
    <w:rsid w:val="004351F5"/>
    <w:rsid w:val="0048671A"/>
    <w:rsid w:val="00526F25"/>
    <w:rsid w:val="00A8533D"/>
    <w:rsid w:val="00B06503"/>
    <w:rsid w:val="00D24E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48068"/>
  <w14:defaultImageDpi w14:val="32767"/>
  <w15:chartTrackingRefBased/>
  <w15:docId w15:val="{761D7EFC-EB7A-094C-B891-D1A8B628E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26F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F0534"/>
    <w:rPr>
      <w:sz w:val="18"/>
      <w:szCs w:val="18"/>
    </w:rPr>
  </w:style>
  <w:style w:type="paragraph" w:styleId="CommentText">
    <w:name w:val="annotation text"/>
    <w:basedOn w:val="Normal"/>
    <w:link w:val="CommentTextChar"/>
    <w:uiPriority w:val="99"/>
    <w:semiHidden/>
    <w:unhideWhenUsed/>
    <w:rsid w:val="002F0534"/>
    <w:pPr>
      <w:spacing w:after="160"/>
    </w:pPr>
  </w:style>
  <w:style w:type="character" w:customStyle="1" w:styleId="CommentTextChar">
    <w:name w:val="Comment Text Char"/>
    <w:basedOn w:val="DefaultParagraphFont"/>
    <w:link w:val="CommentText"/>
    <w:uiPriority w:val="99"/>
    <w:semiHidden/>
    <w:rsid w:val="002F0534"/>
  </w:style>
  <w:style w:type="paragraph" w:styleId="BalloonText">
    <w:name w:val="Balloon Text"/>
    <w:basedOn w:val="Normal"/>
    <w:link w:val="BalloonTextChar"/>
    <w:uiPriority w:val="99"/>
    <w:semiHidden/>
    <w:unhideWhenUsed/>
    <w:rsid w:val="002F053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F0534"/>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433</Words>
  <Characters>2471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Chick</dc:creator>
  <cp:keywords/>
  <dc:description/>
  <cp:lastModifiedBy>Beat</cp:lastModifiedBy>
  <cp:revision>4</cp:revision>
  <dcterms:created xsi:type="dcterms:W3CDTF">2019-02-13T11:32:00Z</dcterms:created>
  <dcterms:modified xsi:type="dcterms:W3CDTF">2019-02-14T15:16:00Z</dcterms:modified>
</cp:coreProperties>
</file>