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F568B0" w14:textId="1FAC01AA" w:rsidR="00863D0F" w:rsidRDefault="00863D0F" w:rsidP="00863D0F">
      <w:pPr>
        <w:rPr>
          <w:rFonts w:cstheme="minorHAnsi"/>
          <w:sz w:val="24"/>
          <w:szCs w:val="24"/>
        </w:rPr>
      </w:pPr>
      <w:r>
        <w:rPr>
          <w:rFonts w:cstheme="minorHAnsi"/>
          <w:sz w:val="24"/>
          <w:szCs w:val="24"/>
        </w:rPr>
        <w:t>Paper proposal for E</w:t>
      </w:r>
      <w:r w:rsidRPr="00863D0F">
        <w:rPr>
          <w:rFonts w:cstheme="minorHAnsi"/>
          <w:sz w:val="24"/>
          <w:szCs w:val="24"/>
        </w:rPr>
        <w:t>ighteenth Warwick Symposium on Parish Research</w:t>
      </w:r>
      <w:r>
        <w:rPr>
          <w:rFonts w:cstheme="minorHAnsi"/>
          <w:sz w:val="24"/>
          <w:szCs w:val="24"/>
        </w:rPr>
        <w:t>: ‘</w:t>
      </w:r>
      <w:r w:rsidRPr="00863D0F">
        <w:rPr>
          <w:rFonts w:cstheme="minorHAnsi"/>
          <w:sz w:val="24"/>
          <w:szCs w:val="24"/>
        </w:rPr>
        <w:t>Remembering the Parish</w:t>
      </w:r>
      <w:r>
        <w:rPr>
          <w:rFonts w:cstheme="minorHAnsi"/>
          <w:sz w:val="24"/>
          <w:szCs w:val="24"/>
        </w:rPr>
        <w:t>’</w:t>
      </w:r>
    </w:p>
    <w:p w14:paraId="4048C4FB" w14:textId="77777777" w:rsidR="00863D0F" w:rsidRDefault="00863D0F" w:rsidP="00863D0F">
      <w:pPr>
        <w:rPr>
          <w:rFonts w:cstheme="minorHAnsi"/>
          <w:sz w:val="24"/>
          <w:szCs w:val="24"/>
        </w:rPr>
      </w:pPr>
    </w:p>
    <w:p w14:paraId="2A698744" w14:textId="2956CD38" w:rsidR="00863D0F" w:rsidRPr="00FF19CA" w:rsidRDefault="00863D0F" w:rsidP="00863D0F">
      <w:pPr>
        <w:rPr>
          <w:rFonts w:cstheme="minorHAnsi"/>
          <w:sz w:val="24"/>
          <w:szCs w:val="24"/>
        </w:rPr>
      </w:pPr>
      <w:r>
        <w:rPr>
          <w:rFonts w:cstheme="minorHAnsi"/>
          <w:sz w:val="24"/>
          <w:szCs w:val="24"/>
        </w:rPr>
        <w:t>Remembering the</w:t>
      </w:r>
      <w:r w:rsidRPr="00FF19CA">
        <w:rPr>
          <w:rFonts w:cstheme="minorHAnsi"/>
          <w:sz w:val="24"/>
          <w:szCs w:val="24"/>
        </w:rPr>
        <w:t xml:space="preserve"> English Civil Wars in Parish Registers</w:t>
      </w:r>
    </w:p>
    <w:p w14:paraId="2D770C1A" w14:textId="77777777" w:rsidR="00863D0F" w:rsidRPr="00FF19CA" w:rsidRDefault="00863D0F" w:rsidP="00863D0F">
      <w:pPr>
        <w:rPr>
          <w:rFonts w:cstheme="minorHAnsi"/>
          <w:sz w:val="24"/>
          <w:szCs w:val="24"/>
        </w:rPr>
      </w:pPr>
      <w:r w:rsidRPr="00FF19CA">
        <w:rPr>
          <w:rFonts w:cstheme="minorHAnsi"/>
          <w:sz w:val="24"/>
          <w:szCs w:val="24"/>
        </w:rPr>
        <w:t>Dr Ian Atherton</w:t>
      </w:r>
    </w:p>
    <w:p w14:paraId="4B181776" w14:textId="77777777" w:rsidR="00863D0F" w:rsidRPr="00FF19CA" w:rsidRDefault="00863D0F" w:rsidP="00863D0F">
      <w:pPr>
        <w:rPr>
          <w:rFonts w:cstheme="minorHAnsi"/>
          <w:sz w:val="24"/>
          <w:szCs w:val="24"/>
        </w:rPr>
      </w:pPr>
      <w:r w:rsidRPr="00FF19CA">
        <w:rPr>
          <w:rFonts w:cstheme="minorHAnsi"/>
          <w:sz w:val="24"/>
          <w:szCs w:val="24"/>
        </w:rPr>
        <w:t>Keele University, UK</w:t>
      </w:r>
    </w:p>
    <w:p w14:paraId="7648F7C9" w14:textId="77777777" w:rsidR="00863D0F" w:rsidRPr="00FF19CA" w:rsidRDefault="00863D0F" w:rsidP="00863D0F">
      <w:pPr>
        <w:rPr>
          <w:rFonts w:cstheme="minorHAnsi"/>
          <w:sz w:val="24"/>
          <w:szCs w:val="24"/>
        </w:rPr>
      </w:pPr>
      <w:r>
        <w:rPr>
          <w:rFonts w:cstheme="minorHAnsi"/>
          <w:sz w:val="24"/>
          <w:szCs w:val="24"/>
        </w:rPr>
        <w:t>i.j.atherton@</w:t>
      </w:r>
      <w:r w:rsidRPr="00FF19CA">
        <w:rPr>
          <w:rFonts w:cstheme="minorHAnsi"/>
          <w:sz w:val="24"/>
          <w:szCs w:val="24"/>
        </w:rPr>
        <w:t>keele.ac.uk</w:t>
      </w:r>
    </w:p>
    <w:p w14:paraId="6856C5C4" w14:textId="77777777" w:rsidR="00863D0F" w:rsidRPr="00FF19CA" w:rsidRDefault="00863D0F" w:rsidP="00863D0F">
      <w:pPr>
        <w:rPr>
          <w:rFonts w:cstheme="minorHAnsi"/>
          <w:sz w:val="24"/>
          <w:szCs w:val="24"/>
        </w:rPr>
      </w:pPr>
    </w:p>
    <w:p w14:paraId="63EDD1D5" w14:textId="77777777" w:rsidR="00863D0F" w:rsidRDefault="00863D0F" w:rsidP="00863D0F"/>
    <w:p w14:paraId="3597CC38" w14:textId="74D65B38" w:rsidR="00863D0F" w:rsidRDefault="00863D0F" w:rsidP="00863D0F">
      <w:r>
        <w:t xml:space="preserve">During the English Revolution descriptive headings were added to each year in the parish register of the Leicestershire village of </w:t>
      </w:r>
      <w:proofErr w:type="spellStart"/>
      <w:r>
        <w:t>Rotherby</w:t>
      </w:r>
      <w:proofErr w:type="spellEnd"/>
      <w:r>
        <w:t>. 1643, ’44, and ’45 were each ‘Bellum’; 1646 was marked ‘Interruption Persecution’, while the years from 1649 to the end of the register in 1654 were ‘Sequestration. Sequestration. Sequestration’. The history of the conflict and turmoil in England was both generalised – in terms of ‘Bellum’, war – and personalised through the sufferings of the rector, Francis Needham, charged before the county committee for scandal and malignancy in 1646 and ’47 and ejected by 1649. Further entries in the register continued that personalisation of memory, naming the sequestrators of the living and the intruded minister.</w:t>
      </w:r>
    </w:p>
    <w:p w14:paraId="1B825324" w14:textId="77777777" w:rsidR="00863D0F" w:rsidRDefault="00863D0F" w:rsidP="00863D0F"/>
    <w:p w14:paraId="71BC5AE6" w14:textId="6A99BCC7" w:rsidR="00863D0F" w:rsidRDefault="00863D0F" w:rsidP="00863D0F">
      <w:r>
        <w:t xml:space="preserve">The use of parish registers to record the experience of the English Revolution has been occasionally noted by scholars, but they have tended to focus on those latter personal stories. </w:t>
      </w:r>
      <w:r w:rsidR="009A2306">
        <w:t xml:space="preserve">Mostly, however, </w:t>
      </w:r>
      <w:r>
        <w:t xml:space="preserve">have tended to see such registers as unproductive and unyielding, a mere unrelenting and tedious litany of the baptised, married and buried. Moreover, so many are incomplete or disordered in </w:t>
      </w:r>
      <w:proofErr w:type="spellStart"/>
      <w:r>
        <w:t>mid century</w:t>
      </w:r>
      <w:proofErr w:type="spellEnd"/>
      <w:r>
        <w:t xml:space="preserve"> that Adam Smyth has suggested that they ‘map the Civil Wars’ only in their ‘gaps and confusions’. Nevertheless, recent work on standard, communal forms of early-modern record keeping – Ann Hughes on the parish returns in the Commonwealth Exchequer Papers and John Walter on churchwardens’ accounts – has shown how thin pickings can be used to produce rich rewards – Walter to </w:t>
      </w:r>
      <w:r w:rsidRPr="00742AAC">
        <w:t>recover popular politi</w:t>
      </w:r>
      <w:r>
        <w:t xml:space="preserve">cal engagement during the </w:t>
      </w:r>
      <w:r w:rsidRPr="00742AAC">
        <w:t xml:space="preserve">wars, and </w:t>
      </w:r>
      <w:r>
        <w:t xml:space="preserve">Hughes on </w:t>
      </w:r>
      <w:r w:rsidRPr="00742AAC">
        <w:t>memories of those wars</w:t>
      </w:r>
      <w:r>
        <w:t xml:space="preserve">. </w:t>
      </w:r>
      <w:r w:rsidR="00C02468">
        <w:t xml:space="preserve">This paper will argue that </w:t>
      </w:r>
      <w:r>
        <w:t>parish registers can be subjected to a similar methodology to map some of the ways that the civil wars were remembered locally</w:t>
      </w:r>
      <w:r w:rsidR="00C02468">
        <w:t xml:space="preserve">: not just the function of parish registers as </w:t>
      </w:r>
      <w:r w:rsidR="00C02468" w:rsidRPr="00D7087F">
        <w:rPr>
          <w:rFonts w:cstheme="minorHAnsi"/>
        </w:rPr>
        <w:t xml:space="preserve">a form of collective biography, creating and fixing the </w:t>
      </w:r>
      <w:r w:rsidR="00C02468">
        <w:rPr>
          <w:rFonts w:cstheme="minorHAnsi"/>
        </w:rPr>
        <w:t>life story</w:t>
      </w:r>
      <w:r w:rsidR="00C02468" w:rsidRPr="00D7087F">
        <w:rPr>
          <w:rFonts w:cstheme="minorHAnsi"/>
        </w:rPr>
        <w:t xml:space="preserve"> of the whole community</w:t>
      </w:r>
      <w:r w:rsidR="00C02468">
        <w:rPr>
          <w:rFonts w:cstheme="minorHAnsi"/>
        </w:rPr>
        <w:t>, but also in the frames of time keeping they used to situate events and preserve those memories</w:t>
      </w:r>
      <w:r>
        <w:t>.</w:t>
      </w:r>
    </w:p>
    <w:p w14:paraId="61F82D0D" w14:textId="77777777" w:rsidR="00863D0F" w:rsidRDefault="00863D0F" w:rsidP="00863D0F"/>
    <w:p w14:paraId="3164A342" w14:textId="5E766502" w:rsidR="003A3D51" w:rsidRDefault="003A3D51"/>
    <w:p w14:paraId="7F0DECB1" w14:textId="543E42E0" w:rsidR="00863D0F" w:rsidRDefault="00863D0F"/>
    <w:p w14:paraId="73987FE3" w14:textId="47B489D7" w:rsidR="00863D0F" w:rsidRDefault="00863D0F" w:rsidP="009A2306">
      <w:r>
        <w:t xml:space="preserve">Dr Ian Atherton is a Senior Lecturer in Early Modern History at Keele University. </w:t>
      </w:r>
      <w:r w:rsidR="009A2306">
        <w:t xml:space="preserve">His current work examines conflict and memory in early modern England, including ‘Battlefields, Burials and the English Civil Wars’, in D. Appleby and A. Hopper, eds, </w:t>
      </w:r>
      <w:r w:rsidR="009A2306" w:rsidRPr="009A2306">
        <w:rPr>
          <w:i/>
          <w:iCs/>
        </w:rPr>
        <w:t>Battle-Scarred: Mortality, Medical Care and Military Welfare in the British Civil Wars</w:t>
      </w:r>
      <w:r w:rsidR="009A2306">
        <w:t xml:space="preserve"> (Manchester: Manchester University Press, 2018), ‘Commemorating the English Revolution: Local Deliverance and Thanksgiving’, in E. Vallance, ed., </w:t>
      </w:r>
      <w:r w:rsidR="009A2306" w:rsidRPr="009A2306">
        <w:rPr>
          <w:i/>
          <w:iCs/>
        </w:rPr>
        <w:t>Remembering Early Modern Revolutions: England, North America, France and Haiti</w:t>
      </w:r>
      <w:r w:rsidR="009A2306">
        <w:rPr>
          <w:i/>
          <w:iCs/>
        </w:rPr>
        <w:t xml:space="preserve"> </w:t>
      </w:r>
      <w:r w:rsidR="009A2306" w:rsidRPr="009A2306">
        <w:t>(</w:t>
      </w:r>
      <w:r w:rsidR="009A2306">
        <w:t>Abingdon: Routledge, 2018), a</w:t>
      </w:r>
      <w:r w:rsidR="00C02468">
        <w:t>n</w:t>
      </w:r>
      <w:r w:rsidR="009A2306">
        <w:t xml:space="preserve">d ‘Remembering (and Forgetting) Fairfax’s Battlefields’, in A. Hopper and P. Major, eds, </w:t>
      </w:r>
      <w:r w:rsidR="009A2306" w:rsidRPr="009A2306">
        <w:rPr>
          <w:i/>
          <w:iCs/>
        </w:rPr>
        <w:t>England's Fortress: New Perspectives on Thomas, 3rd Lord Fairfax</w:t>
      </w:r>
      <w:r w:rsidR="009A2306">
        <w:t xml:space="preserve"> (Farnham Ashgate, 2014).</w:t>
      </w:r>
    </w:p>
    <w:sectPr w:rsidR="00863D0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028AE7" w14:textId="77777777" w:rsidR="00275AF9" w:rsidRDefault="00275AF9" w:rsidP="00863D0F">
      <w:r>
        <w:separator/>
      </w:r>
    </w:p>
  </w:endnote>
  <w:endnote w:type="continuationSeparator" w:id="0">
    <w:p w14:paraId="78C9E3F0" w14:textId="77777777" w:rsidR="00275AF9" w:rsidRDefault="00275AF9" w:rsidP="00863D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A049FA" w14:textId="77777777" w:rsidR="00275AF9" w:rsidRDefault="00275AF9" w:rsidP="00863D0F">
      <w:r>
        <w:separator/>
      </w:r>
    </w:p>
  </w:footnote>
  <w:footnote w:type="continuationSeparator" w:id="0">
    <w:p w14:paraId="339BC222" w14:textId="77777777" w:rsidR="00275AF9" w:rsidRDefault="00275AF9" w:rsidP="00863D0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D0F"/>
    <w:rsid w:val="00275AF9"/>
    <w:rsid w:val="003A3D51"/>
    <w:rsid w:val="00863D0F"/>
    <w:rsid w:val="009525E6"/>
    <w:rsid w:val="009763AD"/>
    <w:rsid w:val="009A2306"/>
    <w:rsid w:val="00C024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66305"/>
  <w15:chartTrackingRefBased/>
  <w15:docId w15:val="{761B02E4-6754-4FF5-B2CF-5CA487931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D0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863D0F"/>
    <w:rPr>
      <w:sz w:val="20"/>
      <w:szCs w:val="20"/>
    </w:rPr>
  </w:style>
  <w:style w:type="character" w:customStyle="1" w:styleId="EndnoteTextChar">
    <w:name w:val="Endnote Text Char"/>
    <w:basedOn w:val="DefaultParagraphFont"/>
    <w:link w:val="EndnoteText"/>
    <w:uiPriority w:val="99"/>
    <w:semiHidden/>
    <w:rsid w:val="00863D0F"/>
    <w:rPr>
      <w:sz w:val="20"/>
      <w:szCs w:val="20"/>
    </w:rPr>
  </w:style>
  <w:style w:type="character" w:styleId="EndnoteReference">
    <w:name w:val="endnote reference"/>
    <w:basedOn w:val="DefaultParagraphFont"/>
    <w:uiPriority w:val="99"/>
    <w:semiHidden/>
    <w:unhideWhenUsed/>
    <w:rsid w:val="00863D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447</Words>
  <Characters>2551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i.j.atherton@gmail.com</dc:creator>
  <cp:keywords/>
  <dc:description/>
  <cp:lastModifiedBy>Kumin, Beat</cp:lastModifiedBy>
  <cp:revision>2</cp:revision>
  <dcterms:created xsi:type="dcterms:W3CDTF">2020-10-27T13:51:00Z</dcterms:created>
  <dcterms:modified xsi:type="dcterms:W3CDTF">2020-10-27T13:51:00Z</dcterms:modified>
</cp:coreProperties>
</file>