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56C2C4" w14:textId="77777777" w:rsidR="00254EEB" w:rsidRDefault="002B7932" w:rsidP="002B7932">
      <w:pPr>
        <w:pStyle w:val="Header"/>
      </w:pPr>
      <w:r>
        <w:t>Hannah Reeve</w:t>
      </w:r>
    </w:p>
    <w:p w14:paraId="0C7AA51C" w14:textId="77777777" w:rsidR="002B7932" w:rsidRDefault="002B7932" w:rsidP="002B7932">
      <w:pPr>
        <w:pStyle w:val="Header"/>
      </w:pPr>
      <w:r>
        <w:t>h.a.j.reeve@newcastle.ac.uk</w:t>
      </w:r>
    </w:p>
    <w:p w14:paraId="581CD6B9" w14:textId="77777777" w:rsidR="002B7932" w:rsidRDefault="002B7932" w:rsidP="00743EFD">
      <w:pPr>
        <w:rPr>
          <w:sz w:val="24"/>
          <w:szCs w:val="24"/>
          <w:u w:val="single"/>
        </w:rPr>
      </w:pPr>
    </w:p>
    <w:p w14:paraId="65664FD8" w14:textId="77777777" w:rsidR="00743EFD" w:rsidRPr="0091473F" w:rsidRDefault="00743EFD" w:rsidP="00743EFD">
      <w:pPr>
        <w:rPr>
          <w:sz w:val="24"/>
          <w:szCs w:val="24"/>
          <w:u w:val="single"/>
        </w:rPr>
      </w:pPr>
      <w:r w:rsidRPr="0091473F">
        <w:rPr>
          <w:sz w:val="24"/>
          <w:szCs w:val="24"/>
          <w:u w:val="single"/>
        </w:rPr>
        <w:t>Biography</w:t>
      </w:r>
    </w:p>
    <w:p w14:paraId="21120D1A" w14:textId="77777777" w:rsidR="00743EFD" w:rsidRPr="0091473F" w:rsidRDefault="00743EFD" w:rsidP="00743EFD">
      <w:pPr>
        <w:rPr>
          <w:sz w:val="24"/>
          <w:szCs w:val="24"/>
          <w:u w:val="single"/>
        </w:rPr>
      </w:pPr>
      <w:r w:rsidRPr="0091473F">
        <w:rPr>
          <w:sz w:val="24"/>
          <w:szCs w:val="24"/>
        </w:rPr>
        <w:t xml:space="preserve">Hannah is a AHRC funded PhD candidate at Newcastle University, having returned to the north-east after completing an MA at the University of York in Early Modern History. Now in her </w:t>
      </w:r>
      <w:r w:rsidR="007D7BA9">
        <w:rPr>
          <w:sz w:val="24"/>
          <w:szCs w:val="24"/>
        </w:rPr>
        <w:t>third</w:t>
      </w:r>
      <w:r w:rsidRPr="0091473F">
        <w:rPr>
          <w:sz w:val="24"/>
          <w:szCs w:val="24"/>
        </w:rPr>
        <w:t xml:space="preserve"> year, the focus of Hannah’s thesis falls on parish politics in the seventeenth and eighteenth centuries, and seeks to provide insight on how communities were maintained, broken and restored after Britain’s civil wars through studying the material culture of early modern parish life.</w:t>
      </w:r>
    </w:p>
    <w:p w14:paraId="4C8D6D0B" w14:textId="77777777" w:rsidR="00743EFD" w:rsidRPr="0091473F" w:rsidRDefault="00743EFD" w:rsidP="00743EFD">
      <w:pPr>
        <w:rPr>
          <w:sz w:val="24"/>
          <w:szCs w:val="24"/>
          <w:u w:val="single"/>
        </w:rPr>
      </w:pPr>
    </w:p>
    <w:p w14:paraId="689D2D97" w14:textId="77777777" w:rsidR="00743EFD" w:rsidRPr="0091473F" w:rsidRDefault="00743EFD" w:rsidP="00743EFD">
      <w:pPr>
        <w:rPr>
          <w:sz w:val="24"/>
          <w:szCs w:val="24"/>
          <w:u w:val="single"/>
        </w:rPr>
      </w:pPr>
    </w:p>
    <w:p w14:paraId="70EAD797" w14:textId="77777777" w:rsidR="00AC4C90" w:rsidRPr="0091473F" w:rsidRDefault="00124578">
      <w:pPr>
        <w:rPr>
          <w:sz w:val="24"/>
          <w:szCs w:val="24"/>
          <w:u w:val="single"/>
        </w:rPr>
      </w:pPr>
      <w:r w:rsidRPr="0091473F">
        <w:rPr>
          <w:sz w:val="24"/>
          <w:szCs w:val="24"/>
          <w:u w:val="single"/>
        </w:rPr>
        <w:t>Perambulation</w:t>
      </w:r>
      <w:r w:rsidR="00B662BE">
        <w:rPr>
          <w:sz w:val="24"/>
          <w:szCs w:val="24"/>
          <w:u w:val="single"/>
        </w:rPr>
        <w:t xml:space="preserve"> in Yorkshire</w:t>
      </w:r>
      <w:r w:rsidRPr="0091473F">
        <w:rPr>
          <w:sz w:val="24"/>
          <w:szCs w:val="24"/>
          <w:u w:val="single"/>
        </w:rPr>
        <w:t>:</w:t>
      </w:r>
      <w:r w:rsidR="00633148" w:rsidRPr="0091473F">
        <w:rPr>
          <w:sz w:val="24"/>
          <w:szCs w:val="24"/>
          <w:u w:val="single"/>
        </w:rPr>
        <w:t xml:space="preserve"> </w:t>
      </w:r>
      <w:r w:rsidR="00C350B6" w:rsidRPr="0091473F">
        <w:rPr>
          <w:sz w:val="24"/>
          <w:szCs w:val="24"/>
          <w:u w:val="single"/>
        </w:rPr>
        <w:t>Boundary Beating</w:t>
      </w:r>
      <w:r w:rsidRPr="0091473F">
        <w:rPr>
          <w:sz w:val="24"/>
          <w:szCs w:val="24"/>
          <w:u w:val="single"/>
        </w:rPr>
        <w:t xml:space="preserve"> </w:t>
      </w:r>
      <w:r w:rsidR="006505FF" w:rsidRPr="0091473F">
        <w:rPr>
          <w:sz w:val="24"/>
          <w:szCs w:val="24"/>
          <w:u w:val="single"/>
        </w:rPr>
        <w:t>in the Long Eighteenth C</w:t>
      </w:r>
      <w:r w:rsidRPr="0091473F">
        <w:rPr>
          <w:sz w:val="24"/>
          <w:szCs w:val="24"/>
          <w:u w:val="single"/>
        </w:rPr>
        <w:t>entury</w:t>
      </w:r>
    </w:p>
    <w:p w14:paraId="7C5D9E9C" w14:textId="77777777" w:rsidR="00743EFD" w:rsidRPr="0091473F" w:rsidRDefault="00743EFD" w:rsidP="00743EFD">
      <w:pPr>
        <w:rPr>
          <w:sz w:val="24"/>
          <w:szCs w:val="24"/>
        </w:rPr>
      </w:pPr>
      <w:r w:rsidRPr="0091473F">
        <w:rPr>
          <w:sz w:val="24"/>
          <w:szCs w:val="24"/>
        </w:rPr>
        <w:t xml:space="preserve">Parish perambulation, or “boundary beating”, has long been known to historians as an important social and religious custom </w:t>
      </w:r>
      <w:r w:rsidR="00B662BE">
        <w:rPr>
          <w:sz w:val="24"/>
          <w:szCs w:val="24"/>
        </w:rPr>
        <w:t xml:space="preserve">traditionally </w:t>
      </w:r>
      <w:r w:rsidRPr="0091473F">
        <w:rPr>
          <w:sz w:val="24"/>
          <w:szCs w:val="24"/>
        </w:rPr>
        <w:t xml:space="preserve">carried out to protect harvests and mark </w:t>
      </w:r>
      <w:r w:rsidR="0091473F" w:rsidRPr="0091473F">
        <w:rPr>
          <w:sz w:val="24"/>
          <w:szCs w:val="24"/>
        </w:rPr>
        <w:t>the</w:t>
      </w:r>
      <w:r w:rsidRPr="0091473F">
        <w:rPr>
          <w:sz w:val="24"/>
          <w:szCs w:val="24"/>
        </w:rPr>
        <w:t xml:space="preserve"> parish boundaries.</w:t>
      </w:r>
      <w:r w:rsidRPr="0091473F">
        <w:rPr>
          <w:rStyle w:val="FootnoteReference"/>
          <w:sz w:val="24"/>
          <w:szCs w:val="24"/>
        </w:rPr>
        <w:footnoteReference w:id="1"/>
      </w:r>
      <w:r w:rsidRPr="0091473F">
        <w:rPr>
          <w:sz w:val="24"/>
          <w:szCs w:val="24"/>
        </w:rPr>
        <w:t xml:space="preserve"> Recent research has shown perambulation to have become increasingly common after the Restoration, having waned in frequency following the Reformation.</w:t>
      </w:r>
      <w:r w:rsidRPr="0091473F">
        <w:rPr>
          <w:rStyle w:val="FootnoteReference"/>
          <w:sz w:val="24"/>
          <w:szCs w:val="24"/>
        </w:rPr>
        <w:footnoteReference w:id="2"/>
      </w:r>
      <w:r w:rsidRPr="0091473F">
        <w:rPr>
          <w:sz w:val="24"/>
          <w:szCs w:val="24"/>
        </w:rPr>
        <w:t xml:space="preserve"> How – and whether - this parish tradition developed into the eighteenth century, however, has not received equal attention.</w:t>
      </w:r>
    </w:p>
    <w:p w14:paraId="2E9AB019" w14:textId="77777777" w:rsidR="00743EFD" w:rsidRPr="0091473F" w:rsidRDefault="00743EFD" w:rsidP="00743EFD">
      <w:pPr>
        <w:rPr>
          <w:sz w:val="24"/>
          <w:szCs w:val="24"/>
        </w:rPr>
      </w:pPr>
      <w:r w:rsidRPr="0091473F">
        <w:rPr>
          <w:sz w:val="24"/>
          <w:szCs w:val="24"/>
        </w:rPr>
        <w:t xml:space="preserve">This paper will therefore seek to redress this gap in the historiography through analysis of churchwardens’ accounts for a number of northern parishes in the county of Yorkshire. In doing so, this paper will provide an assessment of the frequency of perambulation in the long eighteenth century before discussing the wider implications the continued celebration of this annual ritual had for the shaping and defining of Hanoverian community identities. </w:t>
      </w:r>
    </w:p>
    <w:p w14:paraId="7F62786F" w14:textId="77777777" w:rsidR="00703920" w:rsidRDefault="00703920"/>
    <w:sectPr w:rsidR="007039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941A46" w14:textId="77777777" w:rsidR="006B2CFD" w:rsidRDefault="006B2CFD" w:rsidP="00460F03">
      <w:pPr>
        <w:spacing w:after="0" w:line="240" w:lineRule="auto"/>
      </w:pPr>
      <w:r>
        <w:separator/>
      </w:r>
    </w:p>
  </w:endnote>
  <w:endnote w:type="continuationSeparator" w:id="0">
    <w:p w14:paraId="31D35859" w14:textId="77777777" w:rsidR="006B2CFD" w:rsidRDefault="006B2CFD" w:rsidP="00460F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8A404C" w14:textId="77777777" w:rsidR="006B2CFD" w:rsidRDefault="006B2CFD" w:rsidP="00460F03">
      <w:pPr>
        <w:spacing w:after="0" w:line="240" w:lineRule="auto"/>
      </w:pPr>
      <w:r>
        <w:separator/>
      </w:r>
    </w:p>
  </w:footnote>
  <w:footnote w:type="continuationSeparator" w:id="0">
    <w:p w14:paraId="0B143E79" w14:textId="77777777" w:rsidR="006B2CFD" w:rsidRDefault="006B2CFD" w:rsidP="00460F03">
      <w:pPr>
        <w:spacing w:after="0" w:line="240" w:lineRule="auto"/>
      </w:pPr>
      <w:r>
        <w:continuationSeparator/>
      </w:r>
    </w:p>
  </w:footnote>
  <w:footnote w:id="1">
    <w:p w14:paraId="6FCE72CC" w14:textId="77777777" w:rsidR="00743EFD" w:rsidRDefault="00743EFD" w:rsidP="00743EFD">
      <w:pPr>
        <w:pStyle w:val="FootnoteText"/>
      </w:pPr>
      <w:r>
        <w:rPr>
          <w:rStyle w:val="FootnoteReference"/>
        </w:rPr>
        <w:footnoteRef/>
      </w:r>
      <w:r>
        <w:t xml:space="preserve"> </w:t>
      </w:r>
      <w:r>
        <w:rPr>
          <w:rStyle w:val="NoSpacingChar"/>
          <w:lang w:eastAsia="en-GB"/>
        </w:rPr>
        <w:t xml:space="preserve">John Morrill, </w:t>
      </w:r>
      <w:r>
        <w:rPr>
          <w:rStyle w:val="NoSpacingChar"/>
          <w:i/>
          <w:lang w:eastAsia="en-GB"/>
        </w:rPr>
        <w:t xml:space="preserve">The Nature </w:t>
      </w:r>
      <w:r w:rsidRPr="005304E6">
        <w:rPr>
          <w:rStyle w:val="NoSpacingChar"/>
          <w:i/>
          <w:lang w:eastAsia="en-GB"/>
        </w:rPr>
        <w:t>of the Engli</w:t>
      </w:r>
      <w:r w:rsidRPr="005304E6">
        <w:rPr>
          <w:rStyle w:val="NoSpacingChar"/>
          <w:i/>
        </w:rPr>
        <w:t>sh Revolution</w:t>
      </w:r>
      <w:r w:rsidRPr="005304E6">
        <w:rPr>
          <w:rStyle w:val="NoSpacingChar"/>
        </w:rPr>
        <w:t xml:space="preserve"> (London, </w:t>
      </w:r>
      <w:r>
        <w:rPr>
          <w:rStyle w:val="NoSpacingChar"/>
        </w:rPr>
        <w:t xml:space="preserve">1993), 166; </w:t>
      </w:r>
      <w:r w:rsidRPr="008E4BAF">
        <w:rPr>
          <w:rFonts w:cs="Times New Roman"/>
          <w:color w:val="000000" w:themeColor="text1"/>
        </w:rPr>
        <w:t xml:space="preserve">W. E. Tate, </w:t>
      </w:r>
      <w:r w:rsidRPr="008E4BAF">
        <w:rPr>
          <w:rFonts w:cs="Times New Roman"/>
          <w:i/>
          <w:color w:val="000000" w:themeColor="text1"/>
        </w:rPr>
        <w:t>Parish Chest: A Study of the Records of Parochial Administration in England</w:t>
      </w:r>
      <w:r w:rsidRPr="008E4BAF">
        <w:rPr>
          <w:rFonts w:cs="Times New Roman"/>
          <w:color w:val="000000" w:themeColor="text1"/>
        </w:rPr>
        <w:t xml:space="preserve"> (Cambridge: Cambridge University Press, 1960),</w:t>
      </w:r>
      <w:r>
        <w:rPr>
          <w:rFonts w:cs="Times New Roman"/>
          <w:color w:val="000000" w:themeColor="text1"/>
        </w:rPr>
        <w:t xml:space="preserve"> 74; </w:t>
      </w:r>
      <w:r w:rsidRPr="00E62D28">
        <w:t xml:space="preserve">Brodie </w:t>
      </w:r>
      <w:proofErr w:type="spellStart"/>
      <w:r w:rsidRPr="00E62D28">
        <w:t>Wadell</w:t>
      </w:r>
      <w:proofErr w:type="spellEnd"/>
      <w:r w:rsidRPr="00E62D28">
        <w:t>, "Neighbours and Strangers: The Locality i</w:t>
      </w:r>
      <w:r>
        <w:t>n Later Stuart Economic Culture</w:t>
      </w:r>
      <w:r w:rsidRPr="00E62D28">
        <w:t>: Social Politics in the Sevente</w:t>
      </w:r>
      <w:r>
        <w:t xml:space="preserve">enth-Century Parish," in </w:t>
      </w:r>
      <w:r w:rsidRPr="00E62D28">
        <w:rPr>
          <w:i/>
        </w:rPr>
        <w:t>Locating Agency: Space, Power and Popular Politics</w:t>
      </w:r>
      <w:r w:rsidRPr="00E62D28">
        <w:t>, ed. F. Williamson (Newcastle: Cambridge Scholars Publishing, 2010)</w:t>
      </w:r>
      <w:r>
        <w:t xml:space="preserve">, 108; </w:t>
      </w:r>
      <w:r w:rsidRPr="00D22A8E">
        <w:t xml:space="preserve">Valerie </w:t>
      </w:r>
      <w:proofErr w:type="spellStart"/>
      <w:r w:rsidRPr="00D22A8E">
        <w:t>Hitchman</w:t>
      </w:r>
      <w:proofErr w:type="spellEnd"/>
      <w:r w:rsidRPr="00D22A8E">
        <w:t xml:space="preserve">, “Balancing the Parish Books,” in </w:t>
      </w:r>
      <w:r w:rsidRPr="00D22A8E">
        <w:rPr>
          <w:i/>
          <w:iCs/>
        </w:rPr>
        <w:t>Views From the Parish</w:t>
      </w:r>
      <w:r w:rsidRPr="00D22A8E">
        <w:t>, ed</w:t>
      </w:r>
      <w:r>
        <w:t>s</w:t>
      </w:r>
      <w:r w:rsidRPr="00D22A8E">
        <w:t xml:space="preserve">. Valerie </w:t>
      </w:r>
      <w:proofErr w:type="spellStart"/>
      <w:r w:rsidRPr="00D22A8E">
        <w:t>Hitchman</w:t>
      </w:r>
      <w:proofErr w:type="spellEnd"/>
      <w:r w:rsidRPr="00D22A8E">
        <w:t xml:space="preserve"> and Andrew Foster (Newcastle upon Tyne: Cambridge Scholars Publishing, 2015),</w:t>
      </w:r>
      <w:r>
        <w:t xml:space="preserve"> 42.</w:t>
      </w:r>
    </w:p>
  </w:footnote>
  <w:footnote w:id="2">
    <w:p w14:paraId="5E16FE68" w14:textId="77777777" w:rsidR="00743EFD" w:rsidRDefault="00743EFD" w:rsidP="00743EFD">
      <w:pPr>
        <w:pStyle w:val="FootnoteText"/>
      </w:pPr>
      <w:r>
        <w:rPr>
          <w:rStyle w:val="FootnoteReference"/>
        </w:rPr>
        <w:footnoteRef/>
      </w:r>
      <w:r>
        <w:t xml:space="preserve"> </w:t>
      </w:r>
      <w:r w:rsidRPr="008E4BAF">
        <w:rPr>
          <w:rFonts w:cs="Times New Roman"/>
          <w:color w:val="000000" w:themeColor="text1"/>
        </w:rPr>
        <w:t xml:space="preserve">Ronald Hutton, </w:t>
      </w:r>
      <w:r w:rsidRPr="008E4BAF">
        <w:rPr>
          <w:rFonts w:cs="Times New Roman"/>
          <w:i/>
          <w:color w:val="000000" w:themeColor="text1"/>
        </w:rPr>
        <w:t>The Rise and Fall of Merry England: the Ritual Year, 1400-1700</w:t>
      </w:r>
      <w:r w:rsidRPr="008E4BAF">
        <w:rPr>
          <w:rFonts w:cs="Times New Roman"/>
          <w:color w:val="000000" w:themeColor="text1"/>
        </w:rPr>
        <w:t xml:space="preserve"> (Oxford,</w:t>
      </w:r>
      <w:r>
        <w:rPr>
          <w:rFonts w:cs="Times New Roman"/>
          <w:color w:val="000000" w:themeColor="text1"/>
        </w:rPr>
        <w:t xml:space="preserve"> Oxford University Press, 1994), 285; </w:t>
      </w:r>
      <w:r w:rsidRPr="00F142FA">
        <w:rPr>
          <w:rStyle w:val="Emphasis"/>
        </w:rPr>
        <w:t xml:space="preserve">Steve </w:t>
      </w:r>
      <w:proofErr w:type="spellStart"/>
      <w:r w:rsidRPr="00F142FA">
        <w:rPr>
          <w:rStyle w:val="Emphasis"/>
        </w:rPr>
        <w:t>Hindle</w:t>
      </w:r>
      <w:proofErr w:type="spellEnd"/>
      <w:r w:rsidRPr="00F142FA">
        <w:rPr>
          <w:rStyle w:val="st"/>
          <w:i/>
        </w:rPr>
        <w:t>,</w:t>
      </w:r>
      <w:r w:rsidRPr="00460F03">
        <w:rPr>
          <w:rStyle w:val="st"/>
          <w:i/>
        </w:rPr>
        <w:t xml:space="preserve"> </w:t>
      </w:r>
      <w:r>
        <w:rPr>
          <w:rStyle w:val="st"/>
        </w:rPr>
        <w:t xml:space="preserve">“Beating the Bounds of the Parish: Order, Memory and Identity in the English Local Community, c. 1500- 1700,” in </w:t>
      </w:r>
      <w:r w:rsidRPr="00460F03">
        <w:rPr>
          <w:rStyle w:val="st"/>
          <w:i/>
        </w:rPr>
        <w:t>Defining Community in Early Modern Europe</w:t>
      </w:r>
      <w:r>
        <w:rPr>
          <w:rStyle w:val="st"/>
        </w:rPr>
        <w:t xml:space="preserve">, eds. Michael Halvorson and Karen </w:t>
      </w:r>
      <w:proofErr w:type="spellStart"/>
      <w:r>
        <w:rPr>
          <w:rStyle w:val="st"/>
        </w:rPr>
        <w:t>Spierling</w:t>
      </w:r>
      <w:proofErr w:type="spellEnd"/>
      <w:r>
        <w:rPr>
          <w:rStyle w:val="st"/>
        </w:rPr>
        <w:t xml:space="preserve"> (Aldershot, 2008): 205-227.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4578"/>
    <w:rsid w:val="00035ED6"/>
    <w:rsid w:val="00067361"/>
    <w:rsid w:val="000816BB"/>
    <w:rsid w:val="00124578"/>
    <w:rsid w:val="00254EEB"/>
    <w:rsid w:val="0028416B"/>
    <w:rsid w:val="002B7932"/>
    <w:rsid w:val="0032175A"/>
    <w:rsid w:val="00333CE4"/>
    <w:rsid w:val="003D65F5"/>
    <w:rsid w:val="00426BA8"/>
    <w:rsid w:val="00460F03"/>
    <w:rsid w:val="0052227F"/>
    <w:rsid w:val="00633148"/>
    <w:rsid w:val="006505FF"/>
    <w:rsid w:val="006B2CFD"/>
    <w:rsid w:val="00703920"/>
    <w:rsid w:val="00743EFD"/>
    <w:rsid w:val="0079029B"/>
    <w:rsid w:val="007A5806"/>
    <w:rsid w:val="007D7BA9"/>
    <w:rsid w:val="00905058"/>
    <w:rsid w:val="0091473F"/>
    <w:rsid w:val="009C080E"/>
    <w:rsid w:val="00AC4C90"/>
    <w:rsid w:val="00AF17DA"/>
    <w:rsid w:val="00B662BE"/>
    <w:rsid w:val="00C350B6"/>
    <w:rsid w:val="00C651A1"/>
    <w:rsid w:val="00C662DC"/>
    <w:rsid w:val="00CA3BDD"/>
    <w:rsid w:val="00DC70CD"/>
    <w:rsid w:val="00E62D28"/>
    <w:rsid w:val="00E92994"/>
    <w:rsid w:val="00ED2651"/>
    <w:rsid w:val="00ED7B87"/>
    <w:rsid w:val="00EE07A4"/>
    <w:rsid w:val="00F13979"/>
    <w:rsid w:val="00F22AD6"/>
    <w:rsid w:val="00F5664A"/>
    <w:rsid w:val="00F73C77"/>
    <w:rsid w:val="00F778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4DD8BC"/>
  <w15:chartTrackingRefBased/>
  <w15:docId w15:val="{15F9A9D5-8570-4071-8360-3A111E86B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5ED6"/>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autoRedefine/>
    <w:uiPriority w:val="1"/>
    <w:qFormat/>
    <w:rsid w:val="00067361"/>
    <w:pPr>
      <w:spacing w:after="0" w:line="240" w:lineRule="auto"/>
    </w:pPr>
    <w:rPr>
      <w:rFonts w:ascii="Times New Roman" w:hAnsi="Times New Roman"/>
    </w:rPr>
  </w:style>
  <w:style w:type="character" w:customStyle="1" w:styleId="NoSpacingChar">
    <w:name w:val="No Spacing Char"/>
    <w:basedOn w:val="DefaultParagraphFont"/>
    <w:link w:val="NoSpacing"/>
    <w:uiPriority w:val="1"/>
    <w:rsid w:val="00067361"/>
    <w:rPr>
      <w:rFonts w:ascii="Times New Roman" w:hAnsi="Times New Roman"/>
    </w:rPr>
  </w:style>
  <w:style w:type="paragraph" w:styleId="FootnoteText">
    <w:name w:val="footnote text"/>
    <w:basedOn w:val="Normal"/>
    <w:link w:val="FootnoteTextChar"/>
    <w:uiPriority w:val="99"/>
    <w:semiHidden/>
    <w:unhideWhenUsed/>
    <w:rsid w:val="00460F0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60F03"/>
    <w:rPr>
      <w:rFonts w:ascii="Times New Roman" w:hAnsi="Times New Roman"/>
      <w:sz w:val="20"/>
      <w:szCs w:val="20"/>
    </w:rPr>
  </w:style>
  <w:style w:type="character" w:styleId="FootnoteReference">
    <w:name w:val="footnote reference"/>
    <w:basedOn w:val="DefaultParagraphFont"/>
    <w:uiPriority w:val="99"/>
    <w:semiHidden/>
    <w:unhideWhenUsed/>
    <w:rsid w:val="00460F03"/>
    <w:rPr>
      <w:vertAlign w:val="superscript"/>
    </w:rPr>
  </w:style>
  <w:style w:type="character" w:customStyle="1" w:styleId="st">
    <w:name w:val="st"/>
    <w:basedOn w:val="DefaultParagraphFont"/>
    <w:rsid w:val="00460F03"/>
  </w:style>
  <w:style w:type="character" w:styleId="Emphasis">
    <w:name w:val="Emphasis"/>
    <w:basedOn w:val="DefaultParagraphFont"/>
    <w:uiPriority w:val="20"/>
    <w:qFormat/>
    <w:rsid w:val="00460F03"/>
    <w:rPr>
      <w:i/>
      <w:iCs/>
    </w:rPr>
  </w:style>
  <w:style w:type="paragraph" w:styleId="Header">
    <w:name w:val="header"/>
    <w:basedOn w:val="Normal"/>
    <w:link w:val="HeaderChar"/>
    <w:uiPriority w:val="99"/>
    <w:unhideWhenUsed/>
    <w:rsid w:val="002B79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7932"/>
    <w:rPr>
      <w:rFonts w:ascii="Times New Roman" w:hAnsi="Times New Roman"/>
    </w:rPr>
  </w:style>
  <w:style w:type="paragraph" w:styleId="Footer">
    <w:name w:val="footer"/>
    <w:basedOn w:val="Normal"/>
    <w:link w:val="FooterChar"/>
    <w:uiPriority w:val="99"/>
    <w:unhideWhenUsed/>
    <w:rsid w:val="002B79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7932"/>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0C21EC-01E7-4A01-B538-504A9EBB1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229</Words>
  <Characters>1306</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Kumin, Beat</cp:lastModifiedBy>
  <cp:revision>2</cp:revision>
  <dcterms:created xsi:type="dcterms:W3CDTF">2020-10-23T16:01:00Z</dcterms:created>
  <dcterms:modified xsi:type="dcterms:W3CDTF">2020-10-23T16:01:00Z</dcterms:modified>
</cp:coreProperties>
</file>