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10F90A" w14:textId="0D65C52B" w:rsidR="00B63EDB" w:rsidRPr="00090AEE" w:rsidRDefault="00090AEE" w:rsidP="00090AEE">
      <w:pPr>
        <w:jc w:val="center"/>
        <w:rPr>
          <w:rFonts w:cstheme="minorHAnsi"/>
          <w:bCs/>
          <w:color w:val="3F4246"/>
          <w:sz w:val="37"/>
          <w:szCs w:val="39"/>
          <w:shd w:val="clear" w:color="auto" w:fill="FFFFFF"/>
        </w:rPr>
      </w:pPr>
      <w:r w:rsidRPr="00090AEE">
        <w:rPr>
          <w:rFonts w:cstheme="minorHAnsi"/>
          <w:bCs/>
          <w:color w:val="3F4246"/>
          <w:sz w:val="37"/>
          <w:szCs w:val="39"/>
          <w:shd w:val="clear" w:color="auto" w:fill="FFFFFF"/>
        </w:rPr>
        <w:t>Remembering the Par</w:t>
      </w:r>
      <w:bookmarkStart w:id="0" w:name="_GoBack"/>
      <w:bookmarkEnd w:id="0"/>
      <w:r w:rsidRPr="00090AEE">
        <w:rPr>
          <w:rFonts w:cstheme="minorHAnsi"/>
          <w:bCs/>
          <w:color w:val="3F4246"/>
          <w:sz w:val="37"/>
          <w:szCs w:val="39"/>
          <w:shd w:val="clear" w:color="auto" w:fill="FFFFFF"/>
        </w:rPr>
        <w:t>ish</w:t>
      </w:r>
    </w:p>
    <w:p w14:paraId="1449C948" w14:textId="77777777" w:rsidR="00090AEE" w:rsidRDefault="00090AEE">
      <w:pPr>
        <w:rPr>
          <w:b/>
        </w:rPr>
      </w:pPr>
    </w:p>
    <w:p w14:paraId="2293731F" w14:textId="7ECCC63A" w:rsidR="00487336" w:rsidRPr="007E5AB8" w:rsidRDefault="00487336">
      <w:pPr>
        <w:rPr>
          <w:b/>
        </w:rPr>
      </w:pPr>
      <w:r>
        <w:rPr>
          <w:b/>
        </w:rPr>
        <w:t xml:space="preserve">Use of Siege ruins in Colchester in the long nineteenth century.  </w:t>
      </w:r>
    </w:p>
    <w:p w14:paraId="3494A3C0" w14:textId="5031FCE4" w:rsidR="00311667" w:rsidRDefault="001879CB" w:rsidP="00311667">
      <w:pPr>
        <w:spacing w:line="360" w:lineRule="auto"/>
        <w:jc w:val="both"/>
        <w:rPr>
          <w:rFonts w:ascii="Calibri" w:hAnsi="Calibri" w:cs="Calibri"/>
          <w:sz w:val="24"/>
          <w:szCs w:val="24"/>
          <w:lang w:val="en"/>
        </w:rPr>
      </w:pPr>
      <w:r>
        <w:rPr>
          <w:rFonts w:cstheme="minorHAnsi"/>
          <w:sz w:val="24"/>
          <w:szCs w:val="24"/>
        </w:rPr>
        <w:t xml:space="preserve">The siege of Colchester in 1648 saw heavy damage to many buildings in the town.   </w:t>
      </w:r>
      <w:r w:rsidR="005E0EF6">
        <w:rPr>
          <w:rFonts w:cstheme="minorHAnsi"/>
          <w:sz w:val="24"/>
          <w:szCs w:val="24"/>
        </w:rPr>
        <w:t xml:space="preserve">Generally, the Civil War failed to last in memory in the buildings in England, as Stephen Porter has argued that, </w:t>
      </w:r>
      <w:r w:rsidR="005E0EF6" w:rsidRPr="00255317">
        <w:rPr>
          <w:rFonts w:cstheme="minorHAnsi"/>
          <w:sz w:val="24"/>
          <w:szCs w:val="24"/>
        </w:rPr>
        <w:t>‘the memory of the destruction carried out during the Civil Wars gradually recedes with the passage of time as the process of rebuilding covered many of the scars’</w:t>
      </w:r>
      <w:r w:rsidR="007051DC">
        <w:rPr>
          <w:rFonts w:cstheme="minorHAnsi"/>
          <w:sz w:val="24"/>
          <w:szCs w:val="24"/>
        </w:rPr>
        <w:t xml:space="preserve"> (Porter: 2011, 117).</w:t>
      </w:r>
      <w:r w:rsidR="005E0EF6">
        <w:rPr>
          <w:rFonts w:cstheme="minorHAnsi"/>
          <w:sz w:val="24"/>
          <w:szCs w:val="24"/>
        </w:rPr>
        <w:t xml:space="preserve">  </w:t>
      </w:r>
      <w:r>
        <w:rPr>
          <w:rFonts w:cstheme="minorHAnsi"/>
          <w:sz w:val="24"/>
          <w:szCs w:val="24"/>
        </w:rPr>
        <w:t>Yet, in Colchester, many buildings survived and carried with them the legacy of the conflict.  Focusing on the site and parish of St. Botolph’s</w:t>
      </w:r>
      <w:r w:rsidR="00487336">
        <w:rPr>
          <w:rFonts w:cstheme="minorHAnsi"/>
          <w:sz w:val="24"/>
          <w:szCs w:val="24"/>
        </w:rPr>
        <w:t xml:space="preserve"> from the mid eighteenth century to the end of the nineteenth</w:t>
      </w:r>
      <w:r w:rsidR="00F06DBB">
        <w:rPr>
          <w:rFonts w:cstheme="minorHAnsi"/>
          <w:sz w:val="24"/>
          <w:szCs w:val="24"/>
        </w:rPr>
        <w:t xml:space="preserve">, this paper will show </w:t>
      </w:r>
      <w:r>
        <w:rPr>
          <w:rFonts w:cstheme="minorHAnsi"/>
          <w:sz w:val="24"/>
          <w:szCs w:val="24"/>
        </w:rPr>
        <w:t xml:space="preserve">how </w:t>
      </w:r>
      <w:r w:rsidR="00F8750C">
        <w:rPr>
          <w:rFonts w:cstheme="minorHAnsi"/>
          <w:sz w:val="24"/>
          <w:szCs w:val="24"/>
        </w:rPr>
        <w:t xml:space="preserve">the parish dealt with the loss of their church and how the town </w:t>
      </w:r>
      <w:r>
        <w:rPr>
          <w:rFonts w:cstheme="minorHAnsi"/>
          <w:sz w:val="24"/>
          <w:szCs w:val="24"/>
        </w:rPr>
        <w:t>remembered the siege and how it</w:t>
      </w:r>
      <w:r w:rsidR="00693475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 xml:space="preserve">used </w:t>
      </w:r>
      <w:r w:rsidR="00F8750C">
        <w:rPr>
          <w:rFonts w:cstheme="minorHAnsi"/>
          <w:sz w:val="24"/>
          <w:szCs w:val="24"/>
        </w:rPr>
        <w:t xml:space="preserve">the </w:t>
      </w:r>
      <w:r>
        <w:rPr>
          <w:rFonts w:cstheme="minorHAnsi"/>
          <w:sz w:val="24"/>
          <w:szCs w:val="24"/>
        </w:rPr>
        <w:t>siege ruins</w:t>
      </w:r>
      <w:r w:rsidR="00F06DBB">
        <w:rPr>
          <w:rFonts w:cstheme="minorHAnsi"/>
          <w:sz w:val="24"/>
          <w:szCs w:val="24"/>
        </w:rPr>
        <w:t>.</w:t>
      </w:r>
      <w:r w:rsidR="00693475">
        <w:rPr>
          <w:rFonts w:cstheme="minorHAnsi"/>
          <w:sz w:val="24"/>
          <w:szCs w:val="24"/>
        </w:rPr>
        <w:t xml:space="preserve">  </w:t>
      </w:r>
      <w:r>
        <w:rPr>
          <w:rFonts w:cstheme="minorHAnsi"/>
          <w:sz w:val="24"/>
          <w:szCs w:val="24"/>
        </w:rPr>
        <w:t>Using the priory as a case study, t</w:t>
      </w:r>
      <w:r w:rsidR="005E0EF6">
        <w:rPr>
          <w:rFonts w:cstheme="minorHAnsi"/>
          <w:sz w:val="24"/>
          <w:szCs w:val="24"/>
        </w:rPr>
        <w:t xml:space="preserve">his paper examines how the buildings in and around Colchester held a memory of the past and defined the town socially and politically up until the late twentieth century.  </w:t>
      </w:r>
      <w:r w:rsidR="00090AEE">
        <w:rPr>
          <w:rFonts w:ascii="Calibri" w:hAnsi="Calibri" w:cs="Calibri"/>
          <w:sz w:val="24"/>
          <w:szCs w:val="24"/>
          <w:lang w:val="en"/>
        </w:rPr>
        <w:t>Buildings</w:t>
      </w:r>
      <w:r w:rsidR="00311667">
        <w:rPr>
          <w:rFonts w:ascii="Calibri" w:hAnsi="Calibri" w:cs="Calibri"/>
          <w:sz w:val="24"/>
          <w:szCs w:val="24"/>
          <w:lang w:val="en"/>
        </w:rPr>
        <w:t xml:space="preserve"> were incredibly important because they were symbols of Colchester</w:t>
      </w:r>
      <w:r>
        <w:rPr>
          <w:rFonts w:ascii="Calibri" w:hAnsi="Calibri" w:cs="Calibri"/>
          <w:sz w:val="24"/>
          <w:szCs w:val="24"/>
          <w:lang w:val="en"/>
        </w:rPr>
        <w:t>’s</w:t>
      </w:r>
      <w:r w:rsidR="00311667">
        <w:rPr>
          <w:rFonts w:ascii="Calibri" w:hAnsi="Calibri" w:cs="Calibri"/>
          <w:sz w:val="24"/>
          <w:szCs w:val="24"/>
          <w:lang w:val="en"/>
        </w:rPr>
        <w:t xml:space="preserve"> identity in a society where fitting into the national identity was incredibly important.   </w:t>
      </w:r>
      <w:r w:rsidR="00B26E9D">
        <w:rPr>
          <w:rFonts w:ascii="Calibri" w:hAnsi="Calibri" w:cs="Calibri"/>
          <w:sz w:val="24"/>
          <w:szCs w:val="24"/>
          <w:lang w:val="en"/>
        </w:rPr>
        <w:t xml:space="preserve">Colchester </w:t>
      </w:r>
      <w:r w:rsidR="00EE5095">
        <w:rPr>
          <w:rFonts w:ascii="Calibri" w:hAnsi="Calibri" w:cs="Calibri"/>
          <w:sz w:val="24"/>
          <w:szCs w:val="24"/>
          <w:lang w:val="en"/>
        </w:rPr>
        <w:t>defined</w:t>
      </w:r>
      <w:r w:rsidR="00B26E9D">
        <w:rPr>
          <w:rFonts w:ascii="Calibri" w:hAnsi="Calibri" w:cs="Calibri"/>
          <w:sz w:val="24"/>
          <w:szCs w:val="24"/>
          <w:lang w:val="en"/>
        </w:rPr>
        <w:t xml:space="preserve"> itself by the buildings around it, and in the nineteenth century these sites became crucial in how the old market town defined itself to the wider nation.  </w:t>
      </w:r>
      <w:r w:rsidR="00350D43">
        <w:rPr>
          <w:rFonts w:ascii="Calibri" w:hAnsi="Calibri" w:cs="Calibri"/>
          <w:sz w:val="24"/>
          <w:szCs w:val="24"/>
          <w:lang w:val="en"/>
        </w:rPr>
        <w:t>Thus</w:t>
      </w:r>
      <w:r w:rsidR="007051DC">
        <w:rPr>
          <w:rFonts w:ascii="Calibri" w:hAnsi="Calibri" w:cs="Calibri"/>
          <w:sz w:val="24"/>
          <w:szCs w:val="24"/>
          <w:lang w:val="en"/>
        </w:rPr>
        <w:t>,</w:t>
      </w:r>
      <w:r w:rsidR="00350D43">
        <w:rPr>
          <w:rFonts w:ascii="Calibri" w:hAnsi="Calibri" w:cs="Calibri"/>
          <w:sz w:val="24"/>
          <w:szCs w:val="24"/>
          <w:lang w:val="en"/>
        </w:rPr>
        <w:t xml:space="preserve"> this paper explores the memory of the British Civil Wars </w:t>
      </w:r>
      <w:r w:rsidR="00BA1252">
        <w:rPr>
          <w:rFonts w:ascii="Calibri" w:hAnsi="Calibri" w:cs="Calibri"/>
          <w:sz w:val="24"/>
          <w:szCs w:val="24"/>
          <w:lang w:val="en"/>
        </w:rPr>
        <w:t xml:space="preserve">and how important </w:t>
      </w:r>
      <w:r w:rsidR="007E5AB8">
        <w:rPr>
          <w:rFonts w:ascii="Calibri" w:hAnsi="Calibri" w:cs="Calibri"/>
          <w:sz w:val="24"/>
          <w:szCs w:val="24"/>
          <w:lang w:val="en"/>
        </w:rPr>
        <w:t>sites</w:t>
      </w:r>
      <w:r w:rsidR="00BA1252">
        <w:rPr>
          <w:rFonts w:ascii="Calibri" w:hAnsi="Calibri" w:cs="Calibri"/>
          <w:sz w:val="24"/>
          <w:szCs w:val="24"/>
          <w:lang w:val="en"/>
        </w:rPr>
        <w:t xml:space="preserve"> were in maintaining and creating memories of the siege of 1648</w:t>
      </w:r>
      <w:r w:rsidR="007051DC">
        <w:rPr>
          <w:rFonts w:ascii="Calibri" w:hAnsi="Calibri" w:cs="Calibri"/>
          <w:sz w:val="24"/>
          <w:szCs w:val="24"/>
          <w:lang w:val="en"/>
        </w:rPr>
        <w:t>.</w:t>
      </w:r>
    </w:p>
    <w:p w14:paraId="30B29281" w14:textId="06BD07FA" w:rsidR="00D83AC1" w:rsidRPr="00CD122E" w:rsidRDefault="007E5AB8" w:rsidP="005E0EF6">
      <w:pPr>
        <w:spacing w:line="360" w:lineRule="auto"/>
        <w:jc w:val="both"/>
        <w:rPr>
          <w:sz w:val="24"/>
        </w:rPr>
      </w:pPr>
      <w:r w:rsidRPr="00AD76BB">
        <w:rPr>
          <w:sz w:val="24"/>
        </w:rPr>
        <w:t xml:space="preserve">Michael graduated from the University of Winchester with a BA in History and the Modern World and a MA in History.  His BA and MA dissertations examined the changing memory of Bomber Command and how the Anglo-Dutch Wars have impacted on local and national identities.  He is currently a PhD candidate at the University of Essex after receiving the University of Essex Doctoral Scholarship.  His research examines the </w:t>
      </w:r>
      <w:r>
        <w:rPr>
          <w:sz w:val="24"/>
        </w:rPr>
        <w:t xml:space="preserve">use and perceptions of </w:t>
      </w:r>
      <w:r w:rsidRPr="00AD76BB">
        <w:rPr>
          <w:sz w:val="24"/>
        </w:rPr>
        <w:t xml:space="preserve">regional landscapes </w:t>
      </w:r>
      <w:r>
        <w:rPr>
          <w:sz w:val="24"/>
        </w:rPr>
        <w:t xml:space="preserve">affected by </w:t>
      </w:r>
      <w:r w:rsidRPr="00AD76BB">
        <w:rPr>
          <w:sz w:val="24"/>
        </w:rPr>
        <w:t xml:space="preserve">the British Civil Wars and their impact on local and national identities.  </w:t>
      </w:r>
      <w:r w:rsidR="00CD122E">
        <w:rPr>
          <w:rFonts w:cstheme="minorHAnsi"/>
          <w:sz w:val="24"/>
          <w:szCs w:val="24"/>
        </w:rPr>
        <w:t>Michael has recently set up a</w:t>
      </w:r>
      <w:r w:rsidR="00D83AC1">
        <w:rPr>
          <w:rFonts w:cstheme="minorHAnsi"/>
          <w:sz w:val="24"/>
          <w:szCs w:val="24"/>
        </w:rPr>
        <w:t xml:space="preserve"> project called </w:t>
      </w:r>
      <w:proofErr w:type="spellStart"/>
      <w:r w:rsidR="00D83AC1">
        <w:rPr>
          <w:rFonts w:cstheme="minorHAnsi"/>
          <w:sz w:val="24"/>
          <w:szCs w:val="24"/>
        </w:rPr>
        <w:t>HistoryIndoors</w:t>
      </w:r>
      <w:proofErr w:type="spellEnd"/>
      <w:r w:rsidR="00D83AC1">
        <w:rPr>
          <w:rFonts w:cstheme="minorHAnsi"/>
          <w:sz w:val="24"/>
          <w:szCs w:val="24"/>
        </w:rPr>
        <w:t xml:space="preserve"> where PhD students at Essex provide free history talks for the public, these can be accessed at </w:t>
      </w:r>
      <w:hyperlink r:id="rId6" w:history="1">
        <w:r w:rsidR="00D83AC1" w:rsidRPr="00F36807">
          <w:rPr>
            <w:rStyle w:val="Hyperlink"/>
            <w:rFonts w:cstheme="minorHAnsi"/>
            <w:sz w:val="24"/>
            <w:szCs w:val="24"/>
          </w:rPr>
          <w:t>www.historyindoors.wordpress.com</w:t>
        </w:r>
      </w:hyperlink>
      <w:r w:rsidR="00D83AC1">
        <w:rPr>
          <w:rFonts w:cstheme="minorHAnsi"/>
          <w:sz w:val="24"/>
          <w:szCs w:val="24"/>
        </w:rPr>
        <w:t xml:space="preserve"> </w:t>
      </w:r>
    </w:p>
    <w:sectPr w:rsidR="00D83AC1" w:rsidRPr="00CD122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4D2106" w14:textId="77777777" w:rsidR="00121A63" w:rsidRDefault="00121A63" w:rsidP="005E0EF6">
      <w:pPr>
        <w:spacing w:after="0" w:line="240" w:lineRule="auto"/>
      </w:pPr>
      <w:r>
        <w:separator/>
      </w:r>
    </w:p>
  </w:endnote>
  <w:endnote w:type="continuationSeparator" w:id="0">
    <w:p w14:paraId="18C62E05" w14:textId="77777777" w:rsidR="00121A63" w:rsidRDefault="00121A63" w:rsidP="005E0E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E2DB68" w14:textId="77777777" w:rsidR="00121A63" w:rsidRDefault="00121A63" w:rsidP="005E0EF6">
      <w:pPr>
        <w:spacing w:after="0" w:line="240" w:lineRule="auto"/>
      </w:pPr>
      <w:r>
        <w:separator/>
      </w:r>
    </w:p>
  </w:footnote>
  <w:footnote w:type="continuationSeparator" w:id="0">
    <w:p w14:paraId="46FB43CF" w14:textId="77777777" w:rsidR="00121A63" w:rsidRDefault="00121A63" w:rsidP="005E0EF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26DF"/>
    <w:rsid w:val="00030629"/>
    <w:rsid w:val="000641A7"/>
    <w:rsid w:val="00090AEE"/>
    <w:rsid w:val="00121A63"/>
    <w:rsid w:val="001271DA"/>
    <w:rsid w:val="001879CB"/>
    <w:rsid w:val="00201703"/>
    <w:rsid w:val="00311667"/>
    <w:rsid w:val="00312A9B"/>
    <w:rsid w:val="00350D43"/>
    <w:rsid w:val="004326DF"/>
    <w:rsid w:val="00487336"/>
    <w:rsid w:val="005107FC"/>
    <w:rsid w:val="00520469"/>
    <w:rsid w:val="005E0EF6"/>
    <w:rsid w:val="00693475"/>
    <w:rsid w:val="006D0F9C"/>
    <w:rsid w:val="007012B3"/>
    <w:rsid w:val="007051DC"/>
    <w:rsid w:val="007E5AB8"/>
    <w:rsid w:val="008B3FDD"/>
    <w:rsid w:val="009365D6"/>
    <w:rsid w:val="00A13BBE"/>
    <w:rsid w:val="00B26E9D"/>
    <w:rsid w:val="00B63EDB"/>
    <w:rsid w:val="00BA1252"/>
    <w:rsid w:val="00CC4E9A"/>
    <w:rsid w:val="00CD122E"/>
    <w:rsid w:val="00D83AC1"/>
    <w:rsid w:val="00DB6975"/>
    <w:rsid w:val="00E53DA0"/>
    <w:rsid w:val="00EE5095"/>
    <w:rsid w:val="00F06DBB"/>
    <w:rsid w:val="00F32A8E"/>
    <w:rsid w:val="00F875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D46D45"/>
  <w15:docId w15:val="{64D6B8CA-4628-4CAD-AE77-BECA91AD3E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te-title">
    <w:name w:val="site-title"/>
    <w:basedOn w:val="Normal"/>
    <w:rsid w:val="004326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4326DF"/>
    <w:rPr>
      <w:color w:val="0000FF"/>
      <w:u w:val="single"/>
    </w:rPr>
  </w:style>
  <w:style w:type="paragraph" w:customStyle="1" w:styleId="site-description">
    <w:name w:val="site-description"/>
    <w:basedOn w:val="Normal"/>
    <w:rsid w:val="004326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noteText">
    <w:name w:val="footnote text"/>
    <w:basedOn w:val="Normal"/>
    <w:link w:val="FootnoteTextChar"/>
    <w:uiPriority w:val="99"/>
    <w:unhideWhenUsed/>
    <w:rsid w:val="005E0EF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5E0EF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5E0EF6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D83A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54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historyindoors.wordpress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393</Words>
  <Characters>1925</Characters>
  <Application>Microsoft Office Word</Application>
  <DocSecurity>0</DocSecurity>
  <Lines>27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Essex</Company>
  <LinksUpToDate>false</LinksUpToDate>
  <CharactersWithSpaces>2315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 Sewell</dc:creator>
  <cp:lastModifiedBy>Michael Sewell</cp:lastModifiedBy>
  <cp:revision>2</cp:revision>
  <dcterms:created xsi:type="dcterms:W3CDTF">2020-07-10T11:35:00Z</dcterms:created>
  <dcterms:modified xsi:type="dcterms:W3CDTF">2020-07-10T11:35:00Z</dcterms:modified>
</cp:coreProperties>
</file>