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62E2" w:rsidRPr="00EE410C" w:rsidRDefault="000062E2" w:rsidP="000062E2">
      <w:pPr>
        <w:pStyle w:val="NormalWeb"/>
        <w:rPr>
          <w:b/>
        </w:rPr>
      </w:pPr>
      <w:r w:rsidRPr="00EE410C">
        <w:rPr>
          <w:b/>
        </w:rPr>
        <w:t>Handyside v UK</w:t>
      </w:r>
    </w:p>
    <w:p w:rsidR="000062E2" w:rsidRPr="00EE410C" w:rsidRDefault="000062E2" w:rsidP="000062E2">
      <w:pPr>
        <w:pStyle w:val="ju-005fpara"/>
      </w:pPr>
      <w:r w:rsidRPr="00EE410C">
        <w:t>43. The various measures challenged - the applicant’s criminal conviction, the seizure and subsequent forfeiture and destruction of the matrix and of hundreds of copies of the Schoolbook - were without any doubt, and the Government did not deny it, "interferences by public authority" in the exercise of his freedom of expression which is guaranteed by paragraph 1 (art. 10-1) of the text cited above. Such interferences entail a "violation" of Article 10 if they do not fall within one of the exceptions provided for in paragraph 2 (art. 10-2), which is accordingly of decisive importance in this case.</w:t>
      </w:r>
    </w:p>
    <w:p w:rsidR="000062E2" w:rsidRPr="00EE410C" w:rsidRDefault="000062E2" w:rsidP="000062E2">
      <w:pPr>
        <w:pStyle w:val="ju-005fpara"/>
      </w:pPr>
      <w:r w:rsidRPr="00EE410C">
        <w:t>44. If the "restrictions" and "penalties" complained of by Mr. Handyside are not to infringe Article 10 (art. 10), they must, according to paragraph 2 (art. 10-2), in the first place have been "prescribed by law". The Court finds that this was the case. In the United Kingdom legal system, the basis in law for the measures in question was the 1959/1964 Acts (paragraphs 14-18, 24-25 and 27-34 above). Besides, this was not contested by the applicant who further admitted that the competent authorities had correctly applied those Acts.</w:t>
      </w:r>
    </w:p>
    <w:p w:rsidR="000062E2" w:rsidRPr="00EE410C" w:rsidRDefault="000062E2" w:rsidP="000062E2">
      <w:pPr>
        <w:pStyle w:val="ju-005fpara"/>
      </w:pPr>
      <w:r w:rsidRPr="00EE410C">
        <w:t>45. Having thus ascertained that the interferences complained of satisfied the first of the conditions in paragraph 2 of Article 10 (art. 10-2), the Court then investigated whether they also complied with the others. According to the Government and the majority of the Commission, the interferences were "necessary in a democratic society", "for the protection of ... morals".</w:t>
      </w:r>
    </w:p>
    <w:p w:rsidR="000062E2" w:rsidRPr="00EE410C" w:rsidRDefault="000062E2" w:rsidP="000062E2">
      <w:pPr>
        <w:pStyle w:val="ju-005fpara"/>
      </w:pPr>
      <w:r w:rsidRPr="00EE410C">
        <w:t>46. Sharing the view of the Government and the unanimous opinion of the Commission, the Court first finds that the 1959/1964 Acts have an aim that is legitimate under Article 10 para. 2 (art. 10-2), namely, the protection of morals in a democratic society. Only this latter purpose is relevant in this case since the object of the said Acts - to wage war on "obscene" publications, defined by their tendency to "deprave and corrupt" - is linked far more closely to the protection of morals than to any of the further purposes permitted by Article 10 para. 2 (art. 10-2).</w:t>
      </w:r>
    </w:p>
    <w:p w:rsidR="000062E2" w:rsidRPr="00EE410C" w:rsidRDefault="000062E2" w:rsidP="000062E2">
      <w:pPr>
        <w:pStyle w:val="ju-005fpara"/>
      </w:pPr>
      <w:r w:rsidRPr="00EE410C">
        <w:t>47. The Court must also investigate whether the protection of morals in a democratic society necessitated the various measures taken against the applicant and the Schoolbook under the 1959/1964 Acts. Mr. Handyside does not restrict himself to criticising these Acts as such: he also makes - from the viewpoint of the Convention and not of English law - several complaints concerning their application in his case.</w:t>
      </w:r>
    </w:p>
    <w:p w:rsidR="000062E2" w:rsidRPr="00EE410C" w:rsidRDefault="000062E2" w:rsidP="000062E2">
      <w:pPr>
        <w:pStyle w:val="ju-005fpara"/>
      </w:pPr>
      <w:r w:rsidRPr="00EE410C">
        <w:t>The Commission’s report and the subsequent hearings before the Court in June 1976 brought to light clear-cut differences of opinion on a crucial problem, namely, how to determine whether the actual "restrictions" and "penalties" complained of by the applicant were "necessary in a democratic society", "for the protection of morals". According to the Government and the majority of the Commission, the Court has only to ensure that the English courts acted reasonably, in good faith and within the limits of the margin of appreciation left to the Contracting States by Article 10 para. 2 (art. 10-2). On the other hand, the minority of the Commission sees the Court’s task as being not to review the Inner London Quarter Sessions judgment but to examine the Schoolbook directly in the light of the Convention and of nothing but the Convention.</w:t>
      </w:r>
    </w:p>
    <w:p w:rsidR="000062E2" w:rsidRPr="00EE410C" w:rsidRDefault="000062E2" w:rsidP="000062E2">
      <w:pPr>
        <w:pStyle w:val="ju-005fpara"/>
      </w:pPr>
      <w:r w:rsidRPr="00EE410C">
        <w:lastRenderedPageBreak/>
        <w:t>48. The Court points out that the machinery of protection established by the Convention is subsidiary to the national systems safeguarding human rights (judgment of 23 July 1968 on the merits of the "Belgian Linguistic" case, Series A no. 6, p. 35, para. 10 in fine). The Convention leaves to each Contracting State, in the first place, the task of securing the rights and liberties it enshrines. The institutions created by it make their own contribution to this task but they become involved only through contentious proceedings and once all domestic remedies have been exhausted (Article 26) (art. 26).</w:t>
      </w:r>
    </w:p>
    <w:p w:rsidR="000062E2" w:rsidRPr="00EE410C" w:rsidRDefault="000062E2" w:rsidP="000062E2">
      <w:pPr>
        <w:pStyle w:val="ju-005fpara"/>
      </w:pPr>
      <w:r w:rsidRPr="00EE410C">
        <w:t>These observations apply, notably, to Article 10 para. 2 (art. 10-2). In particular, it is not possible to find in the domestic law of the various Contracting States a uniform European conception of morals. The view taken by their respective laws of the requirements of morals varies from time to time and from place to place, especially in our era which is characterised by a rapid and far-reaching evolution of opinions on the subject. By reason of their direct and continuous contact with the vital forces of their countries, State authorities are in principle in a better position than the international judge to give an opinion on the exact content of these requirements as well as on the "necessity" of a "restriction" or "penalty" intended to meet them. The Court notes at this juncture that, whilst the adjective "necessary", within the meaning of Article 10 para. 2 (art. 10-2), is not synonymous with "indispensable" (cf., in Articles 2 para. 2 (art. 2-2) and 6 para. 1 (art. 6-1), the words "absolutely necessary" and "strictly necessary" and, in Article 15 para. 1 (art. 15-1), the phrase "to the extent strictly required by the exigencies of the situation"), neither has it the flexibility of such expressions as "admissible", "ordinary" (cf. Article 4 para. 3) (art. 4-3), "useful" (cf. the French text of the first paragraph of Article 1 of Protocol No. 1) (P1-1), "reasonable" (cf. Articles 5 para. 3 and 6 para. 1) (art. 5-3, art. 6-1) or "desirable". Nevertheless, it is for the national authorities to make the initial assessment of the reality of the pressing social need implied by the notion of "necessity" in this context.</w:t>
      </w:r>
    </w:p>
    <w:p w:rsidR="000062E2" w:rsidRPr="00EE410C" w:rsidRDefault="000062E2" w:rsidP="000062E2">
      <w:pPr>
        <w:pStyle w:val="ju-005fpara"/>
      </w:pPr>
      <w:r w:rsidRPr="00EE410C">
        <w:t>Consequently, Article 10 para. 2 (art. 10-2) leaves to the Contracting States a margin of appreciation. This margin is given both to the domestic legislator ("prescribed by law") and to the bodies, judicial amongst others, that are called upon to interpret and apply the laws in force (Engel and others judgment of 8 June 1976, Series A no. 22, pp. 41-42, para. 100; cf., for Article 8 para. 2 (art. 8-2), De Wilde, Ooms and Versyp judgment of 18 June 1971, Series A no. 12, pp. 45-46, para. 93, and the Golder judgment of 21 February 1975, Series A no. 18, pp. 21-22, para. 45).</w:t>
      </w:r>
    </w:p>
    <w:p w:rsidR="000062E2" w:rsidRPr="00EE410C" w:rsidRDefault="000062E2" w:rsidP="000062E2">
      <w:pPr>
        <w:pStyle w:val="ju-005fpara"/>
      </w:pPr>
      <w:r w:rsidRPr="00EE410C">
        <w:t>49. Nevertheless, Article 10 para. 2 (art. 10-2) does not give the Contracting States an unlimited power of appreciation. The Court, which, with the Commission, is responsible for ensuring the observance of those States’ engagements (Article 19) (art. 19), is empowered to give the final ruling on whether a "restriction" or "penalty" is reconcilable with freedom of expression as protected by Article 10 (art. 10). The domestic margin of appreciation thus goes hand in hand with a European supervision. Such supervision concerns both the aim of the measure challenged and its "necessity"; it covers not only the basic legislation but also the decision applying it, even one given by an independent court. In this respect, the Court refers to Article 50 (art. 50) of the Convention ("decision or ... measure taken by a legal authority or any other authority") as well as to its own case-law (Engel and others judgment of 8 June 1976, Series A no. 22, pp. 41-42, para. 100).</w:t>
      </w:r>
    </w:p>
    <w:p w:rsidR="000062E2" w:rsidRPr="00EE410C" w:rsidRDefault="000062E2" w:rsidP="000062E2">
      <w:pPr>
        <w:pStyle w:val="ju-005fpara"/>
      </w:pPr>
      <w:r w:rsidRPr="00EE410C">
        <w:t>The Court’s supervisory functions oblige it to pay the utmost attention to the principles characterising a "democratic society". Freedom of expression constitutes one of the essential foundations of such a society, one of the basic conditions for its progress and for the development of every man. Subject to paragraph 2 of Article 10 (art. 10-2), it is applicable not only to "information" or "ideas" that are favourably received or regarded as inoffensive or as a matter of indifference, but also to those that offend, shock or disturb the State or any sector of the population. Such are the demands of that pluralism, tolerance and broadmindedness without which there is no "democratic society". This means, amongst other things, that every "formality", "condition", "restriction" or "penalty" imposed in this sphere must be proportionate to the legitimate aim pursued.</w:t>
      </w:r>
    </w:p>
    <w:p w:rsidR="000062E2" w:rsidRPr="00EE410C" w:rsidRDefault="000062E2" w:rsidP="000062E2">
      <w:pPr>
        <w:pStyle w:val="ju-005fpara"/>
      </w:pPr>
      <w:r w:rsidRPr="00EE410C">
        <w:t>From another standpoint, whoever exercises his freedom of expression undertakes "duties and responsibilities" the scope of which depends on his situation and the technical means he uses. The Court cannot overlook such a person’s "duties" and "responsibilities" when it enquires, as in this case, whether "restrictions" or "penalties" were conducive to the "protection of morals" which made them "necessary" in a "democratic society".</w:t>
      </w:r>
    </w:p>
    <w:p w:rsidR="000062E2" w:rsidRPr="00EE410C" w:rsidRDefault="000062E2" w:rsidP="000062E2">
      <w:pPr>
        <w:pStyle w:val="ju-005fpara"/>
      </w:pPr>
      <w:r w:rsidRPr="00EE410C">
        <w:t>50. It follows from this that it is in no way the Court’s task to take the place of the competent national courts but rather to review under Article 10 (art. 10) the decisions they delivered in the exercise of their power of appreciation.</w:t>
      </w:r>
    </w:p>
    <w:p w:rsidR="000062E2" w:rsidRPr="00EE410C" w:rsidRDefault="000062E2" w:rsidP="000062E2">
      <w:pPr>
        <w:pStyle w:val="ju-005fpara"/>
      </w:pPr>
      <w:r w:rsidRPr="00EE410C">
        <w:t>However, the Court’s supervision would generally prove illusory if it did no more than examine these decisions in isolation; it must view them in the light of the case as a whole, including the publication in question and the arguments and evidence adduced by the applicant in the domestic legal system and then at the international level. The Court must decide, on the basis of the different data available to it, whether the reasons given by the national authorities to justify the actual measures of "interference" they take are relevant and sufficient under Article 10 para. 2 (art. 10-2) (cf., for Article 5 para. 3 (art. 5-3), the Wemhoff judgment of 27 June 1968, Series A no. 7, pp. 24-25, para. 12, the Neumeister judgment of 27 June 1968, Series A no. 8, p. 37, para. 5, the Stögmüller judgment of 10 November 1969, Series A no. 9, p. 39, para. 3, the Matznetter judgment of 10 November 1969, Series A no. 10, p. 31, para. 3, and the Ringeisen judgment of 16 July 1971, Series A no. 13, p. 42, para. 104).</w:t>
      </w:r>
    </w:p>
    <w:p w:rsidR="000062E2" w:rsidRPr="00EE410C" w:rsidRDefault="000062E2" w:rsidP="000062E2">
      <w:pPr>
        <w:pStyle w:val="ju-005fpara"/>
      </w:pPr>
      <w:r w:rsidRPr="00EE410C">
        <w:t>51. Following the method set out above, the Court scrutinized under Article 10 para. 2 (art. 10-2) the individual decisions complained of, in particular, the judgment of the Inner London Quarter Sessions.</w:t>
      </w:r>
    </w:p>
    <w:p w:rsidR="000062E2" w:rsidRPr="00EE410C" w:rsidRDefault="000062E2" w:rsidP="000062E2">
      <w:pPr>
        <w:pStyle w:val="ju-005fpara"/>
      </w:pPr>
      <w:r w:rsidRPr="00EE410C">
        <w:t>The said judgment is summarised in paragraphs 27-34 above. The Court reviewed it in the light of the case as a whole; in addition to the pleadings before the Court and the Commission’s report, the memorials and oral explanations presented to the Commission between June 1973 and August 1974 and the transcript of the proceedings before the Quarter Sessions were, inter alia, taken into consideration.</w:t>
      </w:r>
    </w:p>
    <w:p w:rsidR="000062E2" w:rsidRPr="00EE410C" w:rsidRDefault="000062E2" w:rsidP="000062E2">
      <w:pPr>
        <w:pStyle w:val="ju-005fpara"/>
      </w:pPr>
      <w:r w:rsidRPr="00EE410C">
        <w:t>52. The Court attaches particular importance to a factor to which the judgment of 29 October 1971 did not fail to draw attention, that is, the intended readership of the Schoolbook. It was aimed above all at children and adolescents aged from twelve to eighteen. Being direct, factual and reduced to essentials in style, it was easily within the comprehension of even the youngest of such readers. The applicant had made it clear that he planned a widespread circulation. He had sent the book, with a press release, to numerous daily papers and periodicals for review or for advertising purposes. What is more, he had set a modest sale price (thirty pence), arranged for a reprint of 50,000 copies shortly after the first impression of 20,000 and chosen a title suggesting that the work was some kind of handbook for use in schools.</w:t>
      </w:r>
    </w:p>
    <w:p w:rsidR="000062E2" w:rsidRPr="00EE410C" w:rsidRDefault="000062E2" w:rsidP="000062E2">
      <w:pPr>
        <w:pStyle w:val="ju-005fpara"/>
      </w:pPr>
      <w:r w:rsidRPr="00EE410C">
        <w:t>Basically the book contained purely factual information that was generally correct and often useful, as the Quarter Sessions recognised. However, it also included, above all in the section on sex and in the passage headed "Be yourself" in the chapter on pupils (paragraph 32 above), sentences or paragraphs that young people at a critical stage of their development could have interpreted as an encouragement to indulge in precocious activities harmful for them or even to commit certain criminal offences. In these circumstances, despite the variety and the constant evolution in the United Kingdom of views on ethics and education, the competent English judges were entitled, in the exercise of their discretion, to think at the relevant time that the Schoolbook would have pernicious effects on the morals of many of the children and adolescents who would read it.</w:t>
      </w:r>
    </w:p>
    <w:p w:rsidR="000062E2" w:rsidRPr="00EE410C" w:rsidRDefault="000062E2" w:rsidP="000062E2">
      <w:pPr>
        <w:pStyle w:val="ju-005fpara"/>
      </w:pPr>
      <w:r w:rsidRPr="00EE410C">
        <w:t>However, the applicant maintained, in substance, that the demands of the "protection of morals" or, to use the wording of the 1959/1964 Acts, of the war against publications likely to "deprave and corrupt", were but a pretext in his case. The truth of the matter, he alleged, was that an attempt had been made to muzzle a small-scale publisher whose political leanings met with the disapproval of a fragment of public opinion. Proceedings were set in motion, said he, in an atmosphere little short of "hysteria", stirred up and kept alive by ultra-conservative elements. The accent in the judgment of 29 October 1971 on the anti-authoritarian aspects of the Schoolbook (paragraph 31 above) showed, according to the applicant, exactly what lay behind the case.</w:t>
      </w:r>
    </w:p>
    <w:p w:rsidR="000062E2" w:rsidRPr="00EE410C" w:rsidRDefault="000062E2" w:rsidP="000062E2">
      <w:pPr>
        <w:pStyle w:val="ju-005fpara"/>
      </w:pPr>
      <w:r w:rsidRPr="00EE410C">
        <w:t>The information supplied by Mr. Handyside seems, in fact, to show that letters from members of the public, articles in the press and action by Members of Parliament were not without some influence in the decision to seize the Schoolbook and to take criminal proceedings against its publisher. However, the Government drew attention to the fact that such initiatives could well have been explained not by some dark plot but by the genuine emotion felt by citizens faithful to traditional moral values when, towards the end of March 1971, they read in certain newspapers extracts from the book which was due to appear on 1 April. The Government also emphasised that the proceedings ended several months after the "campaign" denounced by the applicant and that he did not claim that it had continued in the intervening period. From this the Government concluded that the "campaign" in no way impaired dispassionate deliberation at the Quarter Sessions.</w:t>
      </w:r>
    </w:p>
    <w:p w:rsidR="000062E2" w:rsidRPr="00EE410C" w:rsidRDefault="000062E2" w:rsidP="000062E2">
      <w:pPr>
        <w:pStyle w:val="ju-005fpara"/>
      </w:pPr>
      <w:r w:rsidRPr="00EE410C">
        <w:t>For its part the Court finds that the anti-authoritarian aspects of the Schoolbook as such were not held in the judgment of 29 October 1971 to fall foul of the 1959/1964 Acts. Those aspects were taken into account only insofar as the appeal court considered that, by undermining the moderating influence of parents, teachers, the Churches and youth organisations, they aggravated the tendency to "deprave and corrupt" which in its opinion resulted from other parts of the work. It should be added that the revised edition was allowed to circulate freely by the British authorities despite the fact that the anti-authoritarian passages again appeared there in full and even, in some cases, in stronger terms (paragraph 35 above). As the Government noted, this is hard to reconcile with the theory of a political intrigue.</w:t>
      </w:r>
    </w:p>
    <w:p w:rsidR="000062E2" w:rsidRPr="00EE410C" w:rsidRDefault="000062E2" w:rsidP="000062E2">
      <w:pPr>
        <w:pStyle w:val="ju-005fpara"/>
      </w:pPr>
      <w:r w:rsidRPr="00EE410C">
        <w:t>The Court thus allows that the fundamental aim of the judgment of 29 October 1971, applying the 1959/1964 Acts, was the protection of the morals of the young, a legitimate purpose under Article 10 para. 2 (art. 10-2). Consequently, the seizures effected on 31 March and 1 April 1971, pending the outcome of the proceedings that were about to open, also had this aim.</w:t>
      </w:r>
    </w:p>
    <w:p w:rsidR="000062E2" w:rsidRPr="00EE410C" w:rsidRDefault="000062E2" w:rsidP="000062E2">
      <w:pPr>
        <w:pStyle w:val="ju-005fpara"/>
      </w:pPr>
      <w:r w:rsidRPr="00EE410C">
        <w:t>53. It remains to examine the "necessity" of the measures in dispute, beginning with the said seizures.</w:t>
      </w:r>
    </w:p>
    <w:p w:rsidR="000062E2" w:rsidRPr="00EE410C" w:rsidRDefault="000062E2" w:rsidP="000062E2">
      <w:pPr>
        <w:pStyle w:val="ju-005fpara"/>
      </w:pPr>
      <w:r w:rsidRPr="00EE410C">
        <w:t>If the applicant is right, their object should have been at the most one or a few copies of the book to be used as exhibits in the criminal proceedings. The Court does not share this view since the police had good reasons for trying to lay their hands on all the stock as a temporary means of protecting the young against a danger to morals on whose existence it was for the trial court to decide. The legislation of many Contracting States provides for a seizure analogous to that envisaged by section 3 of the English 1959/1964 Acts.</w:t>
      </w:r>
    </w:p>
    <w:p w:rsidR="000062E2" w:rsidRPr="00EE410C" w:rsidRDefault="000062E2" w:rsidP="000062E2">
      <w:pPr>
        <w:pStyle w:val="ju-005fpara"/>
      </w:pPr>
      <w:r w:rsidRPr="00EE410C">
        <w:t>54. A series of arguments which merit reflection was advanced by the applicant and the minority of the Commission concerning the "necessity" of the sentence and the forfeiture at issue.</w:t>
      </w:r>
    </w:p>
    <w:p w:rsidR="000062E2" w:rsidRPr="00EE410C" w:rsidRDefault="000062E2" w:rsidP="000062E2">
      <w:pPr>
        <w:pStyle w:val="ju-005fpara"/>
      </w:pPr>
      <w:r w:rsidRPr="00EE410C">
        <w:t>Firstly, they drew attention to the fact that the original edition of the Schoolbook was the object of no proceedings in Northern Ireland, the Isle of Man and the Channel Islands and of no conviction in Scotland and that, even in England and Wales, thousands of copies circulated without impediment despite the judgment of 29 October 1971.</w:t>
      </w:r>
    </w:p>
    <w:p w:rsidR="000062E2" w:rsidRPr="00EE410C" w:rsidRDefault="000062E2" w:rsidP="000062E2">
      <w:pPr>
        <w:pStyle w:val="ju-005fpara"/>
      </w:pPr>
      <w:r w:rsidRPr="00EE410C">
        <w:t xml:space="preserve">The Court recalls that section 5 (3) of the 1959/1964 Acts provides that they shall not extend to Scotland or to Northern Ireland (paragraph 25 in fine above). Above all, it must not be forgotten that the Convention, as is shown especially by its Article 60 (art. 60), never puts the various organs of the Contracting States under an obligation to limit the rights and freedoms it guarantees. In particular, in no case does Article 10 para. 2 (art. 10-2) compel them to impose "restrictions" or "penalties" in the field of freedom of expression; it in no way prevents them from not availing themselves of the expedients it provides for them (cf. the words "may be subject"). The competent authorities in Northern Ireland, the Isle of Man and the Channel Islands may, in the light of local conditions, have had plausible reasons for not taking action against the book and its publisher, as may the Scottish Procurator Fiscal for not summonsing Mr. </w:t>
      </w:r>
      <w:bookmarkStart w:id="0" w:name="HIT13"/>
      <w:bookmarkEnd w:id="0"/>
      <w:r w:rsidRPr="00EE410C">
        <w:t>Handyside to appear in person in Edinburgh after the dismissal of the complaint under Scottish law against Stage 1 in respect of the revised edition (paragraph 19 above). Their failure to act – into which the Court does not have to enquire and which did not prevent the measures taken in England from leading to revision of the Schoolbook - does not prove that the judgment of 29 October 1971 was not a response to a real necessity, bearing in mind the national authorities’ margin of appreciation.</w:t>
      </w:r>
    </w:p>
    <w:p w:rsidR="000062E2" w:rsidRPr="00EE410C" w:rsidRDefault="000062E2" w:rsidP="000062E2">
      <w:pPr>
        <w:pStyle w:val="ju-005fpara"/>
      </w:pPr>
      <w:r w:rsidRPr="00EE410C">
        <w:t>These remarks also apply, mutatis mutandis, to the circulation of many copies in England and Wales.</w:t>
      </w:r>
    </w:p>
    <w:p w:rsidR="000062E2" w:rsidRPr="00EE410C" w:rsidRDefault="000062E2" w:rsidP="000062E2">
      <w:pPr>
        <w:pStyle w:val="ju-005fpara"/>
      </w:pPr>
      <w:r w:rsidRPr="00EE410C">
        <w:t>55. The applicant and the minority of the Commission also stressed that the revised edition, albeit little different in their view from the first, was not the object of proceedings in England and Wales.</w:t>
      </w:r>
    </w:p>
    <w:p w:rsidR="000062E2" w:rsidRPr="00EE410C" w:rsidRDefault="000062E2" w:rsidP="000062E2">
      <w:pPr>
        <w:pStyle w:val="ju-005fpara"/>
      </w:pPr>
      <w:r w:rsidRPr="00EE410C">
        <w:t>The Government charged them with minimising the extent of the changes made to the original text of the Schoolbook: although the changes were made between the conviction at first instance on 1 July 1971 and the appeal judgment of 29 October 1971, they were said to relate to the main passages cited by the Quarter Sessions as showing particularly clearly a tendency to "deprave and corrupt". The Government claimed that the Director of Public Prosecutions must have taken the view that the changes dispensed him from invoking the 1959/1964 Acts again.</w:t>
      </w:r>
    </w:p>
    <w:p w:rsidR="000062E2" w:rsidRPr="00EE410C" w:rsidRDefault="000062E2" w:rsidP="000062E2">
      <w:pPr>
        <w:pStyle w:val="ju-005fpara"/>
      </w:pPr>
      <w:r w:rsidRPr="00EE410C">
        <w:t>In the Court’s view, the absence of proceedings against the revised edition, which differed fairly extensively from the original edition on the points at issue (paragraphs 22-23 and 35 above), rather suggests that the competent authorities wished to limit themselves to what was strictly necessary, an attitude in conformity with Article 10 (art. 10) of the Convention.</w:t>
      </w:r>
    </w:p>
    <w:p w:rsidR="000062E2" w:rsidRPr="00EE410C" w:rsidRDefault="000062E2" w:rsidP="000062E2">
      <w:pPr>
        <w:pStyle w:val="ju-005fpara"/>
      </w:pPr>
      <w:r w:rsidRPr="00EE410C">
        <w:t>56. The treatment meted out to the Schoolbook and its publisher in 1971 was, according to the applicant and the minority of the Commission, all the less "necessary" in that a host of publications dedicated to hard core pornography and devoid of intellectual or artistic merit allegedly profit by an extreme degree of tolerance in the United Kingdom. They are exposed to the gaze of passers-by and especially of young people and are said generally to enjoy complete impunity, the rare criminal prosecutions launched against them proving, it was asserted, more often than not abortive due to the great liberalism shown by juries. The same was claimed to apply to sex shops and much public entertainment.</w:t>
      </w:r>
    </w:p>
    <w:p w:rsidR="000062E2" w:rsidRPr="00EE410C" w:rsidRDefault="000062E2" w:rsidP="000062E2">
      <w:pPr>
        <w:pStyle w:val="ju-005fpara"/>
      </w:pPr>
      <w:r w:rsidRPr="00EE410C">
        <w:t>The Government countered this by the remark, supported by figures, that the Director of Public Prosecutions does not remain inactive nor does the police, despite the scanty manpower resources of the squad specialising in this field. Moreover, they claim that, in addition to proceedings properly so called, seizures were frequently made at the relevant time under the "disclaimer/caution procedure" (paragraph 26 above).</w:t>
      </w:r>
    </w:p>
    <w:p w:rsidR="000062E2" w:rsidRPr="00EE410C" w:rsidRDefault="000062E2" w:rsidP="000062E2">
      <w:pPr>
        <w:pStyle w:val="ju-005fpara"/>
      </w:pPr>
      <w:r w:rsidRPr="00EE410C">
        <w:t>In principle it is not the Court’s function to compare different decisions taken, even in apparently similar circumstances, by prosecuting authorities and courts; and it must, just like the respondent Government, respect the independence of the courts. Furthermore and above all, the Court is not faced with really analogous situations: as the Government pointed out, the documents in the file do not show that the publications and entertainment in question were aimed, to the same extent as the Schoolbook (paragraph 52 above), at children and adolescents having ready access thereto.</w:t>
      </w:r>
    </w:p>
    <w:p w:rsidR="000062E2" w:rsidRPr="00EE410C" w:rsidRDefault="000062E2" w:rsidP="000062E2">
      <w:pPr>
        <w:pStyle w:val="ju-005fpara"/>
      </w:pPr>
      <w:r w:rsidRPr="00EE410C">
        <w:t>57. The applicant and the minority of the Commission laid stress on the further point that, in addition to the original Danish edition, translations of the "Little Book" appeared and circulated freely in the majority of the member States of the Council of Europe.</w:t>
      </w:r>
    </w:p>
    <w:p w:rsidR="000062E2" w:rsidRPr="00EE410C" w:rsidRDefault="000062E2" w:rsidP="000062E2">
      <w:pPr>
        <w:pStyle w:val="ju-005fpara"/>
      </w:pPr>
      <w:r w:rsidRPr="00EE410C">
        <w:t>Here again, the national margin of appreciation and the optional nature of the "restrictions" and "penalties" referred to in Article 10 para. 2 (art. 10-2) prevent the Court from accepting the argument. The Contracting States have each fashioned their approach in the light of the situation obtaining in their respective territories; they have had regard, inter alia, to the different views prevailing there about the demands of the protection of morals in a democratic society. The fact that most of them decided to allow the work to be distributed does not mean that the contrary decision of the Inner London Quarter Sessions was a breach of Article 10 (art. 10). Besides, some of the editions published outside the United Kingdom do not include the passages, or at least not all the passages, cited in the judgment of 29 October 1971 as striking examples of a tendency to "deprave and corrupt".</w:t>
      </w:r>
    </w:p>
    <w:p w:rsidR="000062E2" w:rsidRPr="00EE410C" w:rsidRDefault="000062E2" w:rsidP="000062E2">
      <w:pPr>
        <w:pStyle w:val="ju-005fpara"/>
      </w:pPr>
      <w:r w:rsidRPr="00EE410C">
        <w:t xml:space="preserve">58. Finally, at the hearing on 5 June 1976, the delegate expounding the opinion of the minority of the Commission maintained that in any event the respondent State need not have taken measures as Draconian as the initiation of criminal proceedings leading to the conviction of Mr. </w:t>
      </w:r>
      <w:bookmarkStart w:id="1" w:name="HIT14"/>
      <w:bookmarkEnd w:id="1"/>
      <w:r w:rsidRPr="00EE410C">
        <w:t>Handyside and to the forfeiture and subsequent destruction of the Schoolbook. The United Kingdom was said to have violated the principle of proportionality, inherent in the adjective "necessary", by not limiting itself either to a request to the applicant to expurgate the book or to restrictions on its sale and advertisement.</w:t>
      </w:r>
    </w:p>
    <w:p w:rsidR="000062E2" w:rsidRPr="00EE410C" w:rsidRDefault="000062E2" w:rsidP="000062E2">
      <w:pPr>
        <w:pStyle w:val="ju-005fpara"/>
      </w:pPr>
      <w:r w:rsidRPr="00EE410C">
        <w:t>With regard to the first solution, the Government argued that the applicant would never have agreed to modify the Schoolbook if he had been ordered or asked to do so before 1 April 1971: was he not strenuously disputing its "obscenity"? The Court for its part confines itself to finding that Article 10 (art. 10) of the Convention certainly does not oblige the Contracting States to introduce such prior censorship.</w:t>
      </w:r>
    </w:p>
    <w:p w:rsidR="000062E2" w:rsidRPr="00EE410C" w:rsidRDefault="000062E2" w:rsidP="000062E2">
      <w:pPr>
        <w:pStyle w:val="ju-005fpara"/>
      </w:pPr>
      <w:r w:rsidRPr="00EE410C">
        <w:t>The Government did not indicate whether the second solution was feasible under English law. Neither does it appear that it would have been appropriate in this case. There would scarcely have been any sense in restricting to adults sales of a work destined above all for the young; the Schoolbook would thereby have lost the substance of what the applicant considered to be its raison d’être. Moreover, he did not advert to this question.</w:t>
      </w:r>
    </w:p>
    <w:p w:rsidR="000062E2" w:rsidRPr="00EE410C" w:rsidRDefault="000062E2" w:rsidP="000062E2">
      <w:pPr>
        <w:pStyle w:val="ju-005fpara"/>
      </w:pPr>
      <w:r w:rsidRPr="00EE410C">
        <w:t>59. On the strength of the data before it, the Court thus reaches the conclusion that no breach of the requirements of Article 10 (art. 10) has been established in the circumstances of the present case.</w:t>
      </w:r>
    </w:p>
    <w:p w:rsidR="00197681" w:rsidRDefault="00197681">
      <w:bookmarkStart w:id="2" w:name="_GoBack"/>
      <w:bookmarkEnd w:id="2"/>
    </w:p>
    <w:sectPr w:rsidR="00197681" w:rsidSect="00197681">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SimSun">
    <w:altName w:val="宋体"/>
    <w:panose1 w:val="00000000000000000000"/>
    <w:charset w:val="86"/>
    <w:family w:val="auto"/>
    <w:notTrueType/>
    <w:pitch w:val="variable"/>
    <w:sig w:usb0="00000001" w:usb1="080E0000" w:usb2="00000010" w:usb3="00000000" w:csb0="0004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2E2"/>
    <w:rsid w:val="000062E2"/>
    <w:rsid w:val="0019768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E47F68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005fpara">
    <w:name w:val="ju-005fpara"/>
    <w:basedOn w:val="Normal"/>
    <w:rsid w:val="000062E2"/>
    <w:pPr>
      <w:spacing w:before="100" w:beforeAutospacing="1" w:after="100" w:afterAutospacing="1"/>
    </w:pPr>
    <w:rPr>
      <w:rFonts w:eastAsia="SimSun"/>
      <w:lang w:val="en-US" w:eastAsia="zh-CN"/>
    </w:rPr>
  </w:style>
  <w:style w:type="paragraph" w:styleId="NormalWeb">
    <w:name w:val="Normal (Web)"/>
    <w:basedOn w:val="Normal"/>
    <w:rsid w:val="000062E2"/>
    <w:pPr>
      <w:spacing w:before="100" w:beforeAutospacing="1" w:after="100" w:afterAutospacing="1"/>
    </w:pPr>
    <w:rPr>
      <w:rFonts w:eastAsia="SimSun"/>
      <w:lang w:val="en-US" w:eastAsia="zh-C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005fpara">
    <w:name w:val="ju-005fpara"/>
    <w:basedOn w:val="Normal"/>
    <w:rsid w:val="000062E2"/>
    <w:pPr>
      <w:spacing w:before="100" w:beforeAutospacing="1" w:after="100" w:afterAutospacing="1"/>
    </w:pPr>
    <w:rPr>
      <w:rFonts w:eastAsia="SimSun"/>
      <w:lang w:val="en-US" w:eastAsia="zh-CN"/>
    </w:rPr>
  </w:style>
  <w:style w:type="paragraph" w:styleId="NormalWeb">
    <w:name w:val="Normal (Web)"/>
    <w:basedOn w:val="Normal"/>
    <w:rsid w:val="000062E2"/>
    <w:pPr>
      <w:spacing w:before="100" w:beforeAutospacing="1" w:after="100" w:afterAutospacing="1"/>
    </w:pPr>
    <w:rPr>
      <w:rFonts w:eastAsia="SimSun"/>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3478</Words>
  <Characters>19831</Characters>
  <Application>Microsoft Macintosh Word</Application>
  <DocSecurity>0</DocSecurity>
  <Lines>165</Lines>
  <Paragraphs>46</Paragraphs>
  <ScaleCrop>false</ScaleCrop>
  <Company/>
  <LinksUpToDate>false</LinksUpToDate>
  <CharactersWithSpaces>23263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Muin Boase</dc:creator>
  <cp:keywords/>
  <dc:description/>
  <cp:lastModifiedBy>Muin Boase</cp:lastModifiedBy>
  <cp:revision>1</cp:revision>
  <dcterms:created xsi:type="dcterms:W3CDTF">2016-01-04T03:20:00Z</dcterms:created>
  <dcterms:modified xsi:type="dcterms:W3CDTF">2016-01-04T03:20:00Z</dcterms:modified>
</cp:coreProperties>
</file>