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CA3D56" w14:textId="77777777" w:rsidR="002B789A" w:rsidRDefault="002B789A" w:rsidP="00BE4DD9">
      <w:pPr>
        <w:jc w:val="both"/>
        <w:rPr>
          <w:b/>
          <w:u w:val="single"/>
        </w:rPr>
      </w:pPr>
      <w:bookmarkStart w:id="0" w:name="_GoBack"/>
      <w:bookmarkEnd w:id="0"/>
    </w:p>
    <w:p w14:paraId="5BC02A49" w14:textId="77777777" w:rsidR="002B789A" w:rsidRDefault="002B789A" w:rsidP="002B789A">
      <w:pPr>
        <w:pStyle w:val="Heading2"/>
        <w:keepNext w:val="0"/>
        <w:widowControl w:val="0"/>
        <w:jc w:val="center"/>
        <w:rPr>
          <w:rFonts w:ascii="Arial" w:hAnsi="Arial" w:cs="Arial"/>
          <w:b w:val="0"/>
          <w:sz w:val="22"/>
          <w:szCs w:val="22"/>
        </w:rPr>
      </w:pPr>
      <w:r>
        <w:rPr>
          <w:rFonts w:ascii="Arial" w:hAnsi="Arial" w:cs="Arial"/>
          <w:b w:val="0"/>
          <w:noProof/>
          <w:sz w:val="22"/>
          <w:szCs w:val="22"/>
          <w:lang w:eastAsia="en-GB"/>
        </w:rPr>
        <w:drawing>
          <wp:inline distT="0" distB="0" distL="0" distR="0" wp14:anchorId="11FD0AD8" wp14:editId="3395B226">
            <wp:extent cx="1600200" cy="742950"/>
            <wp:effectExtent l="0" t="0" r="0" b="0"/>
            <wp:docPr id="1" name="Picture 1" descr="IATL initials (from Hannah Vickery 2010-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ATL initials (from Hannah Vickery 2010-08-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00200" cy="742950"/>
                    </a:xfrm>
                    <a:prstGeom prst="rect">
                      <a:avLst/>
                    </a:prstGeom>
                    <a:noFill/>
                    <a:ln>
                      <a:noFill/>
                    </a:ln>
                  </pic:spPr>
                </pic:pic>
              </a:graphicData>
            </a:graphic>
          </wp:inline>
        </w:drawing>
      </w:r>
    </w:p>
    <w:p w14:paraId="76230F5A" w14:textId="77777777" w:rsidR="002B789A" w:rsidRPr="00E92E76" w:rsidRDefault="002B789A" w:rsidP="002B789A">
      <w:pPr>
        <w:jc w:val="center"/>
      </w:pPr>
      <w:r w:rsidRPr="00E92E76">
        <w:t>Institute for Advanced Teaching and Learning</w:t>
      </w:r>
    </w:p>
    <w:p w14:paraId="3A10F1EC" w14:textId="77777777" w:rsidR="002B789A" w:rsidRPr="00E92E76" w:rsidRDefault="002B789A" w:rsidP="002B789A">
      <w:pPr>
        <w:jc w:val="center"/>
      </w:pPr>
      <w:r w:rsidRPr="00E92E76">
        <w:t>Student as Producer – Summer 2015 Project</w:t>
      </w:r>
    </w:p>
    <w:p w14:paraId="371DB8E3" w14:textId="77777777" w:rsidR="002B789A" w:rsidRPr="00E92E76" w:rsidRDefault="002B789A" w:rsidP="002B789A">
      <w:pPr>
        <w:pStyle w:val="Heading2"/>
        <w:keepNext w:val="0"/>
        <w:widowControl w:val="0"/>
        <w:jc w:val="center"/>
        <w:rPr>
          <w:rFonts w:ascii="Times New Roman" w:hAnsi="Times New Roman"/>
          <w:b w:val="0"/>
        </w:rPr>
      </w:pPr>
    </w:p>
    <w:p w14:paraId="6E69B36A" w14:textId="77777777" w:rsidR="002B789A" w:rsidRDefault="002B789A" w:rsidP="002B789A">
      <w:pPr>
        <w:pStyle w:val="Heading2"/>
        <w:keepNext w:val="0"/>
        <w:widowControl w:val="0"/>
        <w:jc w:val="center"/>
        <w:rPr>
          <w:rFonts w:ascii="Times New Roman" w:hAnsi="Times New Roman"/>
        </w:rPr>
      </w:pPr>
    </w:p>
    <w:p w14:paraId="055F5C8E" w14:textId="77777777" w:rsidR="002B789A" w:rsidRDefault="002B789A" w:rsidP="002B789A">
      <w:pPr>
        <w:pStyle w:val="Heading2"/>
        <w:keepNext w:val="0"/>
        <w:widowControl w:val="0"/>
        <w:rPr>
          <w:rFonts w:ascii="Times New Roman" w:hAnsi="Times New Roman"/>
        </w:rPr>
      </w:pPr>
    </w:p>
    <w:p w14:paraId="0A4AA141" w14:textId="77777777" w:rsidR="002B789A" w:rsidRPr="00E92E76" w:rsidRDefault="002B789A" w:rsidP="002B789A">
      <w:pPr>
        <w:pStyle w:val="Heading2"/>
        <w:keepNext w:val="0"/>
        <w:widowControl w:val="0"/>
        <w:jc w:val="center"/>
        <w:rPr>
          <w:rFonts w:ascii="Times New Roman" w:hAnsi="Times New Roman"/>
        </w:rPr>
      </w:pPr>
      <w:r w:rsidRPr="00E92E76">
        <w:rPr>
          <w:rFonts w:ascii="Times New Roman" w:hAnsi="Times New Roman"/>
        </w:rPr>
        <w:t>Distorting the “balance”?</w:t>
      </w:r>
    </w:p>
    <w:p w14:paraId="6C18E459" w14:textId="77777777" w:rsidR="002B789A" w:rsidRDefault="002B789A" w:rsidP="002B789A">
      <w:pPr>
        <w:pStyle w:val="Heading2"/>
        <w:keepNext w:val="0"/>
        <w:widowControl w:val="0"/>
        <w:jc w:val="center"/>
        <w:rPr>
          <w:rFonts w:ascii="Times New Roman" w:hAnsi="Times New Roman"/>
        </w:rPr>
      </w:pPr>
      <w:r w:rsidRPr="00E92E76">
        <w:rPr>
          <w:rFonts w:ascii="Times New Roman" w:hAnsi="Times New Roman"/>
        </w:rPr>
        <w:t>Marginalising copyright exceptions through restrictive licensing</w:t>
      </w:r>
    </w:p>
    <w:p w14:paraId="10E01FB1" w14:textId="77777777" w:rsidR="002B789A" w:rsidRDefault="002B789A" w:rsidP="002B789A"/>
    <w:p w14:paraId="495A814C" w14:textId="77777777" w:rsidR="002B789A" w:rsidRDefault="002B789A" w:rsidP="002B789A">
      <w:pPr>
        <w:jc w:val="center"/>
      </w:pPr>
    </w:p>
    <w:p w14:paraId="301F0A6A" w14:textId="77777777" w:rsidR="002B789A" w:rsidRDefault="002B789A" w:rsidP="002B789A">
      <w:pPr>
        <w:jc w:val="center"/>
      </w:pPr>
    </w:p>
    <w:p w14:paraId="31DF5B20" w14:textId="77777777" w:rsidR="002B789A" w:rsidRDefault="002B789A" w:rsidP="002B789A">
      <w:pPr>
        <w:jc w:val="center"/>
      </w:pPr>
    </w:p>
    <w:p w14:paraId="60B7B390" w14:textId="77777777" w:rsidR="002B789A" w:rsidRDefault="002B789A" w:rsidP="002B789A">
      <w:pPr>
        <w:jc w:val="center"/>
      </w:pPr>
    </w:p>
    <w:p w14:paraId="02708C75" w14:textId="77777777" w:rsidR="002B789A" w:rsidRDefault="002B789A" w:rsidP="002B789A">
      <w:pPr>
        <w:jc w:val="center"/>
      </w:pPr>
    </w:p>
    <w:p w14:paraId="32C9229F" w14:textId="77777777" w:rsidR="002B789A" w:rsidRDefault="002B789A" w:rsidP="002B789A">
      <w:pPr>
        <w:jc w:val="center"/>
      </w:pPr>
    </w:p>
    <w:p w14:paraId="6941F77E" w14:textId="77777777" w:rsidR="002B789A" w:rsidRDefault="002B789A" w:rsidP="002B789A">
      <w:pPr>
        <w:jc w:val="center"/>
      </w:pPr>
    </w:p>
    <w:p w14:paraId="22C0836D" w14:textId="77777777" w:rsidR="002B789A" w:rsidRDefault="002B789A" w:rsidP="002B789A">
      <w:pPr>
        <w:jc w:val="center"/>
      </w:pPr>
    </w:p>
    <w:p w14:paraId="4E7EC097" w14:textId="77777777" w:rsidR="002B789A" w:rsidRDefault="002B789A" w:rsidP="002B789A">
      <w:pPr>
        <w:jc w:val="center"/>
      </w:pPr>
    </w:p>
    <w:p w14:paraId="6FAF5272" w14:textId="77777777" w:rsidR="002B789A" w:rsidRDefault="002B789A" w:rsidP="002B789A">
      <w:pPr>
        <w:jc w:val="center"/>
      </w:pPr>
    </w:p>
    <w:p w14:paraId="33FAC757" w14:textId="77777777" w:rsidR="002B789A" w:rsidRDefault="002B789A" w:rsidP="002B789A">
      <w:pPr>
        <w:jc w:val="center"/>
      </w:pPr>
    </w:p>
    <w:p w14:paraId="36BE2C0C" w14:textId="77777777" w:rsidR="002B789A" w:rsidRDefault="002B789A" w:rsidP="002B789A">
      <w:pPr>
        <w:jc w:val="center"/>
      </w:pPr>
    </w:p>
    <w:p w14:paraId="38ACA13A" w14:textId="77777777" w:rsidR="002B789A" w:rsidRDefault="002B789A" w:rsidP="002B789A">
      <w:pPr>
        <w:jc w:val="center"/>
      </w:pPr>
    </w:p>
    <w:p w14:paraId="51B1F1E1" w14:textId="77777777" w:rsidR="002B789A" w:rsidRDefault="002B789A" w:rsidP="002B789A">
      <w:pPr>
        <w:jc w:val="center"/>
      </w:pPr>
    </w:p>
    <w:p w14:paraId="32992D57" w14:textId="77777777" w:rsidR="002B789A" w:rsidRDefault="002B789A" w:rsidP="002B789A">
      <w:pPr>
        <w:jc w:val="center"/>
      </w:pPr>
    </w:p>
    <w:p w14:paraId="396D2BF6" w14:textId="77777777" w:rsidR="002B789A" w:rsidRDefault="002B789A" w:rsidP="002B789A">
      <w:pPr>
        <w:jc w:val="center"/>
      </w:pPr>
    </w:p>
    <w:p w14:paraId="2C3C4F8A" w14:textId="77777777" w:rsidR="002B789A" w:rsidRDefault="002B789A" w:rsidP="002B789A">
      <w:pPr>
        <w:jc w:val="center"/>
      </w:pPr>
    </w:p>
    <w:p w14:paraId="538C9106" w14:textId="77777777" w:rsidR="002B789A" w:rsidRDefault="002B789A" w:rsidP="002B789A">
      <w:pPr>
        <w:jc w:val="center"/>
      </w:pPr>
    </w:p>
    <w:p w14:paraId="52A46B38" w14:textId="77777777" w:rsidR="002B789A" w:rsidRDefault="002B789A" w:rsidP="002B789A">
      <w:pPr>
        <w:jc w:val="center"/>
      </w:pPr>
    </w:p>
    <w:p w14:paraId="08B22D99" w14:textId="77777777" w:rsidR="002B789A" w:rsidRDefault="002B789A" w:rsidP="002B789A">
      <w:pPr>
        <w:jc w:val="center"/>
      </w:pPr>
    </w:p>
    <w:p w14:paraId="368BE96D" w14:textId="77777777" w:rsidR="002B789A" w:rsidRDefault="002B789A" w:rsidP="002B789A">
      <w:pPr>
        <w:jc w:val="center"/>
      </w:pPr>
    </w:p>
    <w:p w14:paraId="3086BFD5" w14:textId="77777777" w:rsidR="002B789A" w:rsidRDefault="002B789A" w:rsidP="002B789A">
      <w:pPr>
        <w:jc w:val="center"/>
      </w:pPr>
    </w:p>
    <w:p w14:paraId="3C7A21ED" w14:textId="77777777" w:rsidR="002B789A" w:rsidRDefault="002B789A" w:rsidP="002B789A">
      <w:pPr>
        <w:jc w:val="center"/>
      </w:pPr>
    </w:p>
    <w:p w14:paraId="347448E1" w14:textId="77777777" w:rsidR="002B789A" w:rsidRDefault="002B789A" w:rsidP="002B789A">
      <w:pPr>
        <w:jc w:val="center"/>
      </w:pPr>
    </w:p>
    <w:p w14:paraId="6C1CBA06" w14:textId="77777777" w:rsidR="002B789A" w:rsidRDefault="002B789A" w:rsidP="002B789A">
      <w:pPr>
        <w:jc w:val="center"/>
      </w:pPr>
    </w:p>
    <w:p w14:paraId="251973AA" w14:textId="77777777" w:rsidR="002B789A" w:rsidRDefault="002B789A" w:rsidP="002B789A">
      <w:pPr>
        <w:jc w:val="center"/>
      </w:pPr>
    </w:p>
    <w:p w14:paraId="5C77016B" w14:textId="77777777" w:rsidR="002B789A" w:rsidRDefault="002B789A" w:rsidP="002B789A">
      <w:pPr>
        <w:jc w:val="center"/>
      </w:pPr>
    </w:p>
    <w:p w14:paraId="5C7E5CB5" w14:textId="77777777" w:rsidR="002B789A" w:rsidRDefault="002B789A" w:rsidP="002B789A"/>
    <w:p w14:paraId="20C42C70" w14:textId="77777777" w:rsidR="002B789A" w:rsidRDefault="002B789A" w:rsidP="002B789A">
      <w:pPr>
        <w:jc w:val="center"/>
      </w:pPr>
    </w:p>
    <w:p w14:paraId="20E98D38" w14:textId="77777777" w:rsidR="002B789A" w:rsidRDefault="002B789A" w:rsidP="002B789A">
      <w:pPr>
        <w:jc w:val="center"/>
      </w:pPr>
    </w:p>
    <w:p w14:paraId="3ADB7097" w14:textId="77777777" w:rsidR="002B789A" w:rsidRDefault="002B789A" w:rsidP="002B789A">
      <w:pPr>
        <w:jc w:val="center"/>
      </w:pPr>
    </w:p>
    <w:p w14:paraId="012C9283" w14:textId="24277353" w:rsidR="002B789A" w:rsidRDefault="002B789A" w:rsidP="002B789A">
      <w:pPr>
        <w:jc w:val="center"/>
      </w:pPr>
      <w:r>
        <w:t>Sarah M. Greenwood</w:t>
      </w:r>
    </w:p>
    <w:p w14:paraId="25FD4A76" w14:textId="091E6733" w:rsidR="002B789A" w:rsidRDefault="002B789A" w:rsidP="002B789A">
      <w:pPr>
        <w:jc w:val="center"/>
      </w:pPr>
      <w:r>
        <w:t>School of Law, University of Warwick</w:t>
      </w:r>
    </w:p>
    <w:p w14:paraId="0F7B2321" w14:textId="77777777" w:rsidR="002B789A" w:rsidRDefault="002B789A" w:rsidP="002B789A">
      <w:pPr>
        <w:jc w:val="center"/>
      </w:pPr>
    </w:p>
    <w:p w14:paraId="01FF6D67" w14:textId="188A7C9A" w:rsidR="002B789A" w:rsidRDefault="002B789A" w:rsidP="002B789A">
      <w:pPr>
        <w:jc w:val="center"/>
      </w:pPr>
      <w:r>
        <w:t>Supervisors</w:t>
      </w:r>
    </w:p>
    <w:p w14:paraId="3F14B5AD" w14:textId="4FD3468A" w:rsidR="002B789A" w:rsidRDefault="002B789A" w:rsidP="002B789A">
      <w:pPr>
        <w:jc w:val="center"/>
      </w:pPr>
      <w:r>
        <w:t>Timothy Dodsworth, University of Warwick</w:t>
      </w:r>
    </w:p>
    <w:p w14:paraId="55EE2029" w14:textId="4E34738B" w:rsidR="002B789A" w:rsidRDefault="002B789A" w:rsidP="002B789A">
      <w:pPr>
        <w:jc w:val="center"/>
      </w:pPr>
      <w:r>
        <w:t>Ma</w:t>
      </w:r>
      <w:r w:rsidR="00622C75">
        <w:t>rc Mimler, Queen Mary, University of London</w:t>
      </w:r>
    </w:p>
    <w:p w14:paraId="07A7B4F1" w14:textId="2B549D29" w:rsidR="000369BD" w:rsidRDefault="000369BD" w:rsidP="002B789A">
      <w:pPr>
        <w:jc w:val="center"/>
      </w:pPr>
      <w:r>
        <w:rPr>
          <w:b/>
          <w:u w:val="single"/>
        </w:rPr>
        <w:lastRenderedPageBreak/>
        <w:t>Abstract</w:t>
      </w:r>
    </w:p>
    <w:p w14:paraId="753A0475" w14:textId="77777777" w:rsidR="002B789A" w:rsidRDefault="002B789A" w:rsidP="00BE4DD9">
      <w:pPr>
        <w:jc w:val="both"/>
      </w:pPr>
    </w:p>
    <w:p w14:paraId="47D52631" w14:textId="162C41AA" w:rsidR="000369BD" w:rsidRPr="000369BD" w:rsidRDefault="000355CC" w:rsidP="00BE4DD9">
      <w:pPr>
        <w:jc w:val="both"/>
      </w:pPr>
      <w:r>
        <w:t>This project reviews</w:t>
      </w:r>
      <w:r w:rsidR="000369BD">
        <w:t xml:space="preserve"> </w:t>
      </w:r>
      <w:r w:rsidR="009A790E">
        <w:t xml:space="preserve">the impact of </w:t>
      </w:r>
      <w:r w:rsidR="000369BD">
        <w:t xml:space="preserve">license agreements between academic institutions and publishers. </w:t>
      </w:r>
      <w:r w:rsidR="006B26A5">
        <w:t>The</w:t>
      </w:r>
      <w:r>
        <w:t xml:space="preserve"> project evaluates</w:t>
      </w:r>
      <w:r w:rsidR="000369BD">
        <w:t xml:space="preserve"> the provisions within licenses in the education sector and their interaction with statutory exceptions in the United Kingdom, Canada, Australia and the United States. The project has found that in the areas o</w:t>
      </w:r>
      <w:r w:rsidR="009A790E">
        <w:t>f ‘fair dealing’ and ‘fair use’ and</w:t>
      </w:r>
      <w:r w:rsidR="004F124E">
        <w:t xml:space="preserve"> </w:t>
      </w:r>
      <w:r w:rsidR="000369BD">
        <w:t>liability for breach of copyright, there are considerable missteps in restrictive licensing agreement and statutory exemptions in the area of education. Th</w:t>
      </w:r>
      <w:r w:rsidR="009A790E">
        <w:t>is report introduces</w:t>
      </w:r>
      <w:r w:rsidR="000369BD">
        <w:t xml:space="preserve"> copyright issues for academic institutions and the various attempts in the law for organising this area of intellec</w:t>
      </w:r>
      <w:r>
        <w:t xml:space="preserve">tual property. The project uses </w:t>
      </w:r>
      <w:r w:rsidR="000369BD">
        <w:t>experiences of consortia and</w:t>
      </w:r>
      <w:r w:rsidR="004F124E">
        <w:t xml:space="preserve"> university</w:t>
      </w:r>
      <w:r w:rsidR="000369BD">
        <w:t xml:space="preserve"> libraries to focus on particular definitions within licenses.</w:t>
      </w:r>
      <w:r w:rsidR="006B26A5">
        <w:t xml:space="preserve"> This report concludes with suggestions as to how the law may approach this area</w:t>
      </w:r>
      <w:r w:rsidR="009E10A1">
        <w:t xml:space="preserve"> in the </w:t>
      </w:r>
      <w:r w:rsidR="009A790E">
        <w:t>future.</w:t>
      </w:r>
    </w:p>
    <w:p w14:paraId="523779B1" w14:textId="77777777" w:rsidR="000369BD" w:rsidRDefault="000369BD" w:rsidP="00BE4DD9">
      <w:pPr>
        <w:jc w:val="both"/>
        <w:rPr>
          <w:b/>
          <w:u w:val="single"/>
        </w:rPr>
      </w:pPr>
    </w:p>
    <w:p w14:paraId="35445152" w14:textId="77777777" w:rsidR="000369BD" w:rsidRDefault="000369BD" w:rsidP="00BE4DD9">
      <w:pPr>
        <w:jc w:val="both"/>
        <w:rPr>
          <w:b/>
          <w:u w:val="single"/>
        </w:rPr>
      </w:pPr>
    </w:p>
    <w:p w14:paraId="18F07E59" w14:textId="77777777" w:rsidR="000369BD" w:rsidRDefault="000369BD" w:rsidP="00BE4DD9">
      <w:pPr>
        <w:jc w:val="both"/>
        <w:rPr>
          <w:b/>
          <w:u w:val="single"/>
        </w:rPr>
      </w:pPr>
    </w:p>
    <w:p w14:paraId="5D2BE1B7" w14:textId="77777777" w:rsidR="000369BD" w:rsidRDefault="000369BD" w:rsidP="00BE4DD9">
      <w:pPr>
        <w:jc w:val="both"/>
        <w:rPr>
          <w:b/>
          <w:u w:val="single"/>
        </w:rPr>
      </w:pPr>
    </w:p>
    <w:p w14:paraId="777F0AF6" w14:textId="77777777" w:rsidR="000369BD" w:rsidRDefault="000369BD" w:rsidP="00BE4DD9">
      <w:pPr>
        <w:jc w:val="both"/>
        <w:rPr>
          <w:b/>
          <w:u w:val="single"/>
        </w:rPr>
      </w:pPr>
    </w:p>
    <w:p w14:paraId="5FD46545" w14:textId="77777777" w:rsidR="000369BD" w:rsidRDefault="000369BD" w:rsidP="00BE4DD9">
      <w:pPr>
        <w:jc w:val="both"/>
        <w:rPr>
          <w:b/>
          <w:u w:val="single"/>
        </w:rPr>
      </w:pPr>
    </w:p>
    <w:p w14:paraId="723DE31A" w14:textId="77777777" w:rsidR="000369BD" w:rsidRDefault="000369BD" w:rsidP="00BE4DD9">
      <w:pPr>
        <w:jc w:val="both"/>
        <w:rPr>
          <w:b/>
          <w:u w:val="single"/>
        </w:rPr>
      </w:pPr>
    </w:p>
    <w:p w14:paraId="4B3E50E2" w14:textId="77777777" w:rsidR="000369BD" w:rsidRDefault="000369BD" w:rsidP="00BE4DD9">
      <w:pPr>
        <w:jc w:val="both"/>
        <w:rPr>
          <w:b/>
          <w:u w:val="single"/>
        </w:rPr>
      </w:pPr>
    </w:p>
    <w:p w14:paraId="30B1D26F" w14:textId="77777777" w:rsidR="000369BD" w:rsidRDefault="000369BD" w:rsidP="00BE4DD9">
      <w:pPr>
        <w:jc w:val="both"/>
        <w:rPr>
          <w:b/>
          <w:u w:val="single"/>
        </w:rPr>
      </w:pPr>
    </w:p>
    <w:p w14:paraId="30E2A81E" w14:textId="77777777" w:rsidR="000369BD" w:rsidRDefault="000369BD" w:rsidP="00BE4DD9">
      <w:pPr>
        <w:jc w:val="both"/>
        <w:rPr>
          <w:b/>
          <w:u w:val="single"/>
        </w:rPr>
      </w:pPr>
    </w:p>
    <w:p w14:paraId="02585ECB" w14:textId="77777777" w:rsidR="000369BD" w:rsidRDefault="000369BD" w:rsidP="00BE4DD9">
      <w:pPr>
        <w:jc w:val="both"/>
        <w:rPr>
          <w:b/>
          <w:u w:val="single"/>
        </w:rPr>
      </w:pPr>
    </w:p>
    <w:p w14:paraId="133947B3" w14:textId="77777777" w:rsidR="000369BD" w:rsidRDefault="000369BD" w:rsidP="00BE4DD9">
      <w:pPr>
        <w:jc w:val="both"/>
        <w:rPr>
          <w:b/>
          <w:u w:val="single"/>
        </w:rPr>
      </w:pPr>
    </w:p>
    <w:p w14:paraId="1780491E" w14:textId="77777777" w:rsidR="000369BD" w:rsidRDefault="000369BD" w:rsidP="00BE4DD9">
      <w:pPr>
        <w:jc w:val="both"/>
        <w:rPr>
          <w:b/>
          <w:u w:val="single"/>
        </w:rPr>
      </w:pPr>
    </w:p>
    <w:p w14:paraId="2F81B906" w14:textId="77777777" w:rsidR="000369BD" w:rsidRDefault="000369BD" w:rsidP="00BE4DD9">
      <w:pPr>
        <w:jc w:val="both"/>
        <w:rPr>
          <w:b/>
          <w:u w:val="single"/>
        </w:rPr>
      </w:pPr>
    </w:p>
    <w:p w14:paraId="1EA3ECB4" w14:textId="77777777" w:rsidR="000369BD" w:rsidRDefault="000369BD" w:rsidP="00BE4DD9">
      <w:pPr>
        <w:jc w:val="both"/>
        <w:rPr>
          <w:b/>
          <w:u w:val="single"/>
        </w:rPr>
      </w:pPr>
    </w:p>
    <w:p w14:paraId="79EDEC3D" w14:textId="77777777" w:rsidR="002B789A" w:rsidRDefault="002B789A" w:rsidP="00BE4DD9">
      <w:pPr>
        <w:jc w:val="both"/>
        <w:rPr>
          <w:b/>
          <w:u w:val="single"/>
        </w:rPr>
      </w:pPr>
    </w:p>
    <w:p w14:paraId="378CCE61" w14:textId="77777777" w:rsidR="002B789A" w:rsidRDefault="002B789A" w:rsidP="00BE4DD9">
      <w:pPr>
        <w:jc w:val="both"/>
        <w:rPr>
          <w:b/>
          <w:u w:val="single"/>
        </w:rPr>
      </w:pPr>
    </w:p>
    <w:p w14:paraId="2FD64092" w14:textId="77777777" w:rsidR="002B789A" w:rsidRDefault="002B789A" w:rsidP="00BE4DD9">
      <w:pPr>
        <w:jc w:val="both"/>
        <w:rPr>
          <w:b/>
          <w:u w:val="single"/>
        </w:rPr>
      </w:pPr>
    </w:p>
    <w:p w14:paraId="4977F901" w14:textId="77777777" w:rsidR="002B789A" w:rsidRDefault="002B789A" w:rsidP="00BE4DD9">
      <w:pPr>
        <w:jc w:val="both"/>
        <w:rPr>
          <w:b/>
          <w:u w:val="single"/>
        </w:rPr>
      </w:pPr>
    </w:p>
    <w:p w14:paraId="1A987EA5" w14:textId="77777777" w:rsidR="002B789A" w:rsidRDefault="002B789A" w:rsidP="00BE4DD9">
      <w:pPr>
        <w:jc w:val="both"/>
        <w:rPr>
          <w:b/>
          <w:u w:val="single"/>
        </w:rPr>
      </w:pPr>
    </w:p>
    <w:p w14:paraId="673F4D44" w14:textId="77777777" w:rsidR="002B789A" w:rsidRDefault="002B789A" w:rsidP="00BE4DD9">
      <w:pPr>
        <w:jc w:val="both"/>
        <w:rPr>
          <w:b/>
          <w:u w:val="single"/>
        </w:rPr>
      </w:pPr>
    </w:p>
    <w:p w14:paraId="028414EE" w14:textId="77777777" w:rsidR="002B789A" w:rsidRDefault="002B789A" w:rsidP="00BE4DD9">
      <w:pPr>
        <w:jc w:val="both"/>
        <w:rPr>
          <w:b/>
          <w:u w:val="single"/>
        </w:rPr>
      </w:pPr>
    </w:p>
    <w:p w14:paraId="20239F2B" w14:textId="77777777" w:rsidR="002B789A" w:rsidRDefault="002B789A" w:rsidP="00BE4DD9">
      <w:pPr>
        <w:jc w:val="both"/>
        <w:rPr>
          <w:b/>
          <w:u w:val="single"/>
        </w:rPr>
      </w:pPr>
    </w:p>
    <w:p w14:paraId="119DEAA6" w14:textId="77777777" w:rsidR="002B789A" w:rsidRDefault="002B789A" w:rsidP="00BE4DD9">
      <w:pPr>
        <w:jc w:val="both"/>
        <w:rPr>
          <w:b/>
          <w:u w:val="single"/>
        </w:rPr>
      </w:pPr>
    </w:p>
    <w:p w14:paraId="723FAB5B" w14:textId="77777777" w:rsidR="002B789A" w:rsidRDefault="002B789A" w:rsidP="00BE4DD9">
      <w:pPr>
        <w:jc w:val="both"/>
        <w:rPr>
          <w:b/>
          <w:u w:val="single"/>
        </w:rPr>
      </w:pPr>
    </w:p>
    <w:p w14:paraId="0F9DC616" w14:textId="77777777" w:rsidR="002B789A" w:rsidRDefault="002B789A" w:rsidP="00BE4DD9">
      <w:pPr>
        <w:jc w:val="both"/>
        <w:rPr>
          <w:b/>
          <w:u w:val="single"/>
        </w:rPr>
      </w:pPr>
    </w:p>
    <w:p w14:paraId="32C4EF91" w14:textId="77777777" w:rsidR="002B789A" w:rsidRDefault="002B789A" w:rsidP="00BE4DD9">
      <w:pPr>
        <w:jc w:val="both"/>
        <w:rPr>
          <w:b/>
          <w:u w:val="single"/>
        </w:rPr>
      </w:pPr>
    </w:p>
    <w:p w14:paraId="482762A5" w14:textId="77777777" w:rsidR="002B789A" w:rsidRDefault="002B789A" w:rsidP="00BE4DD9">
      <w:pPr>
        <w:jc w:val="both"/>
        <w:rPr>
          <w:b/>
          <w:u w:val="single"/>
        </w:rPr>
      </w:pPr>
    </w:p>
    <w:p w14:paraId="2A002D08" w14:textId="77777777" w:rsidR="002B789A" w:rsidRDefault="002B789A" w:rsidP="00BE4DD9">
      <w:pPr>
        <w:jc w:val="both"/>
        <w:rPr>
          <w:b/>
          <w:u w:val="single"/>
        </w:rPr>
      </w:pPr>
    </w:p>
    <w:p w14:paraId="63CC649F" w14:textId="77777777" w:rsidR="002B789A" w:rsidRDefault="002B789A" w:rsidP="00BE4DD9">
      <w:pPr>
        <w:jc w:val="both"/>
        <w:rPr>
          <w:b/>
          <w:u w:val="single"/>
        </w:rPr>
      </w:pPr>
    </w:p>
    <w:p w14:paraId="333D0400" w14:textId="77777777" w:rsidR="002B789A" w:rsidRDefault="002B789A" w:rsidP="00BE4DD9">
      <w:pPr>
        <w:jc w:val="both"/>
        <w:rPr>
          <w:b/>
          <w:u w:val="single"/>
        </w:rPr>
      </w:pPr>
    </w:p>
    <w:p w14:paraId="46CF3E7B" w14:textId="77777777" w:rsidR="002B789A" w:rsidRDefault="002B789A" w:rsidP="00BE4DD9">
      <w:pPr>
        <w:jc w:val="both"/>
        <w:rPr>
          <w:b/>
          <w:u w:val="single"/>
        </w:rPr>
      </w:pPr>
    </w:p>
    <w:p w14:paraId="179CBD4B" w14:textId="77777777" w:rsidR="002B789A" w:rsidRDefault="002B789A" w:rsidP="00BE4DD9">
      <w:pPr>
        <w:jc w:val="both"/>
        <w:rPr>
          <w:b/>
          <w:u w:val="single"/>
        </w:rPr>
      </w:pPr>
    </w:p>
    <w:p w14:paraId="73169A18" w14:textId="77777777" w:rsidR="002B789A" w:rsidRDefault="002B789A" w:rsidP="00BE4DD9">
      <w:pPr>
        <w:jc w:val="both"/>
        <w:rPr>
          <w:b/>
          <w:u w:val="single"/>
        </w:rPr>
      </w:pPr>
    </w:p>
    <w:p w14:paraId="45227F3B" w14:textId="77777777" w:rsidR="002B789A" w:rsidRDefault="002B789A" w:rsidP="00BE4DD9">
      <w:pPr>
        <w:jc w:val="both"/>
        <w:rPr>
          <w:b/>
          <w:u w:val="single"/>
        </w:rPr>
      </w:pPr>
    </w:p>
    <w:p w14:paraId="5777E5A8" w14:textId="77777777" w:rsidR="002B789A" w:rsidRDefault="002B789A" w:rsidP="00BE4DD9">
      <w:pPr>
        <w:jc w:val="both"/>
        <w:rPr>
          <w:b/>
          <w:u w:val="single"/>
        </w:rPr>
      </w:pPr>
    </w:p>
    <w:p w14:paraId="37C7619F" w14:textId="77777777" w:rsidR="000420B7" w:rsidRDefault="000420B7" w:rsidP="002B789A">
      <w:pPr>
        <w:jc w:val="center"/>
        <w:rPr>
          <w:b/>
          <w:u w:val="single"/>
        </w:rPr>
      </w:pPr>
    </w:p>
    <w:p w14:paraId="2C74EE61" w14:textId="51E369D1" w:rsidR="005D0F3A" w:rsidRDefault="005D0F3A" w:rsidP="002B789A">
      <w:pPr>
        <w:jc w:val="center"/>
      </w:pPr>
      <w:r w:rsidRPr="00264FBE">
        <w:rPr>
          <w:b/>
          <w:u w:val="single"/>
        </w:rPr>
        <w:lastRenderedPageBreak/>
        <w:t>Introduction</w:t>
      </w:r>
    </w:p>
    <w:p w14:paraId="1FA3DE43" w14:textId="77777777" w:rsidR="00DC4E11" w:rsidRDefault="00DC4E11" w:rsidP="00BE4DD9">
      <w:pPr>
        <w:jc w:val="both"/>
      </w:pPr>
    </w:p>
    <w:p w14:paraId="5719B207" w14:textId="69C279D0" w:rsidR="009A46C0" w:rsidRDefault="00613E27" w:rsidP="00BE4DD9">
      <w:pPr>
        <w:jc w:val="both"/>
      </w:pPr>
      <w:r>
        <w:t>The United Nations Educational, Scientific and Cultural Organisation (‘UNESCO’) produced a Public Library Manifesto which stated that libraries are the ‘living force for education, culture and information.</w:t>
      </w:r>
      <w:r>
        <w:rPr>
          <w:rStyle w:val="FootnoteReference"/>
        </w:rPr>
        <w:footnoteReference w:id="1"/>
      </w:r>
      <w:r>
        <w:t xml:space="preserve">  </w:t>
      </w:r>
      <w:r w:rsidR="00077D76">
        <w:t>This project has sought to explore how licensing</w:t>
      </w:r>
      <w:r w:rsidR="000420B7">
        <w:t xml:space="preserve"> of library material affects </w:t>
      </w:r>
      <w:r w:rsidR="00077D76">
        <w:t xml:space="preserve">the library system in the context of academic institutions. </w:t>
      </w:r>
      <w:r w:rsidR="009A46C0">
        <w:t>The first report that discussed copyright with restrictive licensing agreements was an Australian Report in 2002.</w:t>
      </w:r>
      <w:r w:rsidR="007816D2">
        <w:rPr>
          <w:rStyle w:val="FootnoteReference"/>
        </w:rPr>
        <w:footnoteReference w:id="2"/>
      </w:r>
      <w:r>
        <w:t xml:space="preserve"> There has been academic commentary that restrictions of data subject to these licensing agreements undermine </w:t>
      </w:r>
      <w:r w:rsidR="00420D79">
        <w:t>academic progress and copyright law.</w:t>
      </w:r>
      <w:r w:rsidR="00420D79">
        <w:rPr>
          <w:rStyle w:val="FootnoteReference"/>
        </w:rPr>
        <w:footnoteReference w:id="3"/>
      </w:r>
      <w:r w:rsidR="008642DF">
        <w:t xml:space="preserve"> There is a recognised conflict between the need to fuel a gateway of knowledge to particular e-resources in the globalised academic community</w:t>
      </w:r>
      <w:r w:rsidR="008642DF">
        <w:rPr>
          <w:rStyle w:val="FootnoteReference"/>
        </w:rPr>
        <w:footnoteReference w:id="4"/>
      </w:r>
      <w:r w:rsidR="008642DF">
        <w:t xml:space="preserve"> with the rights of copyright owners to receive monetary compensation for their contribution to knowledge economy. It is difficult to categorise academic institut</w:t>
      </w:r>
      <w:r w:rsidR="00AF484E">
        <w:t>ions’ databases</w:t>
      </w:r>
      <w:r w:rsidR="008642DF">
        <w:t xml:space="preserve"> as markets, networks, mere gateways or something completely different. </w:t>
      </w:r>
    </w:p>
    <w:p w14:paraId="717B10A1" w14:textId="77777777" w:rsidR="008642DF" w:rsidRDefault="008642DF" w:rsidP="00BE4DD9">
      <w:pPr>
        <w:jc w:val="both"/>
      </w:pPr>
    </w:p>
    <w:p w14:paraId="1508A8C2" w14:textId="2F55BCC3" w:rsidR="008642DF" w:rsidRDefault="008642DF" w:rsidP="00BE4DD9">
      <w:pPr>
        <w:jc w:val="both"/>
      </w:pPr>
      <w:r>
        <w:t>Furthermore, it is unclear whether these academic ‘networks’ should be controlled through the private sector, at international or regional level or by national legislation. It appears that a chain has been created: any international efforts, such as the World Intellectual Property Organisation (‘WIPO’) Internet Treaties, are undermined by national provisions</w:t>
      </w:r>
      <w:r w:rsidR="002A2717">
        <w:t>,</w:t>
      </w:r>
      <w:r w:rsidR="008921C2">
        <w:rPr>
          <w:rStyle w:val="FootnoteReference"/>
        </w:rPr>
        <w:footnoteReference w:id="5"/>
      </w:r>
      <w:r w:rsidR="00077D76">
        <w:t xml:space="preserve"> which</w:t>
      </w:r>
      <w:r>
        <w:t xml:space="preserve"> in turn</w:t>
      </w:r>
      <w:r w:rsidR="00077D76">
        <w:t xml:space="preserve"> are</w:t>
      </w:r>
      <w:r>
        <w:t xml:space="preserve"> undermined by private contractual arrangements. </w:t>
      </w:r>
      <w:r w:rsidR="008F18CF">
        <w:t>The project has also explored the balance of the parties in these licenses. The libraries and consortia are understood to represent a wider public interest whereas the publishers are seen to represent private interests of their database and copyright owners.</w:t>
      </w:r>
      <w:r w:rsidR="006050EC">
        <w:t xml:space="preserve"> Specifically, this project considers the</w:t>
      </w:r>
      <w:r w:rsidR="00AF484E">
        <w:t xml:space="preserve"> imbalance of power in the </w:t>
      </w:r>
      <w:r w:rsidR="006050EC">
        <w:t>relationship</w:t>
      </w:r>
      <w:r w:rsidR="00AF484E">
        <w:t xml:space="preserve"> between publishers and academic libraries</w:t>
      </w:r>
      <w:r w:rsidR="006050EC">
        <w:t>. There has been genera</w:t>
      </w:r>
      <w:r w:rsidR="00AE6D9C">
        <w:t>l commentary about how this imbalance undermines the general public interest in research.</w:t>
      </w:r>
      <w:r w:rsidR="00AE6D9C">
        <w:rPr>
          <w:rStyle w:val="FootnoteReference"/>
        </w:rPr>
        <w:footnoteReference w:id="6"/>
      </w:r>
      <w:r w:rsidR="006050EC">
        <w:t xml:space="preserve"> </w:t>
      </w:r>
    </w:p>
    <w:p w14:paraId="08CC3DF1" w14:textId="77777777" w:rsidR="00250D54" w:rsidRDefault="00250D54" w:rsidP="00BE4DD9">
      <w:pPr>
        <w:jc w:val="both"/>
      </w:pPr>
    </w:p>
    <w:p w14:paraId="1B2FED6E" w14:textId="71E475CD" w:rsidR="005F4051" w:rsidRPr="004C2C92" w:rsidRDefault="005F4051" w:rsidP="00BE4DD9">
      <w:pPr>
        <w:jc w:val="both"/>
      </w:pPr>
      <w:r>
        <w:t xml:space="preserve">The Copyright, Designs </w:t>
      </w:r>
      <w:r w:rsidR="00AF484E">
        <w:t>and Patents Act 1988 by allowing the exception of</w:t>
      </w:r>
      <w:r>
        <w:t xml:space="preserve"> copyright owner restrictions by providing the concept of ‘fair dealing’. Fair dealing is defined in the United Kingdom as a defence to copyright infringement, applying to non-commercial research and private study, criticism, review, reporting current events, judicial proceedings and specific educational purposes.</w:t>
      </w:r>
      <w:r>
        <w:rPr>
          <w:rStyle w:val="FootnoteReference"/>
        </w:rPr>
        <w:footnoteReference w:id="7"/>
      </w:r>
      <w:r>
        <w:t xml:space="preserve"> However, the exception is limited and unclear; the defence is seen as narrow in its scope and application.</w:t>
      </w:r>
      <w:r>
        <w:rPr>
          <w:rStyle w:val="FootnoteReference"/>
        </w:rPr>
        <w:footnoteReference w:id="8"/>
      </w:r>
      <w:r w:rsidR="00C04F11">
        <w:t xml:space="preserve"> Fair dealing is r</w:t>
      </w:r>
      <w:r w:rsidR="00A343DA">
        <w:t>ecognised as a defence in Canada</w:t>
      </w:r>
      <w:r w:rsidR="002A2717">
        <w:t>, which</w:t>
      </w:r>
      <w:r w:rsidR="00A343DA">
        <w:t xml:space="preserve"> includes</w:t>
      </w:r>
      <w:r w:rsidR="002A2717">
        <w:t xml:space="preserve"> for</w:t>
      </w:r>
      <w:r w:rsidR="00A343DA">
        <w:t xml:space="preserve"> purpose</w:t>
      </w:r>
      <w:r w:rsidR="002A2717">
        <w:t>s</w:t>
      </w:r>
      <w:r w:rsidR="00A343DA">
        <w:t xml:space="preserve"> of research, </w:t>
      </w:r>
      <w:r w:rsidR="00A343DA">
        <w:lastRenderedPageBreak/>
        <w:t>private study, education, parody or satire.</w:t>
      </w:r>
      <w:r w:rsidR="00A343DA">
        <w:rPr>
          <w:rStyle w:val="FootnoteReference"/>
        </w:rPr>
        <w:footnoteReference w:id="9"/>
      </w:r>
      <w:r w:rsidR="004C2C92">
        <w:t xml:space="preserve"> In </w:t>
      </w:r>
      <w:r w:rsidR="004C2C92">
        <w:rPr>
          <w:i/>
        </w:rPr>
        <w:t>CCH Canadian Ltd v Law Society of Upper Canada</w:t>
      </w:r>
      <w:r w:rsidR="004C2C92">
        <w:t>,</w:t>
      </w:r>
      <w:r w:rsidR="004C2C92">
        <w:rPr>
          <w:rStyle w:val="FootnoteReference"/>
        </w:rPr>
        <w:footnoteReference w:id="10"/>
      </w:r>
      <w:r w:rsidR="004C2C92">
        <w:t xml:space="preserve"> fair dealing was held to be a defence of a user’s right and must not be interpreted restrictively to maintain balance between owner and user.</w:t>
      </w:r>
      <w:r w:rsidR="003C6D0C">
        <w:t xml:space="preserve"> The case defined six factors to determine whether the dealing is “fair”: the purpose of dealing, the character of dealing, the amount of dealing, alternatives to dealing, the nature of work and the effect of dealing with the work.</w:t>
      </w:r>
      <w:r w:rsidR="003C6D0C">
        <w:rPr>
          <w:rStyle w:val="FootnoteReference"/>
        </w:rPr>
        <w:footnoteReference w:id="11"/>
      </w:r>
      <w:r w:rsidR="00371319">
        <w:t xml:space="preserve"> ‘Fair use’ is the American equivalent to fair dealing, but is more limited to involve an equitable rule of reason and a non-exhaustive list of factors to be assessed by the courts.</w:t>
      </w:r>
      <w:r w:rsidR="00371319">
        <w:rPr>
          <w:rStyle w:val="FootnoteReference"/>
        </w:rPr>
        <w:footnoteReference w:id="12"/>
      </w:r>
      <w:r w:rsidR="00965A6B">
        <w:t xml:space="preserve"> This project interviewed representatives from university libraries and a national consortium. All representatives stressed the importance of including fair dealing within their licenses.</w:t>
      </w:r>
    </w:p>
    <w:p w14:paraId="201FB1C1" w14:textId="77777777" w:rsidR="005F4051" w:rsidRDefault="005F4051" w:rsidP="00BE4DD9">
      <w:pPr>
        <w:jc w:val="both"/>
      </w:pPr>
    </w:p>
    <w:p w14:paraId="1E70F7B5" w14:textId="6A22D9D7" w:rsidR="00250D54" w:rsidRPr="00250D54" w:rsidRDefault="00250D54" w:rsidP="00BE4DD9">
      <w:pPr>
        <w:jc w:val="both"/>
      </w:pPr>
      <w:r w:rsidRPr="00250D54">
        <w:t>There ha</w:t>
      </w:r>
      <w:r w:rsidR="002F5A0E">
        <w:t>ve been recent efforts in the United Kingdom</w:t>
      </w:r>
      <w:r w:rsidR="00AF484E">
        <w:t xml:space="preserve"> to review</w:t>
      </w:r>
      <w:r w:rsidRPr="00250D54">
        <w:t xml:space="preserve"> the copyright regime at the legislative level, including a Consultation Report in December 2011. The Consultation contained several recommendations, importantly bringing the idea that any clause within a contact that would restrict the exception under the Copyright Act would be unenforceable.</w:t>
      </w:r>
      <w:r w:rsidR="0014537F">
        <w:rPr>
          <w:rStyle w:val="FootnoteReference"/>
        </w:rPr>
        <w:footnoteReference w:id="13"/>
      </w:r>
      <w:r w:rsidR="00621605">
        <w:t xml:space="preserve"> However, despite recommendations, it is the private sphere that is permitted by copyright legislation to manage owner and user rights. The law of copyright defines the work and property, but this me</w:t>
      </w:r>
      <w:r w:rsidR="008030DA">
        <w:t>rely defines the contract space that</w:t>
      </w:r>
      <w:r w:rsidR="00621605">
        <w:t xml:space="preserve"> is then left for contractual negotiation, organisation and execution.</w:t>
      </w:r>
      <w:r w:rsidR="008030DA">
        <w:rPr>
          <w:rStyle w:val="FootnoteReference"/>
        </w:rPr>
        <w:footnoteReference w:id="14"/>
      </w:r>
      <w:r w:rsidR="00621605">
        <w:t xml:space="preserve"> </w:t>
      </w:r>
    </w:p>
    <w:p w14:paraId="0FCF9003" w14:textId="77777777" w:rsidR="009A46C0" w:rsidRDefault="009A46C0" w:rsidP="00BE4DD9">
      <w:pPr>
        <w:jc w:val="both"/>
      </w:pPr>
    </w:p>
    <w:p w14:paraId="2F9DF758" w14:textId="0026A8E8" w:rsidR="00BB0742" w:rsidRDefault="00395A35" w:rsidP="00BE4DD9">
      <w:pPr>
        <w:jc w:val="both"/>
      </w:pPr>
      <w:r>
        <w:t>This report does not propose to cover all the areas of intellectual property licensing at the academic l</w:t>
      </w:r>
      <w:r w:rsidR="00281D4E">
        <w:t xml:space="preserve">evel. This project will explore </w:t>
      </w:r>
      <w:r>
        <w:t xml:space="preserve">the experiences and realities </w:t>
      </w:r>
      <w:r w:rsidR="00510717">
        <w:t>of the stakeholders of these licensing agreements:</w:t>
      </w:r>
      <w:r>
        <w:t xml:space="preserve"> academic institutions, relevant conso</w:t>
      </w:r>
      <w:r w:rsidR="00701B5B">
        <w:t xml:space="preserve">rtia and publishers or vendors. </w:t>
      </w:r>
      <w:r>
        <w:t>The interplay between the licensing agreements and statutory exceptions within copyright legislation, including the concepts of “fair use” and “fair dealing”, illustrates that de</w:t>
      </w:r>
      <w:r w:rsidR="009B65C4">
        <w:t xml:space="preserve">spite the contractual </w:t>
      </w:r>
      <w:r>
        <w:t>privatisation of this area of law there are important values from national and international efforts. This report includes areas</w:t>
      </w:r>
      <w:r w:rsidR="00862045">
        <w:t xml:space="preserve"> of law involving</w:t>
      </w:r>
      <w:r>
        <w:t xml:space="preserve"> the United Nations, European Union, United Kingdom, Canada, Australia a</w:t>
      </w:r>
      <w:r w:rsidR="00453037">
        <w:t xml:space="preserve">nd the United States. </w:t>
      </w:r>
    </w:p>
    <w:p w14:paraId="1CB506BC" w14:textId="77777777" w:rsidR="00BB0742" w:rsidRDefault="00BB0742" w:rsidP="00BE4DD9">
      <w:pPr>
        <w:jc w:val="both"/>
        <w:rPr>
          <w:b/>
          <w:u w:val="single"/>
        </w:rPr>
      </w:pPr>
    </w:p>
    <w:p w14:paraId="67D022E6" w14:textId="77777777" w:rsidR="00BB0742" w:rsidRDefault="00BB0742" w:rsidP="00BE4DD9">
      <w:pPr>
        <w:jc w:val="both"/>
        <w:rPr>
          <w:b/>
          <w:u w:val="single"/>
        </w:rPr>
      </w:pPr>
    </w:p>
    <w:p w14:paraId="36D7D222" w14:textId="77777777" w:rsidR="00BB0742" w:rsidRDefault="00BB0742" w:rsidP="00BE4DD9">
      <w:pPr>
        <w:jc w:val="both"/>
        <w:rPr>
          <w:b/>
          <w:u w:val="single"/>
        </w:rPr>
      </w:pPr>
    </w:p>
    <w:p w14:paraId="10A53081" w14:textId="77777777" w:rsidR="00BB0742" w:rsidRDefault="00BB0742" w:rsidP="00BE4DD9">
      <w:pPr>
        <w:jc w:val="both"/>
        <w:rPr>
          <w:b/>
          <w:u w:val="single"/>
        </w:rPr>
      </w:pPr>
    </w:p>
    <w:p w14:paraId="60798FA5" w14:textId="77777777" w:rsidR="00624759" w:rsidRDefault="00624759" w:rsidP="00624759">
      <w:pPr>
        <w:rPr>
          <w:b/>
          <w:u w:val="single"/>
        </w:rPr>
      </w:pPr>
    </w:p>
    <w:p w14:paraId="5D27E3CF" w14:textId="77777777" w:rsidR="00DB2FAB" w:rsidRDefault="00DB2FAB" w:rsidP="00624759">
      <w:pPr>
        <w:jc w:val="center"/>
        <w:rPr>
          <w:b/>
          <w:u w:val="single"/>
        </w:rPr>
      </w:pPr>
    </w:p>
    <w:p w14:paraId="5E5B628D" w14:textId="77777777" w:rsidR="00DB2FAB" w:rsidRDefault="00DB2FAB" w:rsidP="00624759">
      <w:pPr>
        <w:jc w:val="center"/>
        <w:rPr>
          <w:b/>
          <w:u w:val="single"/>
        </w:rPr>
      </w:pPr>
    </w:p>
    <w:p w14:paraId="72E099B4" w14:textId="77777777" w:rsidR="00DB2FAB" w:rsidRDefault="00DB2FAB" w:rsidP="00624759">
      <w:pPr>
        <w:jc w:val="center"/>
        <w:rPr>
          <w:b/>
          <w:u w:val="single"/>
        </w:rPr>
      </w:pPr>
    </w:p>
    <w:p w14:paraId="2D759078" w14:textId="77777777" w:rsidR="00DB2FAB" w:rsidRDefault="00DB2FAB" w:rsidP="00624759">
      <w:pPr>
        <w:jc w:val="center"/>
        <w:rPr>
          <w:b/>
          <w:u w:val="single"/>
        </w:rPr>
      </w:pPr>
    </w:p>
    <w:p w14:paraId="12340BA9" w14:textId="77777777" w:rsidR="00DB2FAB" w:rsidRDefault="00DB2FAB" w:rsidP="00624759">
      <w:pPr>
        <w:jc w:val="center"/>
        <w:rPr>
          <w:b/>
          <w:u w:val="single"/>
        </w:rPr>
      </w:pPr>
    </w:p>
    <w:p w14:paraId="10E0B2E9" w14:textId="5A26C734" w:rsidR="005D0F3A" w:rsidRDefault="005D0F3A" w:rsidP="00624759">
      <w:pPr>
        <w:jc w:val="center"/>
      </w:pPr>
      <w:r>
        <w:rPr>
          <w:b/>
          <w:u w:val="single"/>
        </w:rPr>
        <w:lastRenderedPageBreak/>
        <w:t>Methodology</w:t>
      </w:r>
    </w:p>
    <w:p w14:paraId="00E0C555" w14:textId="77777777" w:rsidR="005D0F3A" w:rsidRDefault="005D0F3A" w:rsidP="00BE4DD9">
      <w:pPr>
        <w:jc w:val="both"/>
      </w:pPr>
    </w:p>
    <w:p w14:paraId="305A558B" w14:textId="55927C98" w:rsidR="00171BB2" w:rsidRDefault="00A55396" w:rsidP="00BE4DD9">
      <w:pPr>
        <w:shd w:val="clear" w:color="auto" w:fill="FFFFFF"/>
        <w:jc w:val="both"/>
        <w:rPr>
          <w:rFonts w:eastAsia="Times New Roman"/>
          <w:i/>
          <w:color w:val="222222"/>
          <w:lang w:val="en-CA"/>
        </w:rPr>
      </w:pPr>
      <w:r>
        <w:rPr>
          <w:rFonts w:eastAsia="Times New Roman"/>
          <w:i/>
          <w:color w:val="222222"/>
          <w:lang w:val="en-CA"/>
        </w:rPr>
        <w:t>Institutions c</w:t>
      </w:r>
      <w:r w:rsidR="00F91AD1">
        <w:rPr>
          <w:rFonts w:eastAsia="Times New Roman"/>
          <w:i/>
          <w:color w:val="222222"/>
          <w:lang w:val="en-CA"/>
        </w:rPr>
        <w:t>onsulted</w:t>
      </w:r>
      <w:r w:rsidR="009B7ED7">
        <w:rPr>
          <w:rFonts w:eastAsia="Times New Roman"/>
          <w:i/>
          <w:color w:val="222222"/>
          <w:lang w:val="en-CA"/>
        </w:rPr>
        <w:t>*</w:t>
      </w:r>
    </w:p>
    <w:p w14:paraId="50768291" w14:textId="77777777" w:rsidR="003C6D0C" w:rsidRDefault="003C6D0C" w:rsidP="00BE4DD9">
      <w:pPr>
        <w:shd w:val="clear" w:color="auto" w:fill="FFFFFF"/>
        <w:jc w:val="both"/>
        <w:rPr>
          <w:rFonts w:eastAsia="Times New Roman"/>
          <w:color w:val="222222"/>
          <w:lang w:val="en-CA"/>
        </w:rPr>
      </w:pPr>
    </w:p>
    <w:p w14:paraId="2EF3CEE1" w14:textId="2DC2EAD5" w:rsidR="00171BB2" w:rsidRPr="004F4DBB" w:rsidRDefault="00171BB2" w:rsidP="004F4DBB">
      <w:pPr>
        <w:pStyle w:val="ListParagraph"/>
        <w:numPr>
          <w:ilvl w:val="0"/>
          <w:numId w:val="3"/>
        </w:numPr>
        <w:shd w:val="clear" w:color="auto" w:fill="FFFFFF"/>
        <w:jc w:val="both"/>
        <w:rPr>
          <w:rFonts w:eastAsia="Times New Roman"/>
          <w:color w:val="222222"/>
          <w:lang w:val="en-CA"/>
        </w:rPr>
      </w:pPr>
      <w:r w:rsidRPr="004F4DBB">
        <w:rPr>
          <w:rFonts w:eastAsia="Times New Roman"/>
          <w:color w:val="222222"/>
          <w:lang w:val="en-CA"/>
        </w:rPr>
        <w:t>University of Warwick (England, United Kingdom)</w:t>
      </w:r>
    </w:p>
    <w:p w14:paraId="5A546255" w14:textId="21716692" w:rsidR="00171BB2" w:rsidRPr="004F4DBB" w:rsidRDefault="00171BB2" w:rsidP="004F4DBB">
      <w:pPr>
        <w:pStyle w:val="ListParagraph"/>
        <w:numPr>
          <w:ilvl w:val="0"/>
          <w:numId w:val="3"/>
        </w:numPr>
        <w:shd w:val="clear" w:color="auto" w:fill="FFFFFF"/>
        <w:jc w:val="both"/>
        <w:rPr>
          <w:rFonts w:eastAsia="Times New Roman"/>
          <w:color w:val="222222"/>
          <w:lang w:val="en-CA"/>
        </w:rPr>
      </w:pPr>
      <w:r w:rsidRPr="004F4DBB">
        <w:rPr>
          <w:rFonts w:eastAsia="Times New Roman"/>
          <w:color w:val="222222"/>
          <w:lang w:val="en-CA"/>
        </w:rPr>
        <w:t>University of Victoria (British Columbia, Canada)</w:t>
      </w:r>
    </w:p>
    <w:p w14:paraId="29B7BB15" w14:textId="376D4D8E" w:rsidR="00171BB2" w:rsidRPr="004F4DBB" w:rsidRDefault="00171BB2" w:rsidP="004F4DBB">
      <w:pPr>
        <w:pStyle w:val="ListParagraph"/>
        <w:numPr>
          <w:ilvl w:val="0"/>
          <w:numId w:val="3"/>
        </w:numPr>
        <w:shd w:val="clear" w:color="auto" w:fill="FFFFFF"/>
        <w:jc w:val="both"/>
        <w:rPr>
          <w:rFonts w:eastAsia="Times New Roman"/>
          <w:color w:val="222222"/>
          <w:lang w:val="en-CA"/>
        </w:rPr>
      </w:pPr>
      <w:r w:rsidRPr="004F4DBB">
        <w:rPr>
          <w:rFonts w:eastAsia="Times New Roman"/>
          <w:color w:val="222222"/>
          <w:lang w:val="en-CA"/>
        </w:rPr>
        <w:t>University of Ottawa (Ontario, Canada)</w:t>
      </w:r>
    </w:p>
    <w:p w14:paraId="0890D5F8" w14:textId="77451ED8" w:rsidR="00171BB2" w:rsidRPr="004F4DBB" w:rsidRDefault="00171BB2" w:rsidP="004F4DBB">
      <w:pPr>
        <w:pStyle w:val="ListParagraph"/>
        <w:numPr>
          <w:ilvl w:val="0"/>
          <w:numId w:val="3"/>
        </w:numPr>
        <w:shd w:val="clear" w:color="auto" w:fill="FFFFFF"/>
        <w:jc w:val="both"/>
        <w:rPr>
          <w:rFonts w:eastAsia="Times New Roman"/>
          <w:color w:val="222222"/>
          <w:lang w:val="en-CA"/>
        </w:rPr>
      </w:pPr>
      <w:r w:rsidRPr="004F4DBB">
        <w:rPr>
          <w:rFonts w:eastAsia="Times New Roman"/>
          <w:color w:val="222222"/>
          <w:lang w:val="en-CA"/>
        </w:rPr>
        <w:t>Carleton University (Ontario, Canada)</w:t>
      </w:r>
    </w:p>
    <w:p w14:paraId="644536AE" w14:textId="3B4978E6" w:rsidR="003A60A3" w:rsidRPr="004F4DBB" w:rsidRDefault="003A60A3" w:rsidP="004F4DBB">
      <w:pPr>
        <w:pStyle w:val="ListParagraph"/>
        <w:numPr>
          <w:ilvl w:val="0"/>
          <w:numId w:val="3"/>
        </w:numPr>
        <w:shd w:val="clear" w:color="auto" w:fill="FFFFFF"/>
        <w:jc w:val="both"/>
        <w:rPr>
          <w:rFonts w:eastAsia="Times New Roman"/>
          <w:color w:val="222222"/>
          <w:lang w:val="en-CA"/>
        </w:rPr>
      </w:pPr>
      <w:r w:rsidRPr="004F4DBB">
        <w:rPr>
          <w:rFonts w:eastAsia="Times New Roman"/>
          <w:color w:val="222222"/>
          <w:lang w:val="en-CA"/>
        </w:rPr>
        <w:t>Canadian Resear</w:t>
      </w:r>
      <w:r w:rsidR="00BE4DD9" w:rsidRPr="004F4DBB">
        <w:rPr>
          <w:rFonts w:eastAsia="Times New Roman"/>
          <w:color w:val="222222"/>
          <w:lang w:val="en-CA"/>
        </w:rPr>
        <w:t>ch Knowledge Network (‘CKRN’)</w:t>
      </w:r>
      <w:r w:rsidR="003C6D0C" w:rsidRPr="004F4DBB">
        <w:rPr>
          <w:rFonts w:eastAsia="Times New Roman"/>
          <w:color w:val="222222"/>
          <w:lang w:val="en-CA"/>
        </w:rPr>
        <w:t xml:space="preserve"> – </w:t>
      </w:r>
      <w:r w:rsidRPr="004F4DBB">
        <w:rPr>
          <w:rFonts w:eastAsia="Times New Roman"/>
          <w:color w:val="222222"/>
          <w:lang w:val="en-CA"/>
        </w:rPr>
        <w:t>CRKN is a large-scale national consortium that seeks to facilitate content acquisition and licensing initiatives with librarians, researchers, administrators and other stakeholders in the research community.</w:t>
      </w:r>
      <w:r>
        <w:rPr>
          <w:rStyle w:val="FootnoteReference"/>
          <w:rFonts w:eastAsia="Times New Roman"/>
          <w:color w:val="222222"/>
          <w:lang w:val="en-CA"/>
        </w:rPr>
        <w:footnoteReference w:id="15"/>
      </w:r>
    </w:p>
    <w:p w14:paraId="14907437" w14:textId="77777777" w:rsidR="00171BB2" w:rsidRDefault="00171BB2" w:rsidP="00BE4DD9">
      <w:pPr>
        <w:shd w:val="clear" w:color="auto" w:fill="FFFFFF"/>
        <w:jc w:val="both"/>
        <w:rPr>
          <w:rFonts w:eastAsia="Times New Roman"/>
          <w:i/>
          <w:color w:val="222222"/>
          <w:lang w:val="en-CA"/>
        </w:rPr>
      </w:pPr>
    </w:p>
    <w:p w14:paraId="13806DA0" w14:textId="74EAF135" w:rsidR="00BE4DD9" w:rsidRDefault="00BE4DD9" w:rsidP="00BE4DD9">
      <w:pPr>
        <w:shd w:val="clear" w:color="auto" w:fill="FFFFFF"/>
        <w:jc w:val="both"/>
        <w:rPr>
          <w:rFonts w:eastAsia="Times New Roman"/>
          <w:color w:val="222222"/>
          <w:lang w:val="en-CA"/>
        </w:rPr>
      </w:pPr>
      <w:r>
        <w:rPr>
          <w:rFonts w:eastAsia="Times New Roman"/>
          <w:color w:val="222222"/>
          <w:lang w:val="en-CA"/>
        </w:rPr>
        <w:t xml:space="preserve">Over August and September 2015, I contacted </w:t>
      </w:r>
      <w:r w:rsidR="008B1C7F">
        <w:rPr>
          <w:rFonts w:eastAsia="Times New Roman"/>
          <w:color w:val="222222"/>
          <w:lang w:val="en-CA"/>
        </w:rPr>
        <w:t>the universities and visited</w:t>
      </w:r>
      <w:r>
        <w:rPr>
          <w:rFonts w:eastAsia="Times New Roman"/>
          <w:color w:val="222222"/>
          <w:lang w:val="en-CA"/>
        </w:rPr>
        <w:t xml:space="preserve"> </w:t>
      </w:r>
      <w:r w:rsidR="008B1C7F">
        <w:rPr>
          <w:rFonts w:eastAsia="Times New Roman"/>
          <w:color w:val="222222"/>
          <w:lang w:val="en-CA"/>
        </w:rPr>
        <w:t xml:space="preserve">three Canadian locations. I </w:t>
      </w:r>
      <w:r w:rsidR="00701B5B">
        <w:rPr>
          <w:rFonts w:eastAsia="Times New Roman"/>
          <w:color w:val="222222"/>
          <w:lang w:val="en-CA"/>
        </w:rPr>
        <w:t>met</w:t>
      </w:r>
      <w:r>
        <w:rPr>
          <w:rFonts w:eastAsia="Times New Roman"/>
          <w:color w:val="222222"/>
          <w:lang w:val="en-CA"/>
        </w:rPr>
        <w:t xml:space="preserve"> the Member Services and Licensing Of</w:t>
      </w:r>
      <w:r w:rsidR="008D70CB">
        <w:rPr>
          <w:rFonts w:eastAsia="Times New Roman"/>
          <w:color w:val="222222"/>
          <w:lang w:val="en-CA"/>
        </w:rPr>
        <w:t xml:space="preserve">ficer of CRKN </w:t>
      </w:r>
      <w:r>
        <w:rPr>
          <w:rFonts w:eastAsia="Times New Roman"/>
          <w:color w:val="222222"/>
          <w:lang w:val="en-CA"/>
        </w:rPr>
        <w:t xml:space="preserve">and CRKN’s Senior </w:t>
      </w:r>
      <w:r w:rsidR="008D70CB">
        <w:rPr>
          <w:rFonts w:eastAsia="Times New Roman"/>
          <w:color w:val="222222"/>
          <w:lang w:val="en-CA"/>
        </w:rPr>
        <w:t xml:space="preserve">Licensing Officer. </w:t>
      </w:r>
      <w:r>
        <w:rPr>
          <w:rFonts w:eastAsia="Times New Roman"/>
          <w:color w:val="222222"/>
          <w:lang w:val="en-CA"/>
        </w:rPr>
        <w:t>The inter</w:t>
      </w:r>
      <w:r w:rsidR="008B1C7F">
        <w:rPr>
          <w:rFonts w:eastAsia="Times New Roman"/>
          <w:color w:val="222222"/>
          <w:lang w:val="en-CA"/>
        </w:rPr>
        <w:t>views were informal</w:t>
      </w:r>
      <w:r>
        <w:rPr>
          <w:rFonts w:eastAsia="Times New Roman"/>
          <w:color w:val="222222"/>
          <w:lang w:val="en-CA"/>
        </w:rPr>
        <w:t xml:space="preserve"> </w:t>
      </w:r>
      <w:r w:rsidR="008B1C7F">
        <w:rPr>
          <w:rFonts w:eastAsia="Times New Roman"/>
          <w:color w:val="222222"/>
          <w:lang w:val="en-CA"/>
        </w:rPr>
        <w:t>to discuss licensing arrangement</w:t>
      </w:r>
      <w:r>
        <w:rPr>
          <w:rFonts w:eastAsia="Times New Roman"/>
          <w:color w:val="222222"/>
          <w:lang w:val="en-CA"/>
        </w:rPr>
        <w:t xml:space="preserve"> they had with publishers or vendors.</w:t>
      </w:r>
      <w:r w:rsidR="008B1C7F">
        <w:rPr>
          <w:rFonts w:eastAsia="Times New Roman"/>
          <w:color w:val="222222"/>
          <w:lang w:val="en-CA"/>
        </w:rPr>
        <w:t xml:space="preserve"> All universities had agree</w:t>
      </w:r>
      <w:r w:rsidR="00BE6EB0">
        <w:rPr>
          <w:rFonts w:eastAsia="Times New Roman"/>
          <w:color w:val="222222"/>
          <w:lang w:val="en-CA"/>
        </w:rPr>
        <w:t>ments through direct ventures and</w:t>
      </w:r>
      <w:r w:rsidR="008B1C7F">
        <w:rPr>
          <w:rFonts w:eastAsia="Times New Roman"/>
          <w:color w:val="222222"/>
          <w:lang w:val="en-CA"/>
        </w:rPr>
        <w:t xml:space="preserve"> federal or provincial consortia.</w:t>
      </w:r>
      <w:r>
        <w:rPr>
          <w:rFonts w:eastAsia="Times New Roman"/>
          <w:color w:val="222222"/>
          <w:lang w:val="en-CA"/>
        </w:rPr>
        <w:t xml:space="preserve"> The licensing agreements other than the model licenses </w:t>
      </w:r>
      <w:r w:rsidR="008B1C7F">
        <w:rPr>
          <w:rFonts w:eastAsia="Times New Roman"/>
          <w:color w:val="222222"/>
          <w:lang w:val="en-CA"/>
        </w:rPr>
        <w:t>were subject to confidentiality</w:t>
      </w:r>
      <w:r>
        <w:rPr>
          <w:rFonts w:eastAsia="Times New Roman"/>
          <w:color w:val="222222"/>
          <w:lang w:val="en-CA"/>
        </w:rPr>
        <w:t xml:space="preserve"> but we briefly discussed the negotiation stage, the important t</w:t>
      </w:r>
      <w:r w:rsidR="008B1C7F">
        <w:rPr>
          <w:rFonts w:eastAsia="Times New Roman"/>
          <w:color w:val="222222"/>
          <w:lang w:val="en-CA"/>
        </w:rPr>
        <w:t xml:space="preserve">erms within the agreements, </w:t>
      </w:r>
      <w:r>
        <w:rPr>
          <w:rFonts w:eastAsia="Times New Roman"/>
          <w:color w:val="222222"/>
          <w:lang w:val="en-CA"/>
        </w:rPr>
        <w:t xml:space="preserve">jurisdictional issues and </w:t>
      </w:r>
      <w:r w:rsidR="008B1C7F">
        <w:rPr>
          <w:rFonts w:eastAsia="Times New Roman"/>
          <w:color w:val="222222"/>
          <w:lang w:val="en-CA"/>
        </w:rPr>
        <w:t xml:space="preserve">any </w:t>
      </w:r>
      <w:r>
        <w:rPr>
          <w:rFonts w:eastAsia="Times New Roman"/>
          <w:color w:val="222222"/>
          <w:lang w:val="en-CA"/>
        </w:rPr>
        <w:t xml:space="preserve">other issues that had come into their development of licensing. CRKN discussed their role within the Canadian sphere of licensing and consortia. They discussed the differences between their agreements, the various provincial consortia within Canada and </w:t>
      </w:r>
      <w:r w:rsidR="008B1C7F">
        <w:rPr>
          <w:rFonts w:eastAsia="Times New Roman"/>
          <w:color w:val="222222"/>
          <w:lang w:val="en-CA"/>
        </w:rPr>
        <w:t>independent ventures by</w:t>
      </w:r>
      <w:r>
        <w:rPr>
          <w:rFonts w:eastAsia="Times New Roman"/>
          <w:color w:val="222222"/>
          <w:lang w:val="en-CA"/>
        </w:rPr>
        <w:t xml:space="preserve"> universities. T</w:t>
      </w:r>
      <w:r w:rsidR="00701B5B">
        <w:rPr>
          <w:rFonts w:eastAsia="Times New Roman"/>
          <w:color w:val="222222"/>
          <w:lang w:val="en-CA"/>
        </w:rPr>
        <w:t>he individuals I spoke to from</w:t>
      </w:r>
      <w:r>
        <w:rPr>
          <w:rFonts w:eastAsia="Times New Roman"/>
          <w:color w:val="222222"/>
          <w:lang w:val="en-CA"/>
        </w:rPr>
        <w:t xml:space="preserve"> the institutions were mainly copyright officers and resource acquisiti</w:t>
      </w:r>
      <w:r w:rsidR="00EA2AC5">
        <w:rPr>
          <w:rFonts w:eastAsia="Times New Roman"/>
          <w:color w:val="222222"/>
          <w:lang w:val="en-CA"/>
        </w:rPr>
        <w:t>on staff. Overall the consultations</w:t>
      </w:r>
      <w:r>
        <w:rPr>
          <w:rFonts w:eastAsia="Times New Roman"/>
          <w:color w:val="222222"/>
          <w:lang w:val="en-CA"/>
        </w:rPr>
        <w:t xml:space="preserve"> allowed me to better understand the issues surrounding th</w:t>
      </w:r>
      <w:r w:rsidR="00D80849">
        <w:rPr>
          <w:rFonts w:eastAsia="Times New Roman"/>
          <w:color w:val="222222"/>
          <w:lang w:val="en-CA"/>
        </w:rPr>
        <w:t xml:space="preserve">e licensing process and how </w:t>
      </w:r>
      <w:r>
        <w:rPr>
          <w:rFonts w:eastAsia="Times New Roman"/>
          <w:color w:val="222222"/>
          <w:lang w:val="en-CA"/>
        </w:rPr>
        <w:t>model licenses are developed.</w:t>
      </w:r>
    </w:p>
    <w:p w14:paraId="40FA4B19" w14:textId="77777777" w:rsidR="00BE4DD9" w:rsidRDefault="00BE4DD9" w:rsidP="00BE4DD9">
      <w:pPr>
        <w:shd w:val="clear" w:color="auto" w:fill="FFFFFF"/>
        <w:jc w:val="both"/>
        <w:rPr>
          <w:rFonts w:eastAsia="Times New Roman"/>
          <w:color w:val="222222"/>
          <w:lang w:val="en-CA"/>
        </w:rPr>
      </w:pPr>
    </w:p>
    <w:p w14:paraId="616F1C93" w14:textId="34CA8FC2" w:rsidR="00BE4DD9" w:rsidRPr="00BE4DD9" w:rsidRDefault="00D80849" w:rsidP="00BE4DD9">
      <w:pPr>
        <w:shd w:val="clear" w:color="auto" w:fill="FFFFFF"/>
        <w:jc w:val="both"/>
        <w:rPr>
          <w:rFonts w:eastAsia="Times New Roman"/>
          <w:color w:val="222222"/>
          <w:lang w:val="en-CA"/>
        </w:rPr>
      </w:pPr>
      <w:r>
        <w:rPr>
          <w:rFonts w:eastAsia="Times New Roman"/>
          <w:color w:val="222222"/>
          <w:lang w:val="en-CA"/>
        </w:rPr>
        <w:t>The information</w:t>
      </w:r>
      <w:r w:rsidR="00BE4DD9">
        <w:rPr>
          <w:rFonts w:eastAsia="Times New Roman"/>
          <w:color w:val="222222"/>
          <w:lang w:val="en-CA"/>
        </w:rPr>
        <w:t xml:space="preserve"> from the universities and </w:t>
      </w:r>
      <w:r w:rsidR="008958A9">
        <w:rPr>
          <w:rFonts w:eastAsia="Times New Roman"/>
          <w:color w:val="222222"/>
          <w:lang w:val="en-CA"/>
        </w:rPr>
        <w:t>CRKN</w:t>
      </w:r>
      <w:r>
        <w:rPr>
          <w:rFonts w:eastAsia="Times New Roman"/>
          <w:color w:val="222222"/>
          <w:lang w:val="en-CA"/>
        </w:rPr>
        <w:t xml:space="preserve"> was then used to measure the interaction</w:t>
      </w:r>
      <w:r w:rsidR="00BE4DD9">
        <w:rPr>
          <w:rFonts w:eastAsia="Times New Roman"/>
          <w:color w:val="222222"/>
          <w:lang w:val="en-CA"/>
        </w:rPr>
        <w:t xml:space="preserve"> between the contractual licenses and legislative provisions in Canada, the United Kingdom and the United States. </w:t>
      </w:r>
    </w:p>
    <w:p w14:paraId="7EA8242A" w14:textId="77777777" w:rsidR="00BE4DD9" w:rsidRDefault="00BE4DD9" w:rsidP="00BE4DD9">
      <w:pPr>
        <w:shd w:val="clear" w:color="auto" w:fill="FFFFFF"/>
        <w:jc w:val="both"/>
        <w:rPr>
          <w:rFonts w:eastAsia="Times New Roman"/>
          <w:i/>
          <w:color w:val="222222"/>
          <w:lang w:val="en-CA"/>
        </w:rPr>
      </w:pPr>
    </w:p>
    <w:p w14:paraId="0A3008C7" w14:textId="17D7525F" w:rsidR="008874A1" w:rsidRPr="003E6744" w:rsidRDefault="009B7ED7" w:rsidP="00BE4DD9">
      <w:pPr>
        <w:shd w:val="clear" w:color="auto" w:fill="FFFFFF"/>
        <w:jc w:val="both"/>
        <w:rPr>
          <w:rFonts w:eastAsia="Times New Roman"/>
          <w:i/>
          <w:color w:val="222222"/>
          <w:lang w:val="en-CA"/>
        </w:rPr>
      </w:pPr>
      <w:r>
        <w:rPr>
          <w:rFonts w:eastAsia="Times New Roman"/>
          <w:i/>
          <w:color w:val="222222"/>
          <w:lang w:val="en-CA"/>
        </w:rPr>
        <w:t>*</w:t>
      </w:r>
      <w:r w:rsidR="00A55396">
        <w:rPr>
          <w:rFonts w:eastAsia="Times New Roman"/>
          <w:i/>
          <w:color w:val="222222"/>
          <w:lang w:val="en-CA"/>
        </w:rPr>
        <w:t>Brief summary of c</w:t>
      </w:r>
      <w:r w:rsidR="008874A1" w:rsidRPr="003E6744">
        <w:rPr>
          <w:rFonts w:eastAsia="Times New Roman"/>
          <w:i/>
          <w:color w:val="222222"/>
          <w:lang w:val="en-CA"/>
        </w:rPr>
        <w:t>h</w:t>
      </w:r>
      <w:r>
        <w:rPr>
          <w:rFonts w:eastAsia="Times New Roman"/>
          <w:i/>
          <w:color w:val="222222"/>
          <w:lang w:val="en-CA"/>
        </w:rPr>
        <w:t xml:space="preserve">anges and </w:t>
      </w:r>
      <w:r w:rsidR="00A55396">
        <w:rPr>
          <w:rFonts w:eastAsia="Times New Roman"/>
          <w:i/>
          <w:color w:val="222222"/>
          <w:lang w:val="en-CA"/>
        </w:rPr>
        <w:t>impact on the p</w:t>
      </w:r>
      <w:r>
        <w:rPr>
          <w:rFonts w:eastAsia="Times New Roman"/>
          <w:i/>
          <w:color w:val="222222"/>
          <w:lang w:val="en-CA"/>
        </w:rPr>
        <w:t>roject</w:t>
      </w:r>
    </w:p>
    <w:p w14:paraId="6FCD830C" w14:textId="77777777" w:rsidR="008874A1" w:rsidRPr="003E6744" w:rsidRDefault="008874A1" w:rsidP="00BE4DD9">
      <w:pPr>
        <w:shd w:val="clear" w:color="auto" w:fill="FFFFFF"/>
        <w:jc w:val="both"/>
        <w:rPr>
          <w:rFonts w:eastAsia="Times New Roman"/>
          <w:color w:val="222222"/>
          <w:lang w:val="en-CA"/>
        </w:rPr>
      </w:pPr>
    </w:p>
    <w:p w14:paraId="40997D14" w14:textId="77777777" w:rsidR="003C6D0C" w:rsidRDefault="008874A1" w:rsidP="008B1C7F">
      <w:pPr>
        <w:shd w:val="clear" w:color="auto" w:fill="FFFFFF"/>
        <w:jc w:val="both"/>
        <w:rPr>
          <w:rFonts w:eastAsia="Times New Roman"/>
          <w:color w:val="222222"/>
          <w:lang w:val="en-CA"/>
        </w:rPr>
      </w:pPr>
      <w:r w:rsidRPr="003E6744">
        <w:rPr>
          <w:rFonts w:eastAsia="Times New Roman"/>
          <w:color w:val="222222"/>
          <w:lang w:val="en-CA"/>
        </w:rPr>
        <w:t>Previously, I had proposed visiting Ge</w:t>
      </w:r>
      <w:r w:rsidR="003C6D0C">
        <w:rPr>
          <w:rFonts w:eastAsia="Times New Roman"/>
          <w:color w:val="222222"/>
          <w:lang w:val="en-CA"/>
        </w:rPr>
        <w:t>orge Washington University</w:t>
      </w:r>
      <w:r w:rsidRPr="003E6744">
        <w:rPr>
          <w:rFonts w:eastAsia="Times New Roman"/>
          <w:color w:val="222222"/>
          <w:lang w:val="en-CA"/>
        </w:rPr>
        <w:t xml:space="preserve"> to gather an American perspective. I</w:t>
      </w:r>
      <w:r>
        <w:rPr>
          <w:rFonts w:eastAsia="Times New Roman"/>
          <w:color w:val="222222"/>
          <w:lang w:val="en-CA"/>
        </w:rPr>
        <w:t xml:space="preserve"> have included some American research into my project, but this is limited to online sources</w:t>
      </w:r>
      <w:r w:rsidRPr="003E6744">
        <w:rPr>
          <w:rFonts w:eastAsia="Times New Roman"/>
          <w:color w:val="222222"/>
          <w:lang w:val="en-CA"/>
        </w:rPr>
        <w:t>. In visiting the U</w:t>
      </w:r>
      <w:r w:rsidR="00EE0ACC">
        <w:rPr>
          <w:rFonts w:eastAsia="Times New Roman"/>
          <w:color w:val="222222"/>
          <w:lang w:val="en-CA"/>
        </w:rPr>
        <w:t>niversity of Victoria, I was</w:t>
      </w:r>
      <w:r w:rsidRPr="003E6744">
        <w:rPr>
          <w:rFonts w:eastAsia="Times New Roman"/>
          <w:color w:val="222222"/>
          <w:lang w:val="en-CA"/>
        </w:rPr>
        <w:t xml:space="preserve"> able to gather more in-depth Canadian research that is beyond the originally proposed provin</w:t>
      </w:r>
      <w:r w:rsidR="00EE0ACC">
        <w:rPr>
          <w:rFonts w:eastAsia="Times New Roman"/>
          <w:color w:val="222222"/>
          <w:lang w:val="en-CA"/>
        </w:rPr>
        <w:t>ce of Ontario. In</w:t>
      </w:r>
      <w:r w:rsidRPr="003E6744">
        <w:rPr>
          <w:rFonts w:eastAsia="Times New Roman"/>
          <w:color w:val="222222"/>
          <w:lang w:val="en-CA"/>
        </w:rPr>
        <w:t xml:space="preserve"> changing my project to research in Canadian provinces to </w:t>
      </w:r>
      <w:r>
        <w:rPr>
          <w:rFonts w:eastAsia="Times New Roman"/>
          <w:color w:val="222222"/>
          <w:lang w:val="en-CA"/>
        </w:rPr>
        <w:t>include</w:t>
      </w:r>
      <w:r w:rsidRPr="003E6744">
        <w:rPr>
          <w:rFonts w:eastAsia="Times New Roman"/>
          <w:color w:val="222222"/>
          <w:lang w:val="en-CA"/>
        </w:rPr>
        <w:t xml:space="preserve"> </w:t>
      </w:r>
      <w:r w:rsidR="003C6D0C">
        <w:rPr>
          <w:rFonts w:eastAsia="Times New Roman"/>
          <w:color w:val="222222"/>
          <w:lang w:val="en-CA"/>
        </w:rPr>
        <w:t xml:space="preserve">Western Canada, </w:t>
      </w:r>
      <w:r w:rsidR="00EE0ACC">
        <w:rPr>
          <w:rFonts w:eastAsia="Times New Roman"/>
          <w:color w:val="222222"/>
          <w:lang w:val="en-CA"/>
        </w:rPr>
        <w:t>I was</w:t>
      </w:r>
      <w:r w:rsidRPr="003E6744">
        <w:rPr>
          <w:rFonts w:eastAsia="Times New Roman"/>
          <w:color w:val="222222"/>
          <w:lang w:val="en-CA"/>
        </w:rPr>
        <w:t xml:space="preserve"> able to structure my comparative a</w:t>
      </w:r>
      <w:r>
        <w:rPr>
          <w:rFonts w:eastAsia="Times New Roman"/>
          <w:color w:val="222222"/>
          <w:lang w:val="en-CA"/>
        </w:rPr>
        <w:t xml:space="preserve">nalysis of English law with </w:t>
      </w:r>
      <w:r w:rsidRPr="003E6744">
        <w:rPr>
          <w:rFonts w:eastAsia="Times New Roman"/>
          <w:color w:val="222222"/>
          <w:lang w:val="en-CA"/>
        </w:rPr>
        <w:t>the Canadian legal structure.</w:t>
      </w:r>
      <w:r>
        <w:rPr>
          <w:rFonts w:eastAsia="Times New Roman"/>
          <w:color w:val="222222"/>
          <w:lang w:val="en-CA"/>
        </w:rPr>
        <w:t xml:space="preserve"> The Canadian trip was more</w:t>
      </w:r>
      <w:r w:rsidRPr="003E6744">
        <w:rPr>
          <w:rFonts w:eastAsia="Times New Roman"/>
          <w:color w:val="222222"/>
          <w:lang w:val="en-CA"/>
        </w:rPr>
        <w:t xml:space="preserve"> cost-effecti</w:t>
      </w:r>
      <w:r>
        <w:rPr>
          <w:rFonts w:eastAsia="Times New Roman"/>
          <w:color w:val="222222"/>
          <w:lang w:val="en-CA"/>
        </w:rPr>
        <w:t>ve in gathering research than a trip to the United States. I have been able to further investigate the use of consortia in negotiating licenses in visiting multiple universities in Canada.</w:t>
      </w:r>
    </w:p>
    <w:p w14:paraId="0FA77568" w14:textId="77777777" w:rsidR="00BB0742" w:rsidRDefault="00BB0742" w:rsidP="008B1C7F">
      <w:pPr>
        <w:shd w:val="clear" w:color="auto" w:fill="FFFFFF"/>
        <w:jc w:val="both"/>
        <w:rPr>
          <w:b/>
          <w:u w:val="single"/>
        </w:rPr>
      </w:pPr>
    </w:p>
    <w:p w14:paraId="31D999AE" w14:textId="77777777" w:rsidR="00724F17" w:rsidRDefault="00724F17" w:rsidP="00724F17">
      <w:pPr>
        <w:shd w:val="clear" w:color="auto" w:fill="FFFFFF"/>
        <w:rPr>
          <w:b/>
          <w:u w:val="single"/>
        </w:rPr>
      </w:pPr>
    </w:p>
    <w:p w14:paraId="04038CD5" w14:textId="77777777" w:rsidR="00E43F8B" w:rsidRDefault="00E43F8B" w:rsidP="00724F17">
      <w:pPr>
        <w:shd w:val="clear" w:color="auto" w:fill="FFFFFF"/>
        <w:rPr>
          <w:b/>
          <w:u w:val="single"/>
        </w:rPr>
      </w:pPr>
    </w:p>
    <w:p w14:paraId="49FEF691" w14:textId="5B60500A" w:rsidR="005D0F3A" w:rsidRPr="008B1C7F" w:rsidRDefault="005D0F3A" w:rsidP="00724F17">
      <w:pPr>
        <w:shd w:val="clear" w:color="auto" w:fill="FFFFFF"/>
        <w:jc w:val="center"/>
        <w:rPr>
          <w:rFonts w:eastAsia="Times New Roman"/>
          <w:color w:val="222222"/>
          <w:lang w:val="en-CA"/>
        </w:rPr>
      </w:pPr>
      <w:r>
        <w:rPr>
          <w:b/>
          <w:u w:val="single"/>
        </w:rPr>
        <w:lastRenderedPageBreak/>
        <w:t>Results</w:t>
      </w:r>
    </w:p>
    <w:p w14:paraId="75564787" w14:textId="77777777" w:rsidR="005D0F3A" w:rsidRDefault="005D0F3A" w:rsidP="00BE4DD9">
      <w:pPr>
        <w:jc w:val="both"/>
      </w:pPr>
    </w:p>
    <w:p w14:paraId="42AE26D0" w14:textId="1512539F" w:rsidR="00D97485" w:rsidRDefault="00A55396" w:rsidP="00BE4DD9">
      <w:pPr>
        <w:jc w:val="both"/>
      </w:pPr>
      <w:r>
        <w:rPr>
          <w:i/>
        </w:rPr>
        <w:t>Content of the l</w:t>
      </w:r>
      <w:r w:rsidR="00D97485">
        <w:rPr>
          <w:i/>
        </w:rPr>
        <w:t>icenses</w:t>
      </w:r>
    </w:p>
    <w:p w14:paraId="31D37C70" w14:textId="77777777" w:rsidR="00D97485" w:rsidRDefault="00D97485" w:rsidP="00BE4DD9">
      <w:pPr>
        <w:jc w:val="both"/>
      </w:pPr>
    </w:p>
    <w:p w14:paraId="1C010A65" w14:textId="01D4931D" w:rsidR="00701B5B" w:rsidRDefault="00701B5B" w:rsidP="00BE4DD9">
      <w:pPr>
        <w:jc w:val="both"/>
      </w:pPr>
      <w:r>
        <w:t xml:space="preserve">Universities need to enter into agreements with the publishers or vendors because of copyright legislation creating rights for owners of intellectual property. However, it appears that contract law, in its tools and available remedies, is of the most concern to academic institutions. The language of the license agreements appears to cite jurisdictional copyright exemption protections, such as in the CRKN model license. However, the contract then provides that prohibited uses of the agreed material include any further publishing, distribution or availability that are outside of the agreement without first receiving explicit written permission by the publisher. It appears that the terms of the contract are limiting the usage rights of the universities and their members, regardless of the umbrella under which fair dealing and fair use should apply according to legislation.   </w:t>
      </w:r>
    </w:p>
    <w:p w14:paraId="6EF88A72" w14:textId="77777777" w:rsidR="00701B5B" w:rsidRDefault="00701B5B" w:rsidP="00BE4DD9">
      <w:pPr>
        <w:jc w:val="both"/>
      </w:pPr>
    </w:p>
    <w:p w14:paraId="1959B100" w14:textId="4400D389" w:rsidR="00D97485" w:rsidRDefault="004F4DBB" w:rsidP="00BE4DD9">
      <w:pPr>
        <w:jc w:val="both"/>
      </w:pPr>
      <w:r>
        <w:t xml:space="preserve">These licenses are usually outlined as granting non-exclusive and non-transferable rights for the authorised users of the content. </w:t>
      </w:r>
      <w:r w:rsidR="00D97485">
        <w:t>The academic institutions regarded the following provisions to be more important for the agreement to include for the benefit of their university:</w:t>
      </w:r>
    </w:p>
    <w:p w14:paraId="74E5311B" w14:textId="77777777" w:rsidR="00D97485" w:rsidRDefault="00D97485" w:rsidP="00BE4DD9">
      <w:pPr>
        <w:jc w:val="both"/>
      </w:pPr>
    </w:p>
    <w:p w14:paraId="02BFCA15" w14:textId="6B034AAB" w:rsidR="00D97485" w:rsidRDefault="00D97485" w:rsidP="004F4DBB">
      <w:pPr>
        <w:pStyle w:val="ListParagraph"/>
        <w:numPr>
          <w:ilvl w:val="0"/>
          <w:numId w:val="1"/>
        </w:numPr>
        <w:jc w:val="both"/>
      </w:pPr>
      <w:r w:rsidRPr="004C6E1C">
        <w:rPr>
          <w:b/>
        </w:rPr>
        <w:t>Course packs</w:t>
      </w:r>
      <w:r w:rsidR="00CF5D95">
        <w:t xml:space="preserve"> – The CRKN model license describes a course pack as, “[a] collection or compilation of materials (e.g. book chapters, journal articles) assembled by a Member for use but its students in a class for the purposes of instruction.”</w:t>
      </w:r>
      <w:r w:rsidR="00CF5D95">
        <w:rPr>
          <w:rStyle w:val="FootnoteReference"/>
        </w:rPr>
        <w:footnoteReference w:id="16"/>
      </w:r>
    </w:p>
    <w:p w14:paraId="12B832A4" w14:textId="3636DB20" w:rsidR="00D97485" w:rsidRDefault="00D97485" w:rsidP="004F4DBB">
      <w:pPr>
        <w:pStyle w:val="ListParagraph"/>
        <w:numPr>
          <w:ilvl w:val="0"/>
          <w:numId w:val="1"/>
        </w:numPr>
        <w:jc w:val="both"/>
      </w:pPr>
      <w:r w:rsidRPr="004C6E1C">
        <w:rPr>
          <w:b/>
        </w:rPr>
        <w:t>Electronic learning environments</w:t>
      </w:r>
      <w:r w:rsidR="004F4DBB">
        <w:t xml:space="preserve"> – An electronic system, usually provided within a secure network provided by the university.</w:t>
      </w:r>
    </w:p>
    <w:p w14:paraId="7F2E3D6D" w14:textId="7997236C" w:rsidR="00D97485" w:rsidRDefault="004F4DBB" w:rsidP="004F4DBB">
      <w:pPr>
        <w:pStyle w:val="ListParagraph"/>
        <w:numPr>
          <w:ilvl w:val="0"/>
          <w:numId w:val="1"/>
        </w:numPr>
        <w:jc w:val="both"/>
      </w:pPr>
      <w:r w:rsidRPr="004C6E1C">
        <w:rPr>
          <w:b/>
        </w:rPr>
        <w:t>Electronic reserve</w:t>
      </w:r>
      <w:r w:rsidR="00D97485">
        <w:t xml:space="preserve"> –</w:t>
      </w:r>
      <w:r>
        <w:t xml:space="preserve"> Electronic copies of materials usually stored on a secured network provided by a consortium or university.</w:t>
      </w:r>
    </w:p>
    <w:p w14:paraId="4A10210D" w14:textId="709A0760" w:rsidR="00D97485" w:rsidRDefault="00D97485" w:rsidP="004F4DBB">
      <w:pPr>
        <w:pStyle w:val="ListParagraph"/>
        <w:numPr>
          <w:ilvl w:val="0"/>
          <w:numId w:val="1"/>
        </w:numPr>
        <w:jc w:val="both"/>
      </w:pPr>
      <w:r w:rsidRPr="004C6E1C">
        <w:rPr>
          <w:b/>
        </w:rPr>
        <w:t>Perpetual access</w:t>
      </w:r>
      <w:r w:rsidR="004F4DBB">
        <w:t xml:space="preserve"> – Important provision around historical licensed materials retained by the university after the termination of the license.</w:t>
      </w:r>
    </w:p>
    <w:p w14:paraId="5197968D" w14:textId="0A230E2B" w:rsidR="00D97485" w:rsidRDefault="00D97485" w:rsidP="004F4DBB">
      <w:pPr>
        <w:pStyle w:val="ListParagraph"/>
        <w:numPr>
          <w:ilvl w:val="0"/>
          <w:numId w:val="1"/>
        </w:numPr>
        <w:jc w:val="both"/>
      </w:pPr>
      <w:r w:rsidRPr="004C6E1C">
        <w:rPr>
          <w:b/>
        </w:rPr>
        <w:t>Text and data mining</w:t>
      </w:r>
      <w:r w:rsidR="004F4DBB">
        <w:t xml:space="preserve"> – CRKN defines text or data mining as “[a] machine process by which information may be derived by identifying patterns and trends within natural language through text categorization, statistical pattern recognition, concept or sentiment extraction, and the association of natural language with indexing terms.”</w:t>
      </w:r>
      <w:r w:rsidR="004F4DBB">
        <w:rPr>
          <w:rStyle w:val="FootnoteReference"/>
        </w:rPr>
        <w:footnoteReference w:id="17"/>
      </w:r>
    </w:p>
    <w:p w14:paraId="65832B73" w14:textId="21CC4A5A" w:rsidR="00D97485" w:rsidRPr="00D97485" w:rsidRDefault="00D97485" w:rsidP="004F4DBB">
      <w:pPr>
        <w:pStyle w:val="ListParagraph"/>
        <w:numPr>
          <w:ilvl w:val="0"/>
          <w:numId w:val="1"/>
        </w:numPr>
        <w:jc w:val="both"/>
      </w:pPr>
      <w:r w:rsidRPr="004C6E1C">
        <w:rPr>
          <w:b/>
        </w:rPr>
        <w:t>Alumni as authorised users</w:t>
      </w:r>
      <w:r w:rsidR="004F4DBB">
        <w:t xml:space="preserve"> – Alumni are usually included or excluded within the definition of authorised users in the agreement.</w:t>
      </w:r>
    </w:p>
    <w:p w14:paraId="2E13DDE5" w14:textId="77777777" w:rsidR="00D97485" w:rsidRDefault="00D97485" w:rsidP="00BE4DD9">
      <w:pPr>
        <w:jc w:val="both"/>
        <w:rPr>
          <w:i/>
        </w:rPr>
      </w:pPr>
    </w:p>
    <w:p w14:paraId="56690BA8" w14:textId="2F43499C" w:rsidR="008B1C7F" w:rsidRDefault="00A55396" w:rsidP="00BE4DD9">
      <w:pPr>
        <w:jc w:val="both"/>
      </w:pPr>
      <w:r>
        <w:rPr>
          <w:i/>
        </w:rPr>
        <w:t>‘Fair dealing’ and ‘fair u</w:t>
      </w:r>
      <w:r w:rsidR="00651E3F">
        <w:rPr>
          <w:i/>
        </w:rPr>
        <w:t>se’</w:t>
      </w:r>
    </w:p>
    <w:p w14:paraId="7D4C3C3F" w14:textId="77777777" w:rsidR="00651E3F" w:rsidRDefault="00651E3F" w:rsidP="00BE4DD9">
      <w:pPr>
        <w:jc w:val="both"/>
      </w:pPr>
    </w:p>
    <w:p w14:paraId="668492B0" w14:textId="5421280A" w:rsidR="00585796" w:rsidRDefault="00651E3F" w:rsidP="00BE4DD9">
      <w:pPr>
        <w:jc w:val="both"/>
      </w:pPr>
      <w:r>
        <w:t xml:space="preserve">Each university stressed the importance of incorporating the term ‘fair dealing’ into their licensing agreements. More significantly, </w:t>
      </w:r>
      <w:r w:rsidR="009E7C83">
        <w:t xml:space="preserve">the American provision of </w:t>
      </w:r>
      <w:r>
        <w:t>‘fair use’</w:t>
      </w:r>
      <w:r w:rsidR="009E7C83">
        <w:t xml:space="preserve"> was seen as insufficient for Canadian and English universities that were contracting with publishers. The source for the concept of ‘fair dealing’ and ‘fair use’ is found in Canadian, English and American legislation as a defence to copyright infringement. </w:t>
      </w:r>
    </w:p>
    <w:p w14:paraId="17FA4CDF" w14:textId="77777777" w:rsidR="00585796" w:rsidRDefault="00585796" w:rsidP="00BE4DD9">
      <w:pPr>
        <w:jc w:val="both"/>
      </w:pPr>
    </w:p>
    <w:p w14:paraId="5E6315F2" w14:textId="0050CCFF" w:rsidR="004C6E1C" w:rsidRDefault="004C6E1C" w:rsidP="00BE4DD9">
      <w:pPr>
        <w:jc w:val="both"/>
      </w:pPr>
      <w:r>
        <w:t>The CRKN model license agreement contains a clause under ‘Usage Rights’, which states: “Nothing in this agreement shall in any way limit the ability of the Consortium, Authorized Users and Walk-In Users to engage in or conduct any activity that would not constitute an infringement under Canadian copyright laws, in respect of a copyrighted work.”</w:t>
      </w:r>
      <w:r>
        <w:rPr>
          <w:rStyle w:val="FootnoteReference"/>
        </w:rPr>
        <w:footnoteReference w:id="18"/>
      </w:r>
      <w:r w:rsidR="00E43F8B">
        <w:t xml:space="preserve"> However, in discussing the construction of these principles within model licenses, librarians and copyright officers appeared less concerned with the jurisdiction and subsequent legislati</w:t>
      </w:r>
      <w:r w:rsidR="00EC768B">
        <w:t xml:space="preserve">on that governed the contract. </w:t>
      </w:r>
    </w:p>
    <w:p w14:paraId="163470A5" w14:textId="77777777" w:rsidR="009E7C83" w:rsidRDefault="009E7C83" w:rsidP="00BE4DD9">
      <w:pPr>
        <w:jc w:val="both"/>
      </w:pPr>
    </w:p>
    <w:p w14:paraId="67D44A2E" w14:textId="3DB5560D" w:rsidR="00683778" w:rsidRDefault="00EC768B" w:rsidP="00BE4DD9">
      <w:pPr>
        <w:jc w:val="both"/>
      </w:pPr>
      <w:r>
        <w:t>Fair dealing provides a defence for copyright infringement. However, the model licenses seem to try to constrain and contain the material available to the contracting library. For example, t</w:t>
      </w:r>
      <w:r w:rsidR="00D2332B">
        <w:t xml:space="preserve">he model licenses contain reservations for the Publisher to withdraw or add any titles from the licensed materials. This reservation is only subject to a breach of contract if the change is seen as material to the agreement. Furthermore, any material breach to the agreement is subject to a grace period of thirty days for the publisher to </w:t>
      </w:r>
      <w:r w:rsidR="00DB403A">
        <w:t xml:space="preserve">remedy the breach. </w:t>
      </w:r>
      <w:r w:rsidR="00805BD2">
        <w:t xml:space="preserve">In the instance where a breach has occurred or security of the server has been threatened, the agreements provide provisions for the publisher to temporarily suspend access to the materials until the breach has been rectified and reasonable efforts by the publisher are taken to prevent any similar recurrence. </w:t>
      </w:r>
      <w:r w:rsidR="00DB403A">
        <w:t xml:space="preserve">This report </w:t>
      </w:r>
      <w:r w:rsidR="00B45F5E">
        <w:t>has found that despite the licenses’ inclusion of</w:t>
      </w:r>
      <w:r w:rsidR="00DB403A">
        <w:t xml:space="preserve"> </w:t>
      </w:r>
      <w:r w:rsidR="004D22FA">
        <w:t xml:space="preserve">fair dealing or fair use as </w:t>
      </w:r>
      <w:r w:rsidR="00DB403A">
        <w:t>provided</w:t>
      </w:r>
      <w:r w:rsidR="00B45F5E">
        <w:t xml:space="preserve"> by</w:t>
      </w:r>
      <w:r w:rsidR="00DB403A">
        <w:t xml:space="preserve"> </w:t>
      </w:r>
      <w:r w:rsidR="00B45F5E">
        <w:t>reference to legislation, the defence of fair dealing in the case of a breach might not be as expansive in reality.</w:t>
      </w:r>
    </w:p>
    <w:p w14:paraId="58DD0FD9" w14:textId="77777777" w:rsidR="00683778" w:rsidRDefault="00683778" w:rsidP="00BE4DD9">
      <w:pPr>
        <w:jc w:val="both"/>
      </w:pPr>
    </w:p>
    <w:p w14:paraId="1148623A" w14:textId="0DFCB131" w:rsidR="00835361" w:rsidRDefault="00683778" w:rsidP="00BE4DD9">
      <w:pPr>
        <w:jc w:val="both"/>
      </w:pPr>
      <w:r>
        <w:rPr>
          <w:i/>
        </w:rPr>
        <w:t>Where</w:t>
      </w:r>
      <w:r w:rsidR="00A55396">
        <w:rPr>
          <w:i/>
        </w:rPr>
        <w:t xml:space="preserve"> l</w:t>
      </w:r>
      <w:r w:rsidR="00835361">
        <w:rPr>
          <w:i/>
        </w:rPr>
        <w:t xml:space="preserve">iability falls </w:t>
      </w:r>
    </w:p>
    <w:p w14:paraId="3E305B11" w14:textId="77777777" w:rsidR="00835361" w:rsidRDefault="00835361" w:rsidP="00BE4DD9">
      <w:pPr>
        <w:jc w:val="both"/>
      </w:pPr>
    </w:p>
    <w:p w14:paraId="28CB8BB0" w14:textId="61F357DB" w:rsidR="008D4235" w:rsidRDefault="00B45F5E" w:rsidP="00BE4DD9">
      <w:pPr>
        <w:jc w:val="both"/>
      </w:pPr>
      <w:r>
        <w:t>The model</w:t>
      </w:r>
      <w:r w:rsidR="00835361">
        <w:t xml:space="preserve"> agreements </w:t>
      </w:r>
      <w:r>
        <w:t>demand</w:t>
      </w:r>
      <w:r w:rsidR="00835361">
        <w:t xml:space="preserve"> both the publisher and university</w:t>
      </w:r>
      <w:r>
        <w:t xml:space="preserve"> to act reasonably when monitoring the use of the database. T</w:t>
      </w:r>
      <w:r w:rsidR="00421751">
        <w:t>he module licenses</w:t>
      </w:r>
      <w:r w:rsidR="00835361">
        <w:t xml:space="preserve"> seem to imply more onus on the </w:t>
      </w:r>
      <w:r w:rsidR="00C27181">
        <w:t>university to</w:t>
      </w:r>
      <w:r w:rsidR="00E34495">
        <w:t xml:space="preserve"> immediately respond to a breach of the agreement, including in some cases, disciplinary action.</w:t>
      </w:r>
      <w:r w:rsidR="00E34495">
        <w:rPr>
          <w:rStyle w:val="FootnoteReference"/>
        </w:rPr>
        <w:footnoteReference w:id="19"/>
      </w:r>
      <w:r w:rsidR="00D2332B">
        <w:t xml:space="preserve"> </w:t>
      </w:r>
      <w:r w:rsidR="00E34495">
        <w:t xml:space="preserve">In the Australian case </w:t>
      </w:r>
      <w:r w:rsidR="00E34495">
        <w:rPr>
          <w:i/>
        </w:rPr>
        <w:t>University of New South Wales v Moorhouse &amp; Anor,</w:t>
      </w:r>
      <w:r w:rsidR="00E34495">
        <w:rPr>
          <w:rStyle w:val="FootnoteReference"/>
          <w:i/>
        </w:rPr>
        <w:footnoteReference w:id="20"/>
      </w:r>
      <w:r w:rsidR="00E34495">
        <w:rPr>
          <w:i/>
        </w:rPr>
        <w:t xml:space="preserve"> </w:t>
      </w:r>
      <w:r w:rsidR="00E34495">
        <w:t xml:space="preserve">the library was considered legally responsible for the act of infringement committed by any library users. In </w:t>
      </w:r>
      <w:r w:rsidR="003F6550">
        <w:rPr>
          <w:i/>
        </w:rPr>
        <w:t>Universities</w:t>
      </w:r>
      <w:r w:rsidR="00E34495">
        <w:rPr>
          <w:i/>
        </w:rPr>
        <w:t xml:space="preserve"> UK v Copyright Licensing Agency</w:t>
      </w:r>
      <w:r w:rsidR="00E34495">
        <w:rPr>
          <w:rStyle w:val="FootnoteReference"/>
        </w:rPr>
        <w:footnoteReference w:id="21"/>
      </w:r>
      <w:r w:rsidR="003F6550">
        <w:rPr>
          <w:i/>
        </w:rPr>
        <w:t>,</w:t>
      </w:r>
      <w:r w:rsidR="00E34495">
        <w:t xml:space="preserve"> the Copyright Tribunal found in reading the license agreement that authorised users such as a lecturer at the university would be legally liable for merely instructing students to copy material. If the university had merely provided the reading list without any instructions to then copy the materials, then it was held that this would not be infringement of copyright under the agreement.</w:t>
      </w:r>
      <w:r w:rsidR="00E34495">
        <w:rPr>
          <w:rStyle w:val="FootnoteReference"/>
        </w:rPr>
        <w:footnoteReference w:id="22"/>
      </w:r>
      <w:r w:rsidR="00A65B67">
        <w:t xml:space="preserve"> These cases may illustrate that provisions within the license limit the application of fair dealing and exemptions under copyright legislation. </w:t>
      </w:r>
    </w:p>
    <w:p w14:paraId="48F70E04" w14:textId="77777777" w:rsidR="008D4235" w:rsidRDefault="008D4235" w:rsidP="00BE4DD9">
      <w:pPr>
        <w:jc w:val="both"/>
      </w:pPr>
    </w:p>
    <w:p w14:paraId="32B7DDEB" w14:textId="615EE1B7" w:rsidR="00D2332B" w:rsidRDefault="00A65B67" w:rsidP="00BE4DD9">
      <w:pPr>
        <w:jc w:val="both"/>
      </w:pPr>
      <w:r>
        <w:t xml:space="preserve">Interestingly, in the Canadian case </w:t>
      </w:r>
      <w:r>
        <w:rPr>
          <w:i/>
        </w:rPr>
        <w:t>Alberta (Education) v Canadian Copyright Licensing Agency (Access Copyright)</w:t>
      </w:r>
      <w:r>
        <w:rPr>
          <w:rStyle w:val="FootnoteReference"/>
        </w:rPr>
        <w:footnoteReference w:id="23"/>
      </w:r>
      <w:r w:rsidR="003F6550">
        <w:rPr>
          <w:i/>
        </w:rPr>
        <w:t>,</w:t>
      </w:r>
      <w:r>
        <w:t xml:space="preserve"> the Supreme Court decided 5:4 that the Board of Education in Alberta was to re-evaluate their former understanding of ‘fair dealing’ that had previously excluded photocopies by teachers in elementary and secondary schools of Access Copyright’s materials. The case came after Canada had amended its copyright legislation, introducing the Copyright Modernization Act in 2012.</w:t>
      </w:r>
      <w:r w:rsidR="001063B0">
        <w:t xml:space="preserve"> The Supreme Court applied the tests outlined in </w:t>
      </w:r>
      <w:r w:rsidR="001063B0">
        <w:rPr>
          <w:i/>
        </w:rPr>
        <w:t>CCH</w:t>
      </w:r>
      <w:r w:rsidR="001063B0">
        <w:rPr>
          <w:rStyle w:val="FootnoteReference"/>
          <w:i/>
        </w:rPr>
        <w:footnoteReference w:id="24"/>
      </w:r>
      <w:r w:rsidR="001063B0">
        <w:t xml:space="preserve"> and concluded that the Board had skewed the teachers’ actions as independent from motivations to their students.</w:t>
      </w:r>
      <w:r w:rsidR="001063B0">
        <w:rPr>
          <w:rStyle w:val="FootnoteReference"/>
        </w:rPr>
        <w:footnoteReference w:id="25"/>
      </w:r>
      <w:r w:rsidR="00573C95">
        <w:t xml:space="preserve"> </w:t>
      </w:r>
      <w:r w:rsidR="00BB0F31">
        <w:t>Licensing contracts in Australia seemingly override the Copyright Act in the area of electronic resources.</w:t>
      </w:r>
      <w:r w:rsidR="00BB0F31">
        <w:rPr>
          <w:rStyle w:val="FootnoteReference"/>
        </w:rPr>
        <w:footnoteReference w:id="26"/>
      </w:r>
      <w:r w:rsidR="00BB0F31">
        <w:t xml:space="preserve"> </w:t>
      </w:r>
      <w:r w:rsidR="00573C95">
        <w:t>These cases raise the question as to whether the existence of a license changed how freely a court is to interpre</w:t>
      </w:r>
      <w:r w:rsidR="00805BD2">
        <w:t>t the concept of ‘fair dealing’ and importantly whether the license agreements subsequently undermine the exceptions found under copyright legislation.</w:t>
      </w:r>
    </w:p>
    <w:p w14:paraId="6F998D73" w14:textId="77777777" w:rsidR="00BB0F31" w:rsidRDefault="00BB0F31" w:rsidP="00BE4DD9">
      <w:pPr>
        <w:jc w:val="both"/>
      </w:pPr>
    </w:p>
    <w:p w14:paraId="70D46D09" w14:textId="0CBA8E04" w:rsidR="00BB0F31" w:rsidRDefault="00BB0F31" w:rsidP="00BE4DD9">
      <w:pPr>
        <w:jc w:val="both"/>
      </w:pPr>
      <w:r>
        <w:t>It should be noted that the libraries and CRKN contacted for this project have never had a dispute go to court. In England and Wales, the Copyright Tribunal reviews copyright contracts. Costs of referral and full adjudication by the Copyright Tribunal are estimated to at least £250,000.</w:t>
      </w:r>
      <w:r>
        <w:rPr>
          <w:rStyle w:val="FootnoteReference"/>
        </w:rPr>
        <w:footnoteReference w:id="27"/>
      </w:r>
    </w:p>
    <w:p w14:paraId="35F738D0" w14:textId="77777777" w:rsidR="00FC3656" w:rsidRDefault="00FC3656" w:rsidP="00BE4DD9">
      <w:pPr>
        <w:jc w:val="both"/>
      </w:pPr>
    </w:p>
    <w:p w14:paraId="684B5D1A" w14:textId="6386110D" w:rsidR="00FC3656" w:rsidRDefault="00FC3656" w:rsidP="00BE4DD9">
      <w:pPr>
        <w:jc w:val="both"/>
      </w:pPr>
      <w:r>
        <w:t xml:space="preserve">The cost of these agreements is an important consideration </w:t>
      </w:r>
      <w:r w:rsidR="00B85431">
        <w:t xml:space="preserve">that </w:t>
      </w:r>
      <w:r>
        <w:t>from the informal interviews of this project. Academic libraries have a considerable budget in obtaining these resources for their students</w:t>
      </w:r>
      <w:r w:rsidR="00B85431">
        <w:t xml:space="preserve">; one </w:t>
      </w:r>
      <w:r w:rsidR="000F0E12">
        <w:t xml:space="preserve">smaller </w:t>
      </w:r>
      <w:r w:rsidR="00B85431">
        <w:t xml:space="preserve">university stated its yearly budget was over </w:t>
      </w:r>
      <w:r w:rsidR="000F0E12">
        <w:t>one million dollars</w:t>
      </w:r>
      <w:r>
        <w:t>.</w:t>
      </w:r>
      <w:r w:rsidR="00F75FA5">
        <w:rPr>
          <w:rStyle w:val="FootnoteReference"/>
        </w:rPr>
        <w:footnoteReference w:id="28"/>
      </w:r>
      <w:r w:rsidR="000F0E12">
        <w:t xml:space="preserve"> On average, </w:t>
      </w:r>
      <w:r w:rsidR="00DE1431">
        <w:t>interviewees use consortia for</w:t>
      </w:r>
      <w:r w:rsidR="000F0E12">
        <w:t xml:space="preserve"> eighty to n</w:t>
      </w:r>
      <w:r w:rsidR="00DE1431">
        <w:t xml:space="preserve">inety per cent of their </w:t>
      </w:r>
      <w:r w:rsidR="000F0E12">
        <w:t xml:space="preserve">agreements. </w:t>
      </w:r>
      <w:r w:rsidR="00B368B3">
        <w:t xml:space="preserve">Ventures through a consortium may be a costly experience for institutions. </w:t>
      </w:r>
      <w:r w:rsidR="000F0E12">
        <w:t xml:space="preserve">However, budgeting became a predominant issue when considering independent ventures where the balance of negotiating power usually falls to the publisher. </w:t>
      </w:r>
      <w:r w:rsidR="00F75FA5">
        <w:t>Economically, in</w:t>
      </w:r>
      <w:r w:rsidR="00B368B3">
        <w:t>stitutions in exporting nations such as Canada</w:t>
      </w:r>
      <w:r w:rsidR="00F75FA5">
        <w:t xml:space="preserve"> may struggle with purchasing power depending on the current market situation. </w:t>
      </w:r>
      <w:r w:rsidR="00B368B3">
        <w:t xml:space="preserve">There appears to be </w:t>
      </w:r>
      <w:r>
        <w:t>a constant struggle between maintaining subscriptions to these resources to meet demands of all academic departments</w:t>
      </w:r>
      <w:r w:rsidR="001F5468">
        <w:t xml:space="preserve"> and staying within budget</w:t>
      </w:r>
      <w:r>
        <w:t>.</w:t>
      </w:r>
      <w:r w:rsidR="00F75FA5">
        <w:t xml:space="preserve"> The publishers may only offer large bundles of resources for an expensive price, forcing smaller or less affluent libraries to consider cutting the subscription for students and staff altogether. Although this project only touches on the various differences between institutions in their experiences, further research may find that availability of resources may create disparity of study materials within the education sector, a main tenet of the concept of fair dealing.</w:t>
      </w:r>
    </w:p>
    <w:p w14:paraId="19DD5568" w14:textId="77777777" w:rsidR="00B74332" w:rsidRDefault="00B74332" w:rsidP="00BE4DD9">
      <w:pPr>
        <w:jc w:val="both"/>
      </w:pPr>
    </w:p>
    <w:p w14:paraId="52C961C7" w14:textId="77777777" w:rsidR="00D2332B" w:rsidRDefault="00D2332B" w:rsidP="00BE4DD9">
      <w:pPr>
        <w:jc w:val="both"/>
      </w:pPr>
    </w:p>
    <w:p w14:paraId="77F4DBD0" w14:textId="77777777" w:rsidR="003D476A" w:rsidRDefault="003D476A" w:rsidP="00BE4DD9">
      <w:pPr>
        <w:jc w:val="both"/>
        <w:rPr>
          <w:b/>
          <w:u w:val="single"/>
        </w:rPr>
      </w:pPr>
    </w:p>
    <w:p w14:paraId="5F0EEC23" w14:textId="77777777" w:rsidR="00BB0742" w:rsidRDefault="00BB0742" w:rsidP="00BE4DD9">
      <w:pPr>
        <w:jc w:val="both"/>
        <w:rPr>
          <w:b/>
          <w:u w:val="single"/>
        </w:rPr>
      </w:pPr>
    </w:p>
    <w:p w14:paraId="5A85E4F6" w14:textId="77777777" w:rsidR="00BB0742" w:rsidRDefault="00BB0742" w:rsidP="00BE4DD9">
      <w:pPr>
        <w:jc w:val="both"/>
        <w:rPr>
          <w:b/>
          <w:u w:val="single"/>
        </w:rPr>
      </w:pPr>
    </w:p>
    <w:p w14:paraId="5DADA0EF" w14:textId="77777777" w:rsidR="00BB0742" w:rsidRDefault="00BB0742" w:rsidP="00BE4DD9">
      <w:pPr>
        <w:jc w:val="both"/>
        <w:rPr>
          <w:b/>
          <w:u w:val="single"/>
        </w:rPr>
      </w:pPr>
    </w:p>
    <w:p w14:paraId="32888C7A" w14:textId="77777777" w:rsidR="00624759" w:rsidRDefault="00624759" w:rsidP="00624759">
      <w:pPr>
        <w:rPr>
          <w:b/>
          <w:u w:val="single"/>
        </w:rPr>
      </w:pPr>
    </w:p>
    <w:p w14:paraId="0E61E918" w14:textId="77777777" w:rsidR="00DB2FAB" w:rsidRDefault="00DB2FAB" w:rsidP="00624759">
      <w:pPr>
        <w:jc w:val="center"/>
        <w:rPr>
          <w:b/>
          <w:u w:val="single"/>
        </w:rPr>
      </w:pPr>
    </w:p>
    <w:p w14:paraId="5D380041" w14:textId="77777777" w:rsidR="00DB2FAB" w:rsidRDefault="00DB2FAB" w:rsidP="00624759">
      <w:pPr>
        <w:jc w:val="center"/>
        <w:rPr>
          <w:b/>
          <w:u w:val="single"/>
        </w:rPr>
      </w:pPr>
    </w:p>
    <w:p w14:paraId="1B03198F" w14:textId="77777777" w:rsidR="00B779CE" w:rsidRDefault="00B779CE" w:rsidP="00624759">
      <w:pPr>
        <w:jc w:val="center"/>
        <w:rPr>
          <w:b/>
          <w:u w:val="single"/>
        </w:rPr>
      </w:pPr>
    </w:p>
    <w:p w14:paraId="0A030965" w14:textId="6962369D" w:rsidR="005D0F3A" w:rsidRDefault="005D0F3A" w:rsidP="00624759">
      <w:pPr>
        <w:jc w:val="center"/>
        <w:rPr>
          <w:b/>
          <w:u w:val="single"/>
        </w:rPr>
      </w:pPr>
      <w:r>
        <w:rPr>
          <w:b/>
          <w:u w:val="single"/>
        </w:rPr>
        <w:t>Conclusion and outcome</w:t>
      </w:r>
    </w:p>
    <w:p w14:paraId="739CD36F" w14:textId="77777777" w:rsidR="00D4016B" w:rsidRDefault="00D4016B" w:rsidP="00BE4DD9">
      <w:pPr>
        <w:jc w:val="both"/>
      </w:pPr>
    </w:p>
    <w:p w14:paraId="552A39C1" w14:textId="6076FF39" w:rsidR="00D4016B" w:rsidRDefault="001245BA" w:rsidP="00BE4DD9">
      <w:pPr>
        <w:jc w:val="both"/>
      </w:pPr>
      <w:r>
        <w:t>This project has found there to be some inconsistencies and misunderstandings around how a licensing agreement interacts with national legislation. The interviews conducted were informal in nature and further investigation into the experiences of institutions and consortia should include formal accounts to find any occurrences that undermine legislative exemptions in this area. This project agrees that a stakeholder analysis of policy preferences</w:t>
      </w:r>
      <w:r>
        <w:rPr>
          <w:rStyle w:val="FootnoteReference"/>
        </w:rPr>
        <w:footnoteReference w:id="29"/>
      </w:r>
      <w:r>
        <w:t xml:space="preserve"> should be pursued, taking into account the leverage of each stakeholder involved in the process of providing content for academic institutions.</w:t>
      </w:r>
      <w:r w:rsidR="00433581">
        <w:t xml:space="preserve"> </w:t>
      </w:r>
      <w:r w:rsidR="00D4016B">
        <w:t xml:space="preserve">Going forward, it remains unclear which method of access to these published works is the most effective. There may always be the strain of intellectual property rights to while promoting research and teaching at academic institutions. </w:t>
      </w:r>
      <w:r w:rsidR="00F84347">
        <w:t>Experiences of these institutions appear to present an issue in different sizes and budgets of universities. This report presumes that smaller institutions may ultimately lose out because of the quality of the materials that they are able to provide. These agreements reflect commercial transactions whil</w:t>
      </w:r>
      <w:r w:rsidR="00185D53">
        <w:t xml:space="preserve">e containing terms that </w:t>
      </w:r>
      <w:r w:rsidR="00F84347">
        <w:t>stipulate specifically non-commercial usage.</w:t>
      </w:r>
      <w:r w:rsidR="00185D53">
        <w:t xml:space="preserve"> </w:t>
      </w:r>
    </w:p>
    <w:p w14:paraId="399A5328" w14:textId="77777777" w:rsidR="00185D53" w:rsidRDefault="00185D53" w:rsidP="00BE4DD9">
      <w:pPr>
        <w:jc w:val="both"/>
      </w:pPr>
    </w:p>
    <w:p w14:paraId="5B9FFA67" w14:textId="299990B9" w:rsidR="00F730AF" w:rsidRDefault="00F730AF" w:rsidP="00BE4DD9">
      <w:pPr>
        <w:jc w:val="both"/>
      </w:pPr>
      <w:r>
        <w:t>This project has seen the benefits experienced by using a consortium in the negotiation stages of licensing agreements. The concept of collecting societies has also been discussed to help facilitate the exchange of licensing by owners and buyers. A Digital Copyright Exchange</w:t>
      </w:r>
      <w:r>
        <w:rPr>
          <w:rStyle w:val="FootnoteReference"/>
        </w:rPr>
        <w:footnoteReference w:id="30"/>
      </w:r>
      <w:r>
        <w:t xml:space="preserve"> and Extended Collective Licensing</w:t>
      </w:r>
      <w:r>
        <w:rPr>
          <w:rStyle w:val="FootnoteReference"/>
        </w:rPr>
        <w:footnoteReference w:id="31"/>
      </w:r>
      <w:r>
        <w:t xml:space="preserve"> have been discussed in government responses and consultations. Furthermore to collective initiatives, there have been suggestions that a system that is more flexible in structure of limitations and exceptions could be created through European Union’s Information Society Directive.</w:t>
      </w:r>
      <w:r>
        <w:rPr>
          <w:rStyle w:val="FootnoteReference"/>
        </w:rPr>
        <w:footnoteReference w:id="32"/>
      </w:r>
    </w:p>
    <w:p w14:paraId="23563363" w14:textId="77777777" w:rsidR="00F730AF" w:rsidRDefault="00F730AF" w:rsidP="00BE4DD9">
      <w:pPr>
        <w:jc w:val="both"/>
      </w:pPr>
    </w:p>
    <w:p w14:paraId="292AF618" w14:textId="77777777" w:rsidR="00A85706" w:rsidRDefault="00185D53" w:rsidP="00A85706">
      <w:pPr>
        <w:jc w:val="both"/>
      </w:pPr>
      <w:r>
        <w:t>There have been different models proposed to change the landscape of materials made available for educational purposes. The concept of open licensing suggests that material be free and licensing merely improve the availability and equality of materials to the education sector.</w:t>
      </w:r>
      <w:r>
        <w:rPr>
          <w:rStyle w:val="FootnoteReference"/>
        </w:rPr>
        <w:footnoteReference w:id="33"/>
      </w:r>
      <w:r>
        <w:t xml:space="preserve"> The evaluation of such a concept goes beyond the scope of this project, but it should be noted that open licensing </w:t>
      </w:r>
      <w:r w:rsidR="001D50FD">
        <w:t>might</w:t>
      </w:r>
      <w:r>
        <w:t xml:space="preserve"> challenge the current situation where licensing agreements undermine statutory </w:t>
      </w:r>
      <w:r w:rsidR="001D50FD">
        <w:t>provisions that</w:t>
      </w:r>
      <w:r w:rsidR="00C97350">
        <w:t xml:space="preserve"> seek to make available</w:t>
      </w:r>
      <w:r>
        <w:t xml:space="preserve"> materials for the purpose of research and private study.</w:t>
      </w:r>
    </w:p>
    <w:p w14:paraId="23C6470E" w14:textId="77777777" w:rsidR="00724F17" w:rsidRDefault="00724F17" w:rsidP="00A85706">
      <w:pPr>
        <w:jc w:val="center"/>
        <w:rPr>
          <w:b/>
          <w:u w:val="single"/>
        </w:rPr>
      </w:pPr>
    </w:p>
    <w:p w14:paraId="4B0E123C" w14:textId="77777777" w:rsidR="00874D43" w:rsidRDefault="00874D43" w:rsidP="00724F17">
      <w:pPr>
        <w:jc w:val="center"/>
        <w:rPr>
          <w:b/>
          <w:u w:val="single"/>
        </w:rPr>
      </w:pPr>
    </w:p>
    <w:p w14:paraId="4F8347C1" w14:textId="702FBB33" w:rsidR="003C6D52" w:rsidRDefault="003C6D52" w:rsidP="00724F17">
      <w:pPr>
        <w:jc w:val="center"/>
        <w:rPr>
          <w:b/>
          <w:u w:val="single"/>
        </w:rPr>
      </w:pPr>
      <w:r>
        <w:rPr>
          <w:b/>
          <w:u w:val="single"/>
        </w:rPr>
        <w:t>References</w:t>
      </w:r>
    </w:p>
    <w:p w14:paraId="5A13B262" w14:textId="77777777" w:rsidR="001F6D78" w:rsidRPr="00A85706" w:rsidRDefault="001F6D78" w:rsidP="00724F17">
      <w:pPr>
        <w:jc w:val="center"/>
      </w:pPr>
    </w:p>
    <w:p w14:paraId="01755728" w14:textId="7F370BF0" w:rsidR="003C6D52" w:rsidRPr="00312289" w:rsidRDefault="003C6D52" w:rsidP="003C6D52">
      <w:pPr>
        <w:rPr>
          <w:b/>
        </w:rPr>
      </w:pPr>
      <w:r w:rsidRPr="00312289">
        <w:rPr>
          <w:b/>
        </w:rPr>
        <w:t>Legislation</w:t>
      </w:r>
      <w:r w:rsidR="00F542E0">
        <w:rPr>
          <w:b/>
        </w:rPr>
        <w:t xml:space="preserve"> </w:t>
      </w:r>
    </w:p>
    <w:p w14:paraId="0D9D5D7F" w14:textId="77777777" w:rsidR="003C6D52" w:rsidRPr="001F6D78" w:rsidRDefault="003C6D52" w:rsidP="003C6D52">
      <w:pPr>
        <w:rPr>
          <w:sz w:val="4"/>
          <w:szCs w:val="4"/>
          <w:u w:val="single"/>
        </w:rPr>
      </w:pPr>
    </w:p>
    <w:p w14:paraId="69187AF2" w14:textId="04710950" w:rsidR="003C6D52" w:rsidRPr="00624759" w:rsidRDefault="003C6D52" w:rsidP="003C6D52">
      <w:pPr>
        <w:rPr>
          <w:u w:val="single"/>
        </w:rPr>
      </w:pPr>
      <w:r w:rsidRPr="00624759">
        <w:rPr>
          <w:u w:val="single"/>
        </w:rPr>
        <w:t>England &amp; Wales</w:t>
      </w:r>
    </w:p>
    <w:p w14:paraId="6B3188E4" w14:textId="77777777" w:rsidR="003C6D52" w:rsidRDefault="003C6D52" w:rsidP="003C6D52">
      <w:r>
        <w:t>Copyright, Designs and Patents Act 1988</w:t>
      </w:r>
    </w:p>
    <w:p w14:paraId="665D756F" w14:textId="77777777" w:rsidR="003C6D52" w:rsidRDefault="003C6D52" w:rsidP="003C6D52"/>
    <w:p w14:paraId="2A6EFEAA" w14:textId="77777777" w:rsidR="003C6D52" w:rsidRPr="00624759" w:rsidRDefault="003C6D52" w:rsidP="003C6D52">
      <w:pPr>
        <w:rPr>
          <w:u w:val="single"/>
        </w:rPr>
      </w:pPr>
      <w:r w:rsidRPr="00624759">
        <w:rPr>
          <w:u w:val="single"/>
        </w:rPr>
        <w:t>Canada</w:t>
      </w:r>
    </w:p>
    <w:p w14:paraId="7F2C8357" w14:textId="77777777" w:rsidR="003C6D52" w:rsidRDefault="003C6D52" w:rsidP="003C6D52">
      <w:r>
        <w:t>Copyright Act, RSC 1985, c. C-42</w:t>
      </w:r>
    </w:p>
    <w:p w14:paraId="46B83B3E" w14:textId="77777777" w:rsidR="00624759" w:rsidRDefault="00624759" w:rsidP="003C6D52"/>
    <w:p w14:paraId="43B5418D" w14:textId="77777777" w:rsidR="003C6D52" w:rsidRDefault="003C6D52" w:rsidP="003C6D52">
      <w:r>
        <w:t xml:space="preserve">Copyright Modernization Act, SC 2012, c. 20 </w:t>
      </w:r>
    </w:p>
    <w:p w14:paraId="7F045D9F" w14:textId="77777777" w:rsidR="00936C98" w:rsidRDefault="00936C98" w:rsidP="003C6D52"/>
    <w:p w14:paraId="7AD6D0E7" w14:textId="77777777" w:rsidR="003C6D52" w:rsidRPr="00624759" w:rsidRDefault="003C6D52" w:rsidP="003C6D52">
      <w:pPr>
        <w:rPr>
          <w:u w:val="single"/>
        </w:rPr>
      </w:pPr>
      <w:r w:rsidRPr="00624759">
        <w:rPr>
          <w:u w:val="single"/>
        </w:rPr>
        <w:t>United States of America</w:t>
      </w:r>
    </w:p>
    <w:p w14:paraId="1E1934A4" w14:textId="77777777" w:rsidR="003C6D52" w:rsidRDefault="003C6D52" w:rsidP="003C6D52">
      <w:r>
        <w:t>Copyright Act of 1976, Pub L No. 94-533, 90 Stat 2541</w:t>
      </w:r>
    </w:p>
    <w:p w14:paraId="7DD1E84D" w14:textId="77777777" w:rsidR="0095668A" w:rsidRDefault="0095668A" w:rsidP="003C6D52"/>
    <w:p w14:paraId="78C9C463" w14:textId="6F7FF1E3" w:rsidR="0095668A" w:rsidRDefault="0095668A" w:rsidP="003C6D52">
      <w:pPr>
        <w:rPr>
          <w:b/>
        </w:rPr>
      </w:pPr>
      <w:r>
        <w:rPr>
          <w:b/>
        </w:rPr>
        <w:t>Directives</w:t>
      </w:r>
    </w:p>
    <w:p w14:paraId="32C3CE82" w14:textId="77777777" w:rsidR="0095668A" w:rsidRPr="001F6D78" w:rsidRDefault="0095668A" w:rsidP="003C6D52">
      <w:pPr>
        <w:rPr>
          <w:b/>
          <w:sz w:val="4"/>
          <w:szCs w:val="4"/>
        </w:rPr>
      </w:pPr>
    </w:p>
    <w:p w14:paraId="5B176CB2" w14:textId="77777777" w:rsidR="0095668A" w:rsidRPr="00624759" w:rsidRDefault="0095668A" w:rsidP="0095668A">
      <w:pPr>
        <w:rPr>
          <w:u w:val="single"/>
        </w:rPr>
      </w:pPr>
      <w:r w:rsidRPr="00624759">
        <w:rPr>
          <w:u w:val="single"/>
        </w:rPr>
        <w:t>European Union</w:t>
      </w:r>
    </w:p>
    <w:p w14:paraId="1CD60F58" w14:textId="3EB86FE9" w:rsidR="0095668A" w:rsidRPr="0095668A" w:rsidRDefault="0095668A" w:rsidP="003C6D52">
      <w:r>
        <w:t>Council Directive (EC) 2001/29 on the harmonisation of certain aspects of copyright and related rights in the information society [2001] OJ L167/10 (Copyright Directive)</w:t>
      </w:r>
    </w:p>
    <w:p w14:paraId="480541D5" w14:textId="77777777" w:rsidR="003C6D52" w:rsidRDefault="003C6D52" w:rsidP="003C6D52"/>
    <w:p w14:paraId="0CBB6272" w14:textId="16B710EC" w:rsidR="003C6D52" w:rsidRPr="00312289" w:rsidRDefault="003C6D52" w:rsidP="003C6D52">
      <w:pPr>
        <w:rPr>
          <w:b/>
        </w:rPr>
      </w:pPr>
      <w:r>
        <w:rPr>
          <w:b/>
        </w:rPr>
        <w:t>Cases</w:t>
      </w:r>
    </w:p>
    <w:p w14:paraId="0BBC6FA2" w14:textId="77777777" w:rsidR="003C6D52" w:rsidRPr="001F6D78" w:rsidRDefault="003C6D52" w:rsidP="003C6D52">
      <w:pPr>
        <w:rPr>
          <w:sz w:val="4"/>
          <w:szCs w:val="4"/>
        </w:rPr>
      </w:pPr>
    </w:p>
    <w:p w14:paraId="57134083" w14:textId="45F87D20" w:rsidR="003C6D52" w:rsidRPr="00624759" w:rsidRDefault="003C6D52" w:rsidP="009E3E1B">
      <w:pPr>
        <w:jc w:val="both"/>
        <w:rPr>
          <w:u w:val="single"/>
        </w:rPr>
      </w:pPr>
      <w:r w:rsidRPr="00624759">
        <w:rPr>
          <w:u w:val="single"/>
        </w:rPr>
        <w:t>England &amp; Wales</w:t>
      </w:r>
    </w:p>
    <w:p w14:paraId="189ED74E" w14:textId="77777777" w:rsidR="003C6D52" w:rsidRDefault="003C6D52" w:rsidP="009E3E1B">
      <w:pPr>
        <w:jc w:val="both"/>
      </w:pPr>
      <w:r w:rsidRPr="003C6D52">
        <w:rPr>
          <w:i/>
        </w:rPr>
        <w:t>Universities UK v Copyright Licensing Agency</w:t>
      </w:r>
      <w:r>
        <w:t xml:space="preserve"> [2002] EMLR 3</w:t>
      </w:r>
    </w:p>
    <w:p w14:paraId="20B68C87" w14:textId="77777777" w:rsidR="003C6D52" w:rsidRDefault="003C6D52" w:rsidP="009E3E1B">
      <w:pPr>
        <w:jc w:val="both"/>
      </w:pPr>
    </w:p>
    <w:p w14:paraId="6BBA6FDB" w14:textId="77777777" w:rsidR="003C6D52" w:rsidRPr="00624759" w:rsidRDefault="003C6D52" w:rsidP="009E3E1B">
      <w:pPr>
        <w:jc w:val="both"/>
        <w:rPr>
          <w:u w:val="single"/>
        </w:rPr>
      </w:pPr>
      <w:r w:rsidRPr="00624759">
        <w:rPr>
          <w:u w:val="single"/>
        </w:rPr>
        <w:t>Australia</w:t>
      </w:r>
    </w:p>
    <w:p w14:paraId="732C576F" w14:textId="51D5C269" w:rsidR="003C6D52" w:rsidRDefault="003C6D52" w:rsidP="009E3E1B">
      <w:pPr>
        <w:jc w:val="both"/>
      </w:pPr>
      <w:r w:rsidRPr="00EB344F">
        <w:rPr>
          <w:i/>
        </w:rPr>
        <w:t>University of New South Wales v Moorhouse &amp; Anor</w:t>
      </w:r>
      <w:r>
        <w:t xml:space="preserve"> [1976] RPC 151 (High Court) </w:t>
      </w:r>
    </w:p>
    <w:p w14:paraId="07232E78" w14:textId="77777777" w:rsidR="003C6D52" w:rsidRDefault="003C6D52" w:rsidP="009E3E1B">
      <w:pPr>
        <w:jc w:val="both"/>
      </w:pPr>
    </w:p>
    <w:p w14:paraId="1639CB92" w14:textId="77777777" w:rsidR="003C6D52" w:rsidRPr="00624759" w:rsidRDefault="003C6D52" w:rsidP="009E3E1B">
      <w:pPr>
        <w:jc w:val="both"/>
        <w:rPr>
          <w:u w:val="single"/>
        </w:rPr>
      </w:pPr>
      <w:r w:rsidRPr="00624759">
        <w:rPr>
          <w:u w:val="single"/>
        </w:rPr>
        <w:t>Canada</w:t>
      </w:r>
    </w:p>
    <w:p w14:paraId="24C58D4C" w14:textId="77777777" w:rsidR="00624759" w:rsidRDefault="003C6D52" w:rsidP="009E3E1B">
      <w:pPr>
        <w:ind w:left="567" w:hanging="567"/>
        <w:jc w:val="both"/>
      </w:pPr>
      <w:r w:rsidRPr="009E3E1B">
        <w:rPr>
          <w:i/>
        </w:rPr>
        <w:t>CCH Canadian Ltd v Law Society of Upper Canada</w:t>
      </w:r>
      <w:r w:rsidR="009E3E1B">
        <w:t xml:space="preserve"> [2004] 1 SCR 13</w:t>
      </w:r>
    </w:p>
    <w:p w14:paraId="4243602E" w14:textId="49CA52EF" w:rsidR="003C6D52" w:rsidRPr="00300EF4" w:rsidRDefault="009E3E1B" w:rsidP="009E3E1B">
      <w:pPr>
        <w:ind w:left="567" w:hanging="567"/>
        <w:jc w:val="both"/>
      </w:pPr>
      <w:r>
        <w:t xml:space="preserve"> </w:t>
      </w:r>
    </w:p>
    <w:p w14:paraId="41517B09" w14:textId="1D862EF7" w:rsidR="003C6D52" w:rsidRDefault="003C6D52" w:rsidP="009E3E1B">
      <w:pPr>
        <w:jc w:val="both"/>
      </w:pPr>
      <w:r w:rsidRPr="009E3E1B">
        <w:rPr>
          <w:i/>
        </w:rPr>
        <w:t>Alberta (Education) v Canadian Copyright Licensing Agency (Access Copyright)</w:t>
      </w:r>
      <w:r w:rsidR="009E3E1B">
        <w:t xml:space="preserve"> [2012] 2 SCR 345 </w:t>
      </w:r>
    </w:p>
    <w:p w14:paraId="2C884A3E" w14:textId="77777777" w:rsidR="003C6D52" w:rsidRDefault="003C6D52" w:rsidP="009E3E1B">
      <w:pPr>
        <w:ind w:left="567" w:hanging="567"/>
      </w:pPr>
    </w:p>
    <w:p w14:paraId="0394EB3E" w14:textId="77777777" w:rsidR="003C6D52" w:rsidRPr="00312289" w:rsidRDefault="003C6D52" w:rsidP="003C6D52">
      <w:pPr>
        <w:rPr>
          <w:b/>
        </w:rPr>
      </w:pPr>
      <w:r w:rsidRPr="00312289">
        <w:rPr>
          <w:b/>
        </w:rPr>
        <w:t>Secondary Sources</w:t>
      </w:r>
    </w:p>
    <w:p w14:paraId="03115E47" w14:textId="77777777" w:rsidR="003C6D52" w:rsidRPr="001F6D78" w:rsidRDefault="003C6D52" w:rsidP="003C6D52">
      <w:pPr>
        <w:rPr>
          <w:sz w:val="4"/>
          <w:szCs w:val="4"/>
        </w:rPr>
      </w:pPr>
    </w:p>
    <w:p w14:paraId="0B5B1090" w14:textId="77777777" w:rsidR="0085342E" w:rsidRDefault="0085342E" w:rsidP="009E3E1B">
      <w:pPr>
        <w:ind w:left="567" w:hanging="567"/>
        <w:jc w:val="both"/>
      </w:pPr>
      <w:r>
        <w:t>Abid A, ‘UNESCO Public Library Manifesto’ (</w:t>
      </w:r>
      <w:r w:rsidRPr="00F52624">
        <w:rPr>
          <w:i/>
        </w:rPr>
        <w:t>UNESCO</w:t>
      </w:r>
      <w:r>
        <w:t xml:space="preserve"> </w:t>
      </w:r>
      <w:r w:rsidRPr="00F52624">
        <w:t>1994</w:t>
      </w:r>
      <w:r>
        <w:t>) &lt;</w:t>
      </w:r>
      <w:r w:rsidRPr="00DA7E8A">
        <w:t>www.unesco.org/webworld/libraries/manifestos/libraman.html</w:t>
      </w:r>
      <w:r>
        <w:t>&gt; accessed 13 October 2015</w:t>
      </w:r>
    </w:p>
    <w:p w14:paraId="3B81EE80" w14:textId="77777777" w:rsidR="00624759" w:rsidRDefault="00624759" w:rsidP="009E3E1B">
      <w:pPr>
        <w:ind w:left="567" w:hanging="567"/>
        <w:jc w:val="both"/>
      </w:pPr>
    </w:p>
    <w:p w14:paraId="3F971B4F" w14:textId="77777777" w:rsidR="0085342E" w:rsidRDefault="0085342E" w:rsidP="009E3E1B">
      <w:pPr>
        <w:ind w:left="567" w:hanging="567"/>
        <w:jc w:val="both"/>
      </w:pPr>
      <w:r>
        <w:t>ALA Council, ‘</w:t>
      </w:r>
      <w:r w:rsidRPr="00D76FBF">
        <w:t>Library Bill of Rights</w:t>
      </w:r>
      <w:r>
        <w:t>’</w:t>
      </w:r>
      <w:r w:rsidRPr="00D76FBF">
        <w:t xml:space="preserve"> (</w:t>
      </w:r>
      <w:r w:rsidRPr="003C6D52">
        <w:t xml:space="preserve">American Library Association, </w:t>
      </w:r>
      <w:r w:rsidRPr="00D76FBF">
        <w:t>1939) &lt;www.ala.org/adv</w:t>
      </w:r>
      <w:r>
        <w:t>ocacy/intfreedom/librarybill&gt; accessed 11 October 2015</w:t>
      </w:r>
    </w:p>
    <w:p w14:paraId="02A77799" w14:textId="77777777" w:rsidR="00624759" w:rsidRDefault="00624759" w:rsidP="009E3E1B">
      <w:pPr>
        <w:ind w:left="567" w:hanging="567"/>
        <w:jc w:val="both"/>
      </w:pPr>
    </w:p>
    <w:p w14:paraId="04C8C0CC" w14:textId="1CE863A2" w:rsidR="0085342E" w:rsidRDefault="0085342E" w:rsidP="0085342E">
      <w:pPr>
        <w:ind w:left="567" w:hanging="567"/>
        <w:jc w:val="both"/>
      </w:pPr>
      <w:r>
        <w:t>de Beer J, ‘Transatlantic copyright comparisons: making available via hyperlinks in the European Union and Canada’ [2014] 32:2 EIPR 95-105</w:t>
      </w:r>
    </w:p>
    <w:p w14:paraId="6DA3ECEA" w14:textId="77777777" w:rsidR="00624759" w:rsidRDefault="00624759" w:rsidP="0085342E">
      <w:pPr>
        <w:ind w:left="567" w:hanging="567"/>
        <w:jc w:val="both"/>
      </w:pPr>
    </w:p>
    <w:p w14:paraId="22FF8BFA" w14:textId="77777777" w:rsidR="0085342E" w:rsidRDefault="0085342E" w:rsidP="009E3E1B">
      <w:pPr>
        <w:ind w:left="567" w:hanging="567"/>
        <w:jc w:val="both"/>
      </w:pPr>
      <w:r>
        <w:t>Bernt Hugenholtz P and Senftleben MRF, ‘Fair use in Europe. In search of flexibilities’ (Institute for Information Law, University of Amsterdam 2011) &lt;</w:t>
      </w:r>
      <w:r w:rsidRPr="00D43BD5">
        <w:t>www.ivir.nl/publicaties/download/912</w:t>
      </w:r>
      <w:r>
        <w:t>&gt; accessed 5 September 2015</w:t>
      </w:r>
    </w:p>
    <w:p w14:paraId="44C4C006" w14:textId="77777777" w:rsidR="00624759" w:rsidRDefault="00624759" w:rsidP="009E3E1B">
      <w:pPr>
        <w:ind w:left="567" w:hanging="567"/>
        <w:jc w:val="both"/>
      </w:pPr>
    </w:p>
    <w:p w14:paraId="40A9CD56" w14:textId="77777777" w:rsidR="0085342E" w:rsidRDefault="0085342E" w:rsidP="009E3E1B">
      <w:pPr>
        <w:ind w:left="567" w:hanging="567"/>
        <w:jc w:val="both"/>
      </w:pPr>
      <w:r>
        <w:t>Bissell AN, ‘Permission granted: open licensing for educational resources’ [2009] 24:1 Open Learning 97-106</w:t>
      </w:r>
    </w:p>
    <w:p w14:paraId="4B07900E" w14:textId="77777777" w:rsidR="00624759" w:rsidRDefault="00624759" w:rsidP="009E3E1B">
      <w:pPr>
        <w:ind w:left="567" w:hanging="567"/>
        <w:jc w:val="both"/>
      </w:pPr>
    </w:p>
    <w:p w14:paraId="4D373C13" w14:textId="77777777" w:rsidR="0085342E" w:rsidRDefault="0085342E" w:rsidP="009E3E1B">
      <w:pPr>
        <w:ind w:left="567" w:hanging="567"/>
        <w:jc w:val="both"/>
      </w:pPr>
      <w:r>
        <w:t>Canadian Research Knowledge Network, ‘Mission, Vision and Values’ (</w:t>
      </w:r>
      <w:r w:rsidRPr="003C6D52">
        <w:t>About CRKN</w:t>
      </w:r>
      <w:r>
        <w:t xml:space="preserve"> 2013) &lt;</w:t>
      </w:r>
      <w:r w:rsidRPr="00A31350">
        <w:t>http://crkn.ca/about/mission-values</w:t>
      </w:r>
      <w:r>
        <w:t xml:space="preserve">&gt; accessed 29 August 2015 </w:t>
      </w:r>
    </w:p>
    <w:p w14:paraId="7C2E35CF" w14:textId="77777777" w:rsidR="00624759" w:rsidRDefault="00624759" w:rsidP="009E3E1B">
      <w:pPr>
        <w:ind w:left="567" w:hanging="567"/>
        <w:jc w:val="both"/>
      </w:pPr>
    </w:p>
    <w:p w14:paraId="5B088AF4" w14:textId="77777777" w:rsidR="0085342E" w:rsidRDefault="0085342E" w:rsidP="009E3E1B">
      <w:pPr>
        <w:ind w:left="567" w:hanging="567"/>
        <w:jc w:val="both"/>
      </w:pPr>
      <w:r>
        <w:t>Canadian Research Knowledge Network, ‘Model License Agreement’ (</w:t>
      </w:r>
      <w:r w:rsidRPr="003C6D52">
        <w:t>CRKN Programs</w:t>
      </w:r>
      <w:r>
        <w:t xml:space="preserve"> 2013) &lt;</w:t>
      </w:r>
      <w:r w:rsidRPr="0051646E">
        <w:t xml:space="preserve"> http://crkn.ca/sites/crkn.ca/files/site/crkn-model_license_final_2014-04-07.pdf</w:t>
      </w:r>
      <w:r>
        <w:t xml:space="preserve">&gt; accessed 29 August 2015 </w:t>
      </w:r>
    </w:p>
    <w:p w14:paraId="13D34668" w14:textId="77777777" w:rsidR="00624759" w:rsidRPr="0051646E" w:rsidRDefault="00624759" w:rsidP="009E3E1B">
      <w:pPr>
        <w:ind w:left="567" w:hanging="567"/>
        <w:jc w:val="both"/>
      </w:pPr>
    </w:p>
    <w:p w14:paraId="11A9C23C" w14:textId="77777777" w:rsidR="0085342E" w:rsidRDefault="0085342E" w:rsidP="009E3E1B">
      <w:pPr>
        <w:ind w:left="567" w:hanging="567"/>
        <w:jc w:val="both"/>
      </w:pPr>
      <w:r>
        <w:t>Finch J, ‘Accessibility, sustainability, excellence: how to expand access to research publications’ (Working Group on Expanding Access to Published Research Findings, 2012) &lt;www.researchinfonet.org/wp-content/uploads/2012/06/Finch-Group-report-FINAL-VERSION.pdf&gt; accessed 10 October 2015</w:t>
      </w:r>
    </w:p>
    <w:p w14:paraId="2B40AF2B" w14:textId="77777777" w:rsidR="00624759" w:rsidRDefault="00624759" w:rsidP="009E3E1B">
      <w:pPr>
        <w:ind w:left="567" w:hanging="567"/>
        <w:jc w:val="both"/>
      </w:pPr>
    </w:p>
    <w:p w14:paraId="388D365D" w14:textId="77777777" w:rsidR="0085342E" w:rsidRDefault="0085342E" w:rsidP="009E3E1B">
      <w:pPr>
        <w:ind w:left="567" w:hanging="567"/>
        <w:jc w:val="both"/>
      </w:pPr>
      <w:r>
        <w:t>Fischman Afori O,‘The battle over public e-libraries – taking stock and moving ahead’ [2013] 44:4 IIC 392-417</w:t>
      </w:r>
    </w:p>
    <w:p w14:paraId="6B8CBE9D" w14:textId="77777777" w:rsidR="00624759" w:rsidRDefault="00624759" w:rsidP="009E3E1B">
      <w:pPr>
        <w:ind w:left="567" w:hanging="567"/>
        <w:jc w:val="both"/>
      </w:pPr>
    </w:p>
    <w:p w14:paraId="1C6B5AF7" w14:textId="77777777" w:rsidR="0085342E" w:rsidRDefault="0085342E" w:rsidP="009E3E1B">
      <w:pPr>
        <w:ind w:left="567" w:hanging="567"/>
        <w:jc w:val="both"/>
      </w:pPr>
      <w:r>
        <w:t>Geiger C, ‘The future of copyright in Europe: striking a fair balance between protection and access to information’ [2010] 1 IPQ 1-14</w:t>
      </w:r>
    </w:p>
    <w:p w14:paraId="11797D81" w14:textId="77777777" w:rsidR="00624759" w:rsidRDefault="00624759" w:rsidP="009E3E1B">
      <w:pPr>
        <w:ind w:left="567" w:hanging="567"/>
        <w:jc w:val="both"/>
      </w:pPr>
    </w:p>
    <w:p w14:paraId="5D8D6CA7" w14:textId="77777777" w:rsidR="0085342E" w:rsidRDefault="0085342E" w:rsidP="009E3E1B">
      <w:pPr>
        <w:ind w:left="567" w:hanging="567"/>
        <w:jc w:val="both"/>
      </w:pPr>
      <w:r>
        <w:t>Hargreaves I, ‘Digital Opportunity, A Review of Intellectual Property and Growth’ (</w:t>
      </w:r>
      <w:r w:rsidRPr="003C6D52">
        <w:t>Intellectual Property Office</w:t>
      </w:r>
      <w:r>
        <w:t xml:space="preserve"> 2011) &lt;http://</w:t>
      </w:r>
      <w:r w:rsidRPr="00671A4C">
        <w:t>webarchive.nationalarchives.gov.uk/20140603093549/http://www.ipo.gov.uk/ipreview-finalreport.pdf</w:t>
      </w:r>
      <w:r>
        <w:t>&gt; accessed 11 October 2015</w:t>
      </w:r>
    </w:p>
    <w:p w14:paraId="7CD08A10" w14:textId="77777777" w:rsidR="00624759" w:rsidRDefault="00624759" w:rsidP="009E3E1B">
      <w:pPr>
        <w:ind w:left="567" w:hanging="567"/>
        <w:jc w:val="both"/>
      </w:pPr>
    </w:p>
    <w:p w14:paraId="158E21FB" w14:textId="77777777" w:rsidR="0085342E" w:rsidRDefault="0085342E" w:rsidP="009E3E1B">
      <w:pPr>
        <w:ind w:left="567" w:hanging="567"/>
        <w:jc w:val="both"/>
      </w:pPr>
      <w:r w:rsidRPr="009653AF">
        <w:t>Inte</w:t>
      </w:r>
      <w:r>
        <w:t xml:space="preserve">llectual Property Office, </w:t>
      </w:r>
      <w:r w:rsidRPr="003C6D52">
        <w:t>Consultation on Copyright</w:t>
      </w:r>
      <w:r w:rsidRPr="009653AF">
        <w:t xml:space="preserve"> </w:t>
      </w:r>
      <w:r>
        <w:t xml:space="preserve">(2011) </w:t>
      </w:r>
      <w:r w:rsidRPr="009653AF">
        <w:t>&lt;webarchive.nationalarchives.gov.uk/20140603093549/http://www.ipo.gov.uk</w:t>
      </w:r>
      <w:r>
        <w:t>/consult-2011-copyright.pdf&gt; accessed 10 October 2015</w:t>
      </w:r>
    </w:p>
    <w:p w14:paraId="674D7D99" w14:textId="77777777" w:rsidR="00624759" w:rsidRDefault="00624759" w:rsidP="009E3E1B">
      <w:pPr>
        <w:ind w:left="567" w:hanging="567"/>
        <w:jc w:val="both"/>
      </w:pPr>
    </w:p>
    <w:p w14:paraId="08BA4F76" w14:textId="77777777" w:rsidR="0085342E" w:rsidRDefault="0085342E" w:rsidP="009E3E1B">
      <w:pPr>
        <w:ind w:left="567" w:hanging="567"/>
        <w:jc w:val="both"/>
      </w:pPr>
      <w:r>
        <w:t xml:space="preserve">Intellectual Property Office, </w:t>
      </w:r>
      <w:r w:rsidRPr="003C6D52">
        <w:t>Government Policy Statement: consultation on modernising copyright</w:t>
      </w:r>
      <w:r>
        <w:t xml:space="preserve"> (DPS/C450, 2012) &lt;</w:t>
      </w:r>
      <w:r w:rsidRPr="000003A4">
        <w:t>www.gov.uk/government/uploads/system/uploads/attachment_data/file/320227/copyright-consultation-government-policy-statement.pdf</w:t>
      </w:r>
      <w:r>
        <w:t xml:space="preserve">&gt; accessed 10 October 2015 </w:t>
      </w:r>
    </w:p>
    <w:p w14:paraId="22D8451A" w14:textId="77777777" w:rsidR="00624759" w:rsidRDefault="00624759" w:rsidP="009E3E1B">
      <w:pPr>
        <w:ind w:left="567" w:hanging="567"/>
        <w:jc w:val="both"/>
      </w:pPr>
    </w:p>
    <w:p w14:paraId="6E871AF6" w14:textId="77777777" w:rsidR="0085342E" w:rsidRDefault="0085342E" w:rsidP="009E3E1B">
      <w:pPr>
        <w:ind w:left="567" w:hanging="567"/>
        <w:jc w:val="both"/>
      </w:pPr>
      <w:r>
        <w:t xml:space="preserve">Intellectual Property Office, </w:t>
      </w:r>
      <w:r w:rsidRPr="003C6D52">
        <w:t>Government Response to the Hargreaves Review of Intellectual Property and Growth</w:t>
      </w:r>
      <w:r>
        <w:t xml:space="preserve"> (Cm 1199, </w:t>
      </w:r>
      <w:r w:rsidRPr="00E33031">
        <w:t xml:space="preserve">2011) </w:t>
      </w:r>
    </w:p>
    <w:p w14:paraId="5DDFCD36" w14:textId="77777777" w:rsidR="00624759" w:rsidRDefault="00624759" w:rsidP="009E3E1B">
      <w:pPr>
        <w:ind w:left="567" w:hanging="567"/>
        <w:jc w:val="both"/>
      </w:pPr>
    </w:p>
    <w:p w14:paraId="502238F1" w14:textId="77777777" w:rsidR="0085342E" w:rsidRDefault="0085342E" w:rsidP="009E3E1B">
      <w:pPr>
        <w:ind w:left="567" w:hanging="567"/>
        <w:jc w:val="both"/>
      </w:pPr>
      <w:r>
        <w:t>Kretschmer M, Derclaye E, Favale M and Watt R, ‘The Relationship Between Copyright and Contract Law’ (Strategic Advisory Board for Intellectual Property Policy 2010) &lt;http://</w:t>
      </w:r>
      <w:r w:rsidRPr="009C071A">
        <w:t>eprints.bournemouth.ac.uk/16091/1/_contractlaw-report.pdf</w:t>
      </w:r>
      <w:r>
        <w:t>&gt; accessed 28 August 2015</w:t>
      </w:r>
    </w:p>
    <w:p w14:paraId="6DD0777E" w14:textId="77777777" w:rsidR="00624759" w:rsidRDefault="00624759" w:rsidP="009E3E1B">
      <w:pPr>
        <w:ind w:left="567" w:hanging="567"/>
        <w:jc w:val="both"/>
      </w:pPr>
    </w:p>
    <w:p w14:paraId="4BEF4CD8" w14:textId="77777777" w:rsidR="0085342E" w:rsidRDefault="0085342E" w:rsidP="009E3E1B">
      <w:pPr>
        <w:ind w:left="567" w:hanging="567"/>
        <w:jc w:val="both"/>
      </w:pPr>
      <w:r>
        <w:t>Laing AC, ‘Copyright in the age of mass digitisation’ [2006] 17:5 Ent LR 133-138</w:t>
      </w:r>
    </w:p>
    <w:p w14:paraId="718505AC" w14:textId="77777777" w:rsidR="00624759" w:rsidRDefault="00624759" w:rsidP="009E3E1B">
      <w:pPr>
        <w:ind w:left="567" w:hanging="567"/>
        <w:jc w:val="both"/>
      </w:pPr>
    </w:p>
    <w:p w14:paraId="3663C566" w14:textId="77777777" w:rsidR="0085342E" w:rsidRDefault="0085342E" w:rsidP="009E3E1B">
      <w:pPr>
        <w:ind w:left="567" w:hanging="567"/>
        <w:jc w:val="both"/>
      </w:pPr>
      <w:r>
        <w:t>Shelly M and Jackson M, ‘Copyright and contracts: the use of electronic resources provided by university libraries’ [2012] 12:2 LIM 124-136</w:t>
      </w:r>
    </w:p>
    <w:p w14:paraId="17377CB7" w14:textId="77777777" w:rsidR="00624759" w:rsidRDefault="00624759" w:rsidP="009E3E1B">
      <w:pPr>
        <w:ind w:left="567" w:hanging="567"/>
        <w:jc w:val="both"/>
      </w:pPr>
    </w:p>
    <w:p w14:paraId="2C98A61C" w14:textId="77777777" w:rsidR="0085342E" w:rsidRPr="00D850FE" w:rsidRDefault="0085342E" w:rsidP="009E3E1B">
      <w:pPr>
        <w:ind w:left="567" w:hanging="567"/>
        <w:jc w:val="both"/>
      </w:pPr>
      <w:r>
        <w:t>Suthersanen U, ‘Copyright and Educational Policies: A Stakeholder Analysis’ [2003] 23:4 OJLS 585-609</w:t>
      </w:r>
    </w:p>
    <w:p w14:paraId="3C276CBC" w14:textId="77777777" w:rsidR="003C6D52" w:rsidRPr="003705B5" w:rsidRDefault="003C6D52" w:rsidP="009E3E1B">
      <w:pPr>
        <w:ind w:left="567" w:hanging="567"/>
        <w:jc w:val="both"/>
      </w:pPr>
    </w:p>
    <w:sectPr w:rsidR="003C6D52" w:rsidRPr="003705B5" w:rsidSect="00A85706">
      <w:footerReference w:type="even" r:id="rId8"/>
      <w:footerReference w:type="default" r:id="rId9"/>
      <w:pgSz w:w="11900" w:h="1682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DC40B3" w14:textId="77777777" w:rsidR="00624759" w:rsidRDefault="00624759" w:rsidP="007816D2">
      <w:r>
        <w:separator/>
      </w:r>
    </w:p>
  </w:endnote>
  <w:endnote w:type="continuationSeparator" w:id="0">
    <w:p w14:paraId="6F9E5EA5" w14:textId="77777777" w:rsidR="00624759" w:rsidRDefault="00624759" w:rsidP="007816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lbertus Medium">
    <w:altName w:val="Candara"/>
    <w:charset w:val="00"/>
    <w:family w:val="swiss"/>
    <w:pitch w:val="variable"/>
    <w:sig w:usb0="00000001" w:usb1="00000000" w:usb2="00000000" w:usb3="00000000" w:csb0="00000093"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354FE2" w14:textId="77777777" w:rsidR="00624759" w:rsidRDefault="00624759" w:rsidP="00F542E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C4F7B2E" w14:textId="77777777" w:rsidR="00624759" w:rsidRDefault="0062475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F9856D" w14:textId="77777777" w:rsidR="00624759" w:rsidRDefault="00624759" w:rsidP="00F542E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04832">
      <w:rPr>
        <w:rStyle w:val="PageNumber"/>
        <w:noProof/>
      </w:rPr>
      <w:t>11</w:t>
    </w:r>
    <w:r>
      <w:rPr>
        <w:rStyle w:val="PageNumber"/>
      </w:rPr>
      <w:fldChar w:fldCharType="end"/>
    </w:r>
  </w:p>
  <w:p w14:paraId="59EFDCE1" w14:textId="77777777" w:rsidR="00624759" w:rsidRDefault="0062475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19F108" w14:textId="77777777" w:rsidR="00624759" w:rsidRDefault="00624759" w:rsidP="007816D2">
      <w:r>
        <w:separator/>
      </w:r>
    </w:p>
  </w:footnote>
  <w:footnote w:type="continuationSeparator" w:id="0">
    <w:p w14:paraId="2E9BA682" w14:textId="77777777" w:rsidR="00624759" w:rsidRDefault="00624759" w:rsidP="007816D2">
      <w:r>
        <w:continuationSeparator/>
      </w:r>
    </w:p>
  </w:footnote>
  <w:footnote w:id="1">
    <w:p w14:paraId="2B4C5EBA" w14:textId="3ADFCAED" w:rsidR="00624759" w:rsidRPr="00624759" w:rsidRDefault="00624759" w:rsidP="008B1C7F">
      <w:pPr>
        <w:jc w:val="both"/>
        <w:rPr>
          <w:sz w:val="22"/>
          <w:szCs w:val="22"/>
        </w:rPr>
      </w:pPr>
      <w:r w:rsidRPr="00624759">
        <w:rPr>
          <w:rStyle w:val="FootnoteReference"/>
          <w:sz w:val="22"/>
          <w:szCs w:val="22"/>
        </w:rPr>
        <w:footnoteRef/>
      </w:r>
      <w:r w:rsidRPr="00624759">
        <w:rPr>
          <w:sz w:val="22"/>
          <w:szCs w:val="22"/>
        </w:rPr>
        <w:t xml:space="preserve"> Abdelaziz Abid, ‘UNESCO Public Library Manifesto’ (</w:t>
      </w:r>
      <w:r w:rsidRPr="00624759">
        <w:rPr>
          <w:i/>
          <w:sz w:val="22"/>
          <w:szCs w:val="22"/>
        </w:rPr>
        <w:t>UNESCO</w:t>
      </w:r>
      <w:r w:rsidRPr="00624759">
        <w:rPr>
          <w:sz w:val="22"/>
          <w:szCs w:val="22"/>
        </w:rPr>
        <w:t>, 1994) &lt;www.unesco.org/webworld/libraries/manifestos/libraman.html&gt; accessed 13 October 2015.</w:t>
      </w:r>
    </w:p>
  </w:footnote>
  <w:footnote w:id="2">
    <w:p w14:paraId="0B11A5E3" w14:textId="3678CAE1" w:rsidR="00624759" w:rsidRPr="00624759" w:rsidRDefault="00624759" w:rsidP="008B1C7F">
      <w:pPr>
        <w:pStyle w:val="FootnoteText"/>
        <w:jc w:val="both"/>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 xml:space="preserve">Copyright Law Review Committee, </w:t>
      </w:r>
      <w:r w:rsidRPr="00624759">
        <w:rPr>
          <w:i/>
          <w:sz w:val="22"/>
          <w:szCs w:val="22"/>
          <w:lang w:val="en-US"/>
        </w:rPr>
        <w:t>Copyright and Contract</w:t>
      </w:r>
      <w:r w:rsidRPr="00624759">
        <w:rPr>
          <w:sz w:val="22"/>
          <w:szCs w:val="22"/>
          <w:lang w:val="en-US"/>
        </w:rPr>
        <w:t xml:space="preserve"> (Commonwealth of Australia, Canberra, 2002) </w:t>
      </w:r>
      <w:r w:rsidRPr="00624759">
        <w:rPr>
          <w:sz w:val="22"/>
          <w:szCs w:val="22"/>
        </w:rPr>
        <w:t>&lt;www.ag.gov.au/Copyright/CopyrightLawReviewCommittee/Reports/Copyrightandcontract/Pages/CopyrightandContractReport.aspx&gt; accessed 11 October 2015.</w:t>
      </w:r>
    </w:p>
  </w:footnote>
  <w:footnote w:id="3">
    <w:p w14:paraId="2AC4FDDE" w14:textId="530BD8FA" w:rsidR="00624759" w:rsidRPr="00624759" w:rsidRDefault="00624759" w:rsidP="008B1C7F">
      <w:pPr>
        <w:jc w:val="both"/>
        <w:rPr>
          <w:sz w:val="22"/>
          <w:szCs w:val="22"/>
        </w:rPr>
      </w:pPr>
      <w:r w:rsidRPr="00624759">
        <w:rPr>
          <w:rStyle w:val="FootnoteReference"/>
          <w:sz w:val="22"/>
          <w:szCs w:val="22"/>
        </w:rPr>
        <w:footnoteRef/>
      </w:r>
      <w:r w:rsidRPr="00624759">
        <w:rPr>
          <w:sz w:val="22"/>
          <w:szCs w:val="22"/>
        </w:rPr>
        <w:t xml:space="preserve"> Orit Fischman Afori,‘The battle over public e-libraries – taking stock and moving ahead’ [2013] 44:4 IIC 392, 406.</w:t>
      </w:r>
    </w:p>
  </w:footnote>
  <w:footnote w:id="4">
    <w:p w14:paraId="0DBB4032" w14:textId="088FD45A" w:rsidR="00624759" w:rsidRPr="00624759" w:rsidRDefault="00624759" w:rsidP="008B1C7F">
      <w:pPr>
        <w:pStyle w:val="FootnoteText"/>
        <w:jc w:val="both"/>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ibid 392.</w:t>
      </w:r>
    </w:p>
  </w:footnote>
  <w:footnote w:id="5">
    <w:p w14:paraId="3CFCF22C" w14:textId="6BDD6582" w:rsidR="00624759" w:rsidRPr="00624759" w:rsidRDefault="00624759" w:rsidP="008B1C7F">
      <w:pPr>
        <w:jc w:val="both"/>
        <w:rPr>
          <w:sz w:val="22"/>
          <w:szCs w:val="22"/>
        </w:rPr>
      </w:pPr>
      <w:r w:rsidRPr="00624759">
        <w:rPr>
          <w:rStyle w:val="FootnoteReference"/>
          <w:sz w:val="22"/>
          <w:szCs w:val="22"/>
        </w:rPr>
        <w:footnoteRef/>
      </w:r>
      <w:r w:rsidRPr="00624759">
        <w:rPr>
          <w:sz w:val="22"/>
          <w:szCs w:val="22"/>
        </w:rPr>
        <w:t xml:space="preserve"> Jeremy de Beer, ‘Transatlantic copyright comparisons: making available via hyperlinks in the European Union and Canada’ [2014] 32:2 EIPR 95, 96.</w:t>
      </w:r>
    </w:p>
  </w:footnote>
  <w:footnote w:id="6">
    <w:p w14:paraId="4CB827B0" w14:textId="10D238E5" w:rsidR="00624759" w:rsidRPr="00624759" w:rsidRDefault="00624759" w:rsidP="008B1C7F">
      <w:pPr>
        <w:pStyle w:val="FootnoteText"/>
        <w:jc w:val="both"/>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Fischman Afori (n 3) 402.</w:t>
      </w:r>
    </w:p>
  </w:footnote>
  <w:footnote w:id="7">
    <w:p w14:paraId="18B44A8A" w14:textId="43165D3C" w:rsidR="00624759" w:rsidRPr="00624759" w:rsidRDefault="00624759" w:rsidP="008B1C7F">
      <w:pPr>
        <w:pStyle w:val="FootnoteText"/>
        <w:jc w:val="both"/>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Copyright, Designs and Patents Act 1988, s29.</w:t>
      </w:r>
    </w:p>
  </w:footnote>
  <w:footnote w:id="8">
    <w:p w14:paraId="579C3EBD" w14:textId="4C039ADE" w:rsidR="00624759" w:rsidRPr="00624759" w:rsidRDefault="00624759" w:rsidP="008B1C7F">
      <w:pPr>
        <w:jc w:val="both"/>
        <w:rPr>
          <w:sz w:val="22"/>
          <w:szCs w:val="22"/>
        </w:rPr>
      </w:pPr>
      <w:r w:rsidRPr="00624759">
        <w:rPr>
          <w:rStyle w:val="FootnoteReference"/>
          <w:sz w:val="22"/>
          <w:szCs w:val="22"/>
        </w:rPr>
        <w:footnoteRef/>
      </w:r>
      <w:r w:rsidRPr="00624759">
        <w:rPr>
          <w:sz w:val="22"/>
          <w:szCs w:val="22"/>
        </w:rPr>
        <w:t xml:space="preserve"> Adrian C Laing, ‘Copyright in the age of mass digitisation’ [2006] 17:5 Ent LR 133, 134.</w:t>
      </w:r>
    </w:p>
  </w:footnote>
  <w:footnote w:id="9">
    <w:p w14:paraId="03097BD2" w14:textId="2615BABD" w:rsidR="00624759" w:rsidRPr="00624759" w:rsidRDefault="00624759" w:rsidP="008B1C7F">
      <w:pPr>
        <w:jc w:val="both"/>
        <w:rPr>
          <w:sz w:val="22"/>
          <w:szCs w:val="22"/>
        </w:rPr>
      </w:pPr>
      <w:r w:rsidRPr="00624759">
        <w:rPr>
          <w:rStyle w:val="FootnoteReference"/>
          <w:sz w:val="22"/>
          <w:szCs w:val="22"/>
        </w:rPr>
        <w:footnoteRef/>
      </w:r>
      <w:r w:rsidRPr="00624759">
        <w:rPr>
          <w:sz w:val="22"/>
          <w:szCs w:val="22"/>
        </w:rPr>
        <w:t xml:space="preserve"> </w:t>
      </w:r>
      <w:r w:rsidRPr="00624759">
        <w:rPr>
          <w:i/>
          <w:sz w:val="22"/>
          <w:szCs w:val="22"/>
        </w:rPr>
        <w:t>Copyright Modernization Act</w:t>
      </w:r>
      <w:r w:rsidRPr="00624759">
        <w:rPr>
          <w:sz w:val="22"/>
          <w:szCs w:val="22"/>
        </w:rPr>
        <w:t xml:space="preserve">, SC 2012, c. 20, s 29. </w:t>
      </w:r>
    </w:p>
  </w:footnote>
  <w:footnote w:id="10">
    <w:p w14:paraId="084758F7" w14:textId="40DCE3B5"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[2004] 1 SCR 13.</w:t>
      </w:r>
    </w:p>
  </w:footnote>
  <w:footnote w:id="11">
    <w:p w14:paraId="19E87B9D" w14:textId="17D4FA56"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w:t>
      </w:r>
      <w:r w:rsidR="00DB2FAB">
        <w:rPr>
          <w:sz w:val="22"/>
          <w:szCs w:val="22"/>
          <w:lang w:val="en-US"/>
        </w:rPr>
        <w:t>i</w:t>
      </w:r>
      <w:r w:rsidRPr="00624759">
        <w:rPr>
          <w:sz w:val="22"/>
          <w:szCs w:val="22"/>
          <w:lang w:val="en-US"/>
        </w:rPr>
        <w:t>bid para 4.</w:t>
      </w:r>
    </w:p>
  </w:footnote>
  <w:footnote w:id="12">
    <w:p w14:paraId="4A66554A" w14:textId="0DF62F8B" w:rsidR="00624759" w:rsidRPr="00624759" w:rsidRDefault="00624759" w:rsidP="00371319">
      <w:pPr>
        <w:rPr>
          <w:sz w:val="22"/>
          <w:szCs w:val="22"/>
        </w:rPr>
      </w:pPr>
      <w:r w:rsidRPr="00624759">
        <w:rPr>
          <w:rStyle w:val="FootnoteReference"/>
          <w:sz w:val="22"/>
          <w:szCs w:val="22"/>
        </w:rPr>
        <w:footnoteRef/>
      </w:r>
      <w:r w:rsidRPr="00624759">
        <w:rPr>
          <w:sz w:val="22"/>
          <w:szCs w:val="22"/>
        </w:rPr>
        <w:t xml:space="preserve">  </w:t>
      </w:r>
      <w:r w:rsidRPr="00624759">
        <w:rPr>
          <w:i/>
          <w:sz w:val="22"/>
          <w:szCs w:val="22"/>
        </w:rPr>
        <w:t>Copyright Act of 1976</w:t>
      </w:r>
      <w:r w:rsidRPr="00624759">
        <w:rPr>
          <w:sz w:val="22"/>
          <w:szCs w:val="22"/>
        </w:rPr>
        <w:t>, Pub L No. 94-533, 90 Stat 2541, ss 107-108.</w:t>
      </w:r>
    </w:p>
  </w:footnote>
  <w:footnote w:id="13">
    <w:p w14:paraId="593B9292" w14:textId="0FB52A47" w:rsidR="00624759" w:rsidRPr="00624759" w:rsidRDefault="00624759" w:rsidP="008B1C7F">
      <w:pPr>
        <w:jc w:val="both"/>
        <w:rPr>
          <w:sz w:val="22"/>
          <w:szCs w:val="22"/>
        </w:rPr>
      </w:pPr>
      <w:r w:rsidRPr="00624759">
        <w:rPr>
          <w:rStyle w:val="FootnoteReference"/>
          <w:sz w:val="22"/>
          <w:szCs w:val="22"/>
        </w:rPr>
        <w:footnoteRef/>
      </w:r>
      <w:r w:rsidRPr="00624759">
        <w:rPr>
          <w:sz w:val="22"/>
          <w:szCs w:val="22"/>
        </w:rPr>
        <w:t xml:space="preserve"> Intellectual Property Office, </w:t>
      </w:r>
      <w:r w:rsidRPr="00624759">
        <w:rPr>
          <w:i/>
          <w:sz w:val="22"/>
          <w:szCs w:val="22"/>
        </w:rPr>
        <w:t>Consultation on Copyright</w:t>
      </w:r>
      <w:r w:rsidRPr="00624759">
        <w:rPr>
          <w:sz w:val="22"/>
          <w:szCs w:val="22"/>
        </w:rPr>
        <w:t xml:space="preserve"> (2011) &lt;webarchive.nationalarchives.gov.uk/20140603093549/http://www.ipo.gov.uk/consult-2011-copyright.pdf&gt; accessed 10 October 2015.</w:t>
      </w:r>
    </w:p>
  </w:footnote>
  <w:footnote w:id="14">
    <w:p w14:paraId="37CB7995" w14:textId="3423972C" w:rsidR="00624759" w:rsidRPr="00624759" w:rsidRDefault="00624759" w:rsidP="008B1C7F">
      <w:pPr>
        <w:jc w:val="both"/>
        <w:rPr>
          <w:sz w:val="22"/>
          <w:szCs w:val="22"/>
        </w:rPr>
      </w:pPr>
      <w:r w:rsidRPr="00624759">
        <w:rPr>
          <w:rStyle w:val="FootnoteReference"/>
          <w:sz w:val="22"/>
          <w:szCs w:val="22"/>
        </w:rPr>
        <w:footnoteRef/>
      </w:r>
      <w:r w:rsidRPr="00624759">
        <w:rPr>
          <w:sz w:val="22"/>
          <w:szCs w:val="22"/>
        </w:rPr>
        <w:t xml:space="preserve"> Martin Kretschmer, Estelle Derclaye, Marcella Favale and Richard Watt, ‘The Relationship Between Copyright and Contract Law’ (Strategic Advisory Board for Intellectual Property Policy 2010) &lt;eprints.bournemouth.ac.uk/16091/1/_contractlaw-report.pdf&gt; accessed 28 August 2015.</w:t>
      </w:r>
    </w:p>
  </w:footnote>
  <w:footnote w:id="15">
    <w:p w14:paraId="61E0267B" w14:textId="31B7401D" w:rsidR="00624759" w:rsidRPr="00624759" w:rsidRDefault="00624759" w:rsidP="008B1C7F">
      <w:pPr>
        <w:jc w:val="both"/>
        <w:rPr>
          <w:sz w:val="22"/>
          <w:szCs w:val="22"/>
        </w:rPr>
      </w:pPr>
      <w:r w:rsidRPr="00624759">
        <w:rPr>
          <w:rStyle w:val="FootnoteReference"/>
          <w:sz w:val="22"/>
          <w:szCs w:val="22"/>
        </w:rPr>
        <w:footnoteRef/>
      </w:r>
      <w:r w:rsidRPr="00624759">
        <w:rPr>
          <w:sz w:val="22"/>
          <w:szCs w:val="22"/>
        </w:rPr>
        <w:t xml:space="preserve"> Canadian Research Knowledge Network, ‘Mission, Vision and Values’ (</w:t>
      </w:r>
      <w:r w:rsidRPr="00624759">
        <w:rPr>
          <w:i/>
          <w:sz w:val="22"/>
          <w:szCs w:val="22"/>
        </w:rPr>
        <w:t>About CRKN</w:t>
      </w:r>
      <w:r w:rsidRPr="00624759">
        <w:rPr>
          <w:sz w:val="22"/>
          <w:szCs w:val="22"/>
        </w:rPr>
        <w:t xml:space="preserve"> 2013) &lt;http://crkn.ca/about/mission-values&gt; accessed 29 August 2015. </w:t>
      </w:r>
    </w:p>
  </w:footnote>
  <w:footnote w:id="16">
    <w:p w14:paraId="785464B9" w14:textId="4AA3C020" w:rsidR="00624759" w:rsidRPr="00624759" w:rsidRDefault="00624759" w:rsidP="004F4DBB">
      <w:pPr>
        <w:rPr>
          <w:sz w:val="22"/>
          <w:szCs w:val="22"/>
        </w:rPr>
      </w:pPr>
      <w:r w:rsidRPr="00624759">
        <w:rPr>
          <w:rStyle w:val="FootnoteReference"/>
          <w:sz w:val="22"/>
          <w:szCs w:val="22"/>
        </w:rPr>
        <w:footnoteRef/>
      </w:r>
      <w:r w:rsidRPr="00624759">
        <w:rPr>
          <w:sz w:val="22"/>
          <w:szCs w:val="22"/>
        </w:rPr>
        <w:t xml:space="preserve"> Canadian Research Knowledge Network (‘CRKN’), ‘Model License Agreement’ (</w:t>
      </w:r>
      <w:r w:rsidRPr="00624759">
        <w:rPr>
          <w:i/>
          <w:sz w:val="22"/>
          <w:szCs w:val="22"/>
        </w:rPr>
        <w:t>CRKN Programs</w:t>
      </w:r>
      <w:r w:rsidRPr="00624759">
        <w:rPr>
          <w:sz w:val="22"/>
          <w:szCs w:val="22"/>
        </w:rPr>
        <w:t xml:space="preserve"> 2013) &lt; http://crkn.ca/sites/crkn.ca/files/site/crkn-model_license_final_2014-04-07.pdf&gt; accessed 29 August 2015, 2</w:t>
      </w:r>
    </w:p>
  </w:footnote>
  <w:footnote w:id="17">
    <w:p w14:paraId="7DE32B49" w14:textId="7B80B02C"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ibid 3.</w:t>
      </w:r>
    </w:p>
  </w:footnote>
  <w:footnote w:id="18">
    <w:p w14:paraId="49AA832A" w14:textId="070E7773"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CRKN (n 15) 5.</w:t>
      </w:r>
    </w:p>
  </w:footnote>
  <w:footnote w:id="19">
    <w:p w14:paraId="43413D5C" w14:textId="0A9B99A4"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w:t>
      </w:r>
      <w:r w:rsidR="00DB2FAB">
        <w:rPr>
          <w:sz w:val="22"/>
          <w:szCs w:val="22"/>
          <w:lang w:val="en-US"/>
        </w:rPr>
        <w:t>ibid</w:t>
      </w:r>
      <w:r w:rsidRPr="00624759">
        <w:rPr>
          <w:sz w:val="22"/>
          <w:szCs w:val="22"/>
          <w:lang w:val="en-US"/>
        </w:rPr>
        <w:t xml:space="preserve"> 10.</w:t>
      </w:r>
    </w:p>
  </w:footnote>
  <w:footnote w:id="20">
    <w:p w14:paraId="1053A97E" w14:textId="479CA326"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[1976] RPC 151 (High Court).</w:t>
      </w:r>
    </w:p>
  </w:footnote>
  <w:footnote w:id="21">
    <w:p w14:paraId="0ECA3689" w14:textId="06640EE9"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[2002] EMLR 35.</w:t>
      </w:r>
    </w:p>
  </w:footnote>
  <w:footnote w:id="22">
    <w:p w14:paraId="0DF89306" w14:textId="06766096"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ibid para 25.</w:t>
      </w:r>
    </w:p>
  </w:footnote>
  <w:footnote w:id="23">
    <w:p w14:paraId="766B5A4A" w14:textId="535948DD"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[2012] 2 SCR 345.</w:t>
      </w:r>
    </w:p>
  </w:footnote>
  <w:footnote w:id="24">
    <w:p w14:paraId="1BF11E7D" w14:textId="66992A07"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w:t>
      </w:r>
      <w:r w:rsidRPr="00624759">
        <w:rPr>
          <w:i/>
          <w:sz w:val="22"/>
          <w:szCs w:val="22"/>
        </w:rPr>
        <w:t xml:space="preserve">CCH Canadian Ltd v Law Society of Upper Canada </w:t>
      </w:r>
      <w:r w:rsidRPr="00624759">
        <w:rPr>
          <w:sz w:val="22"/>
          <w:szCs w:val="22"/>
        </w:rPr>
        <w:t>(n 10).</w:t>
      </w:r>
    </w:p>
  </w:footnote>
  <w:footnote w:id="25">
    <w:p w14:paraId="64F98543" w14:textId="789E63E1"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w:t>
      </w:r>
      <w:r w:rsidRPr="00624759">
        <w:rPr>
          <w:i/>
          <w:sz w:val="22"/>
          <w:szCs w:val="22"/>
          <w:lang w:val="en-US"/>
        </w:rPr>
        <w:t>Alberta (Education) v Canadian Copyright Licensing Agency (Access Copyright)</w:t>
      </w:r>
      <w:r w:rsidRPr="00624759">
        <w:rPr>
          <w:sz w:val="22"/>
          <w:szCs w:val="22"/>
          <w:lang w:val="en-US"/>
        </w:rPr>
        <w:t xml:space="preserve"> (n 22) para 28.</w:t>
      </w:r>
    </w:p>
  </w:footnote>
  <w:footnote w:id="26">
    <w:p w14:paraId="3FCF9809" w14:textId="3F9156B8" w:rsidR="00624759" w:rsidRPr="00624759" w:rsidRDefault="00624759" w:rsidP="00BB0F31">
      <w:pPr>
        <w:rPr>
          <w:sz w:val="22"/>
          <w:szCs w:val="22"/>
        </w:rPr>
      </w:pPr>
      <w:r w:rsidRPr="00624759">
        <w:rPr>
          <w:rStyle w:val="FootnoteReference"/>
          <w:sz w:val="22"/>
          <w:szCs w:val="22"/>
        </w:rPr>
        <w:footnoteRef/>
      </w:r>
      <w:r w:rsidRPr="00624759">
        <w:rPr>
          <w:sz w:val="22"/>
          <w:szCs w:val="22"/>
        </w:rPr>
        <w:t xml:space="preserve"> Marita Shelly and Margaret Jackson, ‘Copyright and contracts: the use of electronic resources provided by university libraries’ [2012] 12:2 LIM 124, 124. </w:t>
      </w:r>
    </w:p>
  </w:footnote>
  <w:footnote w:id="27">
    <w:p w14:paraId="252408DE" w14:textId="2870A8AF"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Kretschmer et al. (n 14).</w:t>
      </w:r>
    </w:p>
  </w:footnote>
  <w:footnote w:id="28">
    <w:p w14:paraId="34FC4EB8" w14:textId="486EA2D7" w:rsidR="00624759" w:rsidRPr="00624759" w:rsidRDefault="00624759">
      <w:pPr>
        <w:pStyle w:val="FootnoteText"/>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Note: sum is</w:t>
      </w:r>
      <w:r w:rsidR="00DB2FAB">
        <w:rPr>
          <w:sz w:val="22"/>
          <w:szCs w:val="22"/>
          <w:lang w:val="en-US"/>
        </w:rPr>
        <w:t xml:space="preserve"> stated</w:t>
      </w:r>
      <w:r w:rsidRPr="00624759">
        <w:rPr>
          <w:sz w:val="22"/>
          <w:szCs w:val="22"/>
          <w:lang w:val="en-US"/>
        </w:rPr>
        <w:t xml:space="preserve"> in Canadian dollars.</w:t>
      </w:r>
    </w:p>
  </w:footnote>
  <w:footnote w:id="29">
    <w:p w14:paraId="5A7B7165" w14:textId="77777777" w:rsidR="00624759" w:rsidRPr="00624759" w:rsidRDefault="00624759" w:rsidP="001245BA">
      <w:pPr>
        <w:pStyle w:val="FootnoteText"/>
        <w:rPr>
          <w:sz w:val="22"/>
          <w:szCs w:val="22"/>
          <w:lang w:val="en-US"/>
        </w:rPr>
      </w:pPr>
      <w:r w:rsidRPr="00624759">
        <w:rPr>
          <w:rStyle w:val="FootnoteReference"/>
          <w:sz w:val="22"/>
          <w:szCs w:val="22"/>
        </w:rPr>
        <w:footnoteRef/>
      </w:r>
      <w:r w:rsidRPr="00624759">
        <w:rPr>
          <w:sz w:val="22"/>
          <w:szCs w:val="22"/>
        </w:rPr>
        <w:t xml:space="preserve"> </w:t>
      </w:r>
      <w:r w:rsidRPr="00624759">
        <w:rPr>
          <w:sz w:val="22"/>
          <w:szCs w:val="22"/>
          <w:lang w:val="en-US"/>
        </w:rPr>
        <w:t xml:space="preserve">See </w:t>
      </w:r>
      <w:r w:rsidRPr="00624759">
        <w:rPr>
          <w:sz w:val="22"/>
          <w:szCs w:val="22"/>
        </w:rPr>
        <w:t>Uma Suthersanen, ‘Copyright and Educational Policies: A Stakeholder Analysis’ [2003] 23:4 OJLS 585.</w:t>
      </w:r>
    </w:p>
  </w:footnote>
  <w:footnote w:id="30">
    <w:p w14:paraId="7B5EDE7C" w14:textId="77777777" w:rsidR="00624759" w:rsidRPr="00624759" w:rsidRDefault="00624759" w:rsidP="00F730AF">
      <w:pPr>
        <w:rPr>
          <w:sz w:val="22"/>
          <w:szCs w:val="22"/>
        </w:rPr>
      </w:pPr>
      <w:r w:rsidRPr="00624759">
        <w:rPr>
          <w:rStyle w:val="FootnoteReference"/>
          <w:sz w:val="22"/>
          <w:szCs w:val="22"/>
        </w:rPr>
        <w:footnoteRef/>
      </w:r>
      <w:r w:rsidRPr="00624759">
        <w:rPr>
          <w:sz w:val="22"/>
          <w:szCs w:val="22"/>
        </w:rPr>
        <w:t xml:space="preserve"> Intellectual Property Office, </w:t>
      </w:r>
      <w:r w:rsidRPr="00624759">
        <w:rPr>
          <w:i/>
          <w:sz w:val="22"/>
          <w:szCs w:val="22"/>
        </w:rPr>
        <w:t>Government Response to the Hargreaves Review of Intellectual Property and Growth</w:t>
      </w:r>
      <w:r w:rsidRPr="00624759">
        <w:rPr>
          <w:sz w:val="22"/>
          <w:szCs w:val="22"/>
        </w:rPr>
        <w:t xml:space="preserve"> (Cm 1199, 2011). See also Christophe Geiger, ‘The future of copyright in Europe: striking a fair balance between protection and access to information’ [2010] 1 IPQ 1.</w:t>
      </w:r>
    </w:p>
  </w:footnote>
  <w:footnote w:id="31">
    <w:p w14:paraId="018A352F" w14:textId="77777777" w:rsidR="00624759" w:rsidRPr="00624759" w:rsidRDefault="00624759" w:rsidP="00F730AF">
      <w:pPr>
        <w:rPr>
          <w:sz w:val="22"/>
          <w:szCs w:val="22"/>
        </w:rPr>
      </w:pPr>
      <w:r w:rsidRPr="00624759">
        <w:rPr>
          <w:rStyle w:val="FootnoteReference"/>
          <w:sz w:val="22"/>
          <w:szCs w:val="22"/>
        </w:rPr>
        <w:footnoteRef/>
      </w:r>
      <w:r w:rsidRPr="00624759">
        <w:rPr>
          <w:sz w:val="22"/>
          <w:szCs w:val="22"/>
        </w:rPr>
        <w:t xml:space="preserve"> Intellectual Property Office (n 13). </w:t>
      </w:r>
    </w:p>
  </w:footnote>
  <w:footnote w:id="32">
    <w:p w14:paraId="2E27028C" w14:textId="61122025" w:rsidR="00624759" w:rsidRPr="00624759" w:rsidRDefault="00624759" w:rsidP="00F730AF">
      <w:pPr>
        <w:rPr>
          <w:sz w:val="22"/>
          <w:szCs w:val="22"/>
        </w:rPr>
      </w:pPr>
      <w:r w:rsidRPr="00624759">
        <w:rPr>
          <w:rStyle w:val="FootnoteReference"/>
          <w:sz w:val="22"/>
          <w:szCs w:val="22"/>
        </w:rPr>
        <w:footnoteRef/>
      </w:r>
      <w:r w:rsidRPr="00624759">
        <w:rPr>
          <w:sz w:val="22"/>
          <w:szCs w:val="22"/>
        </w:rPr>
        <w:t xml:space="preserve"> P Bernt Hugenholtz and Martin RF Senftleben, ‘Fair use in Europe. In search of flexibilities’ (Institute for Information Law, University of Amsterdam 2011) &lt;www.ivir.nl/publicaties/download/912&gt; accessed 5 September 2015. See Council Directive (EC) 2001/29 on the harmonisation of certain aspects of copyright and related rights in the information society [2001] OJ L167/10 (Copyright Directive).</w:t>
      </w:r>
    </w:p>
  </w:footnote>
  <w:footnote w:id="33">
    <w:p w14:paraId="1D31ABD5" w14:textId="2B02CD4A" w:rsidR="00624759" w:rsidRPr="00624759" w:rsidRDefault="00624759" w:rsidP="00185D53">
      <w:pPr>
        <w:rPr>
          <w:sz w:val="22"/>
          <w:szCs w:val="22"/>
        </w:rPr>
      </w:pPr>
      <w:r w:rsidRPr="00624759">
        <w:rPr>
          <w:rStyle w:val="FootnoteReference"/>
          <w:sz w:val="22"/>
          <w:szCs w:val="22"/>
        </w:rPr>
        <w:footnoteRef/>
      </w:r>
      <w:r w:rsidRPr="00624759">
        <w:rPr>
          <w:sz w:val="22"/>
          <w:szCs w:val="22"/>
        </w:rPr>
        <w:t xml:space="preserve"> </w:t>
      </w:r>
      <w:r w:rsidRPr="00624759">
        <w:rPr>
          <w:sz w:val="22"/>
          <w:szCs w:val="22"/>
          <w:lang w:val="en-US"/>
        </w:rPr>
        <w:t xml:space="preserve">See </w:t>
      </w:r>
      <w:r w:rsidRPr="00624759">
        <w:rPr>
          <w:sz w:val="22"/>
          <w:szCs w:val="22"/>
        </w:rPr>
        <w:t>Ahrash N Bissell, ‘Permission granted: open licensing for educational resources’ [2009] 24:1 Open Learning 97, 97-98.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314064B"/>
    <w:multiLevelType w:val="hybridMultilevel"/>
    <w:tmpl w:val="587641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4C2E505B"/>
    <w:multiLevelType w:val="hybridMultilevel"/>
    <w:tmpl w:val="F9AA94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68E43787"/>
    <w:multiLevelType w:val="hybridMultilevel"/>
    <w:tmpl w:val="FD483F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6D1F09D2"/>
    <w:multiLevelType w:val="hybridMultilevel"/>
    <w:tmpl w:val="CBFE4F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A35"/>
    <w:rsid w:val="0003069F"/>
    <w:rsid w:val="000355CC"/>
    <w:rsid w:val="000369BD"/>
    <w:rsid w:val="000420B7"/>
    <w:rsid w:val="00077D76"/>
    <w:rsid w:val="000869D6"/>
    <w:rsid w:val="000A29B2"/>
    <w:rsid w:val="000F0E12"/>
    <w:rsid w:val="001063B0"/>
    <w:rsid w:val="0011652E"/>
    <w:rsid w:val="001245BA"/>
    <w:rsid w:val="0014537F"/>
    <w:rsid w:val="00171BB2"/>
    <w:rsid w:val="001830B8"/>
    <w:rsid w:val="00185D53"/>
    <w:rsid w:val="001926F5"/>
    <w:rsid w:val="001D082E"/>
    <w:rsid w:val="001D50FD"/>
    <w:rsid w:val="001E0512"/>
    <w:rsid w:val="001F5468"/>
    <w:rsid w:val="001F6D78"/>
    <w:rsid w:val="00233B2F"/>
    <w:rsid w:val="00250D54"/>
    <w:rsid w:val="00281D4E"/>
    <w:rsid w:val="002A2717"/>
    <w:rsid w:val="002B789A"/>
    <w:rsid w:val="002F5A0E"/>
    <w:rsid w:val="00303BD2"/>
    <w:rsid w:val="003705B5"/>
    <w:rsid w:val="00371319"/>
    <w:rsid w:val="00392388"/>
    <w:rsid w:val="00395A35"/>
    <w:rsid w:val="003A60A3"/>
    <w:rsid w:val="003C6D0C"/>
    <w:rsid w:val="003C6D52"/>
    <w:rsid w:val="003D476A"/>
    <w:rsid w:val="003F6550"/>
    <w:rsid w:val="00420D79"/>
    <w:rsid w:val="00421751"/>
    <w:rsid w:val="00423D91"/>
    <w:rsid w:val="00426361"/>
    <w:rsid w:val="00433581"/>
    <w:rsid w:val="00442703"/>
    <w:rsid w:val="00453037"/>
    <w:rsid w:val="004C2C92"/>
    <w:rsid w:val="004C6E1C"/>
    <w:rsid w:val="004D22FA"/>
    <w:rsid w:val="004D5B2B"/>
    <w:rsid w:val="004E4C7B"/>
    <w:rsid w:val="004F124E"/>
    <w:rsid w:val="004F4DBB"/>
    <w:rsid w:val="00510717"/>
    <w:rsid w:val="0052505C"/>
    <w:rsid w:val="00554A03"/>
    <w:rsid w:val="00573C95"/>
    <w:rsid w:val="00585796"/>
    <w:rsid w:val="005973E1"/>
    <w:rsid w:val="005A7339"/>
    <w:rsid w:val="005B7F32"/>
    <w:rsid w:val="005D0F3A"/>
    <w:rsid w:val="005F4051"/>
    <w:rsid w:val="006050EC"/>
    <w:rsid w:val="00613E27"/>
    <w:rsid w:val="00621605"/>
    <w:rsid w:val="00622C75"/>
    <w:rsid w:val="00624759"/>
    <w:rsid w:val="00651E3F"/>
    <w:rsid w:val="00683778"/>
    <w:rsid w:val="006B26A5"/>
    <w:rsid w:val="006B476E"/>
    <w:rsid w:val="006D3BAD"/>
    <w:rsid w:val="00701B5B"/>
    <w:rsid w:val="00724F17"/>
    <w:rsid w:val="007816D2"/>
    <w:rsid w:val="0078221A"/>
    <w:rsid w:val="007A0AA9"/>
    <w:rsid w:val="007C048C"/>
    <w:rsid w:val="008030DA"/>
    <w:rsid w:val="00805BD2"/>
    <w:rsid w:val="00835361"/>
    <w:rsid w:val="0085342E"/>
    <w:rsid w:val="0085651E"/>
    <w:rsid w:val="00862045"/>
    <w:rsid w:val="008642DF"/>
    <w:rsid w:val="00874D43"/>
    <w:rsid w:val="00885695"/>
    <w:rsid w:val="008874A1"/>
    <w:rsid w:val="008921C2"/>
    <w:rsid w:val="008958A9"/>
    <w:rsid w:val="008B1C7F"/>
    <w:rsid w:val="008D4235"/>
    <w:rsid w:val="008D70CB"/>
    <w:rsid w:val="008F18CF"/>
    <w:rsid w:val="008F2067"/>
    <w:rsid w:val="009213A3"/>
    <w:rsid w:val="00936C98"/>
    <w:rsid w:val="0095668A"/>
    <w:rsid w:val="00965A6B"/>
    <w:rsid w:val="009A01D5"/>
    <w:rsid w:val="009A46C0"/>
    <w:rsid w:val="009A790E"/>
    <w:rsid w:val="009B65C4"/>
    <w:rsid w:val="009B7ED7"/>
    <w:rsid w:val="009E10A1"/>
    <w:rsid w:val="009E3E1B"/>
    <w:rsid w:val="009E7C83"/>
    <w:rsid w:val="00A343DA"/>
    <w:rsid w:val="00A55396"/>
    <w:rsid w:val="00A65B67"/>
    <w:rsid w:val="00A85706"/>
    <w:rsid w:val="00AA575F"/>
    <w:rsid w:val="00AE6D9C"/>
    <w:rsid w:val="00AF484E"/>
    <w:rsid w:val="00B368B3"/>
    <w:rsid w:val="00B45F5E"/>
    <w:rsid w:val="00B50AC1"/>
    <w:rsid w:val="00B60136"/>
    <w:rsid w:val="00B74332"/>
    <w:rsid w:val="00B779CE"/>
    <w:rsid w:val="00B82FB7"/>
    <w:rsid w:val="00B85431"/>
    <w:rsid w:val="00BB0742"/>
    <w:rsid w:val="00BB0F31"/>
    <w:rsid w:val="00BE4DD9"/>
    <w:rsid w:val="00BE6EB0"/>
    <w:rsid w:val="00C04F11"/>
    <w:rsid w:val="00C27181"/>
    <w:rsid w:val="00C45517"/>
    <w:rsid w:val="00C91249"/>
    <w:rsid w:val="00C97350"/>
    <w:rsid w:val="00CE5D0B"/>
    <w:rsid w:val="00CF5D95"/>
    <w:rsid w:val="00D2332B"/>
    <w:rsid w:val="00D3534C"/>
    <w:rsid w:val="00D4016B"/>
    <w:rsid w:val="00D65D1A"/>
    <w:rsid w:val="00D80849"/>
    <w:rsid w:val="00D97485"/>
    <w:rsid w:val="00DB292A"/>
    <w:rsid w:val="00DB2FAB"/>
    <w:rsid w:val="00DB403A"/>
    <w:rsid w:val="00DC4E11"/>
    <w:rsid w:val="00DE1431"/>
    <w:rsid w:val="00E04832"/>
    <w:rsid w:val="00E34495"/>
    <w:rsid w:val="00E43F8B"/>
    <w:rsid w:val="00EA2AC5"/>
    <w:rsid w:val="00EC768B"/>
    <w:rsid w:val="00EE0ACC"/>
    <w:rsid w:val="00EE0EDB"/>
    <w:rsid w:val="00F2757A"/>
    <w:rsid w:val="00F542E0"/>
    <w:rsid w:val="00F65941"/>
    <w:rsid w:val="00F730AF"/>
    <w:rsid w:val="00F75FA5"/>
    <w:rsid w:val="00F84347"/>
    <w:rsid w:val="00F91AD1"/>
    <w:rsid w:val="00FC3656"/>
    <w:rsid w:val="00FD6B0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354F5D7E"/>
  <w14:defaultImageDpi w14:val="300"/>
  <w15:docId w15:val="{3C1CD685-F739-449D-9A04-813DAFFD9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2">
    <w:name w:val="heading 2"/>
    <w:basedOn w:val="Normal"/>
    <w:next w:val="Normal"/>
    <w:link w:val="Heading2Char"/>
    <w:qFormat/>
    <w:rsid w:val="002B789A"/>
    <w:pPr>
      <w:keepNext/>
      <w:outlineLvl w:val="1"/>
    </w:pPr>
    <w:rPr>
      <w:rFonts w:ascii="Albertus Medium" w:eastAsia="Times New Roman" w:hAnsi="Albertus Medium"/>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816D2"/>
  </w:style>
  <w:style w:type="character" w:customStyle="1" w:styleId="FootnoteTextChar">
    <w:name w:val="Footnote Text Char"/>
    <w:basedOn w:val="DefaultParagraphFont"/>
    <w:link w:val="FootnoteText"/>
    <w:uiPriority w:val="99"/>
    <w:rsid w:val="007816D2"/>
    <w:rPr>
      <w:lang w:val="en-GB"/>
    </w:rPr>
  </w:style>
  <w:style w:type="character" w:styleId="FootnoteReference">
    <w:name w:val="footnote reference"/>
    <w:basedOn w:val="DefaultParagraphFont"/>
    <w:uiPriority w:val="99"/>
    <w:unhideWhenUsed/>
    <w:rsid w:val="007816D2"/>
    <w:rPr>
      <w:vertAlign w:val="superscript"/>
    </w:rPr>
  </w:style>
  <w:style w:type="paragraph" w:styleId="ListParagraph">
    <w:name w:val="List Paragraph"/>
    <w:basedOn w:val="Normal"/>
    <w:uiPriority w:val="34"/>
    <w:qFormat/>
    <w:rsid w:val="004F4DBB"/>
    <w:pPr>
      <w:ind w:left="720"/>
      <w:contextualSpacing/>
    </w:pPr>
  </w:style>
  <w:style w:type="character" w:customStyle="1" w:styleId="Heading2Char">
    <w:name w:val="Heading 2 Char"/>
    <w:basedOn w:val="DefaultParagraphFont"/>
    <w:link w:val="Heading2"/>
    <w:rsid w:val="002B789A"/>
    <w:rPr>
      <w:rFonts w:ascii="Albertus Medium" w:eastAsia="Times New Roman" w:hAnsi="Albertus Medium"/>
      <w:b/>
      <w:lang w:val="en-GB"/>
    </w:rPr>
  </w:style>
  <w:style w:type="paragraph" w:styleId="BalloonText">
    <w:name w:val="Balloon Text"/>
    <w:basedOn w:val="Normal"/>
    <w:link w:val="BalloonTextChar"/>
    <w:uiPriority w:val="99"/>
    <w:semiHidden/>
    <w:unhideWhenUsed/>
    <w:rsid w:val="002B789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789A"/>
    <w:rPr>
      <w:rFonts w:ascii="Lucida Grande" w:hAnsi="Lucida Grande" w:cs="Lucida Grande"/>
      <w:sz w:val="18"/>
      <w:szCs w:val="18"/>
      <w:lang w:val="en-GB"/>
    </w:rPr>
  </w:style>
  <w:style w:type="paragraph" w:styleId="Header">
    <w:name w:val="header"/>
    <w:basedOn w:val="Normal"/>
    <w:link w:val="HeaderChar"/>
    <w:uiPriority w:val="99"/>
    <w:unhideWhenUsed/>
    <w:rsid w:val="00A85706"/>
    <w:pPr>
      <w:tabs>
        <w:tab w:val="center" w:pos="4320"/>
        <w:tab w:val="right" w:pos="8640"/>
      </w:tabs>
    </w:pPr>
  </w:style>
  <w:style w:type="character" w:customStyle="1" w:styleId="HeaderChar">
    <w:name w:val="Header Char"/>
    <w:basedOn w:val="DefaultParagraphFont"/>
    <w:link w:val="Header"/>
    <w:uiPriority w:val="99"/>
    <w:rsid w:val="00A85706"/>
    <w:rPr>
      <w:lang w:val="en-GB"/>
    </w:rPr>
  </w:style>
  <w:style w:type="character" w:styleId="PageNumber">
    <w:name w:val="page number"/>
    <w:basedOn w:val="DefaultParagraphFont"/>
    <w:uiPriority w:val="99"/>
    <w:semiHidden/>
    <w:unhideWhenUsed/>
    <w:rsid w:val="00A85706"/>
  </w:style>
  <w:style w:type="paragraph" w:styleId="Footer">
    <w:name w:val="footer"/>
    <w:basedOn w:val="Normal"/>
    <w:link w:val="FooterChar"/>
    <w:uiPriority w:val="99"/>
    <w:unhideWhenUsed/>
    <w:rsid w:val="00A85706"/>
    <w:pPr>
      <w:tabs>
        <w:tab w:val="center" w:pos="4320"/>
        <w:tab w:val="right" w:pos="8640"/>
      </w:tabs>
    </w:pPr>
  </w:style>
  <w:style w:type="character" w:customStyle="1" w:styleId="FooterChar">
    <w:name w:val="Footer Char"/>
    <w:basedOn w:val="DefaultParagraphFont"/>
    <w:link w:val="Footer"/>
    <w:uiPriority w:val="99"/>
    <w:rsid w:val="00A85706"/>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B12D0AA5</Template>
  <TotalTime>0</TotalTime>
  <Pages>15</Pages>
  <Words>3456</Words>
  <Characters>19703</Characters>
  <Application>Microsoft Office Word</Application>
  <DocSecurity>4</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Greenwood</dc:creator>
  <cp:keywords/>
  <dc:description/>
  <cp:lastModifiedBy>Clarke, Amy</cp:lastModifiedBy>
  <cp:revision>2</cp:revision>
  <cp:lastPrinted>2016-01-11T16:04:00Z</cp:lastPrinted>
  <dcterms:created xsi:type="dcterms:W3CDTF">2016-01-11T16:05:00Z</dcterms:created>
  <dcterms:modified xsi:type="dcterms:W3CDTF">2016-01-11T16:05:00Z</dcterms:modified>
</cp:coreProperties>
</file>