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B7B752" w14:textId="77777777" w:rsidR="00C92873" w:rsidRDefault="00C92873"/>
    <w:p w14:paraId="6AB260FB" w14:textId="579C6411" w:rsidR="004772A4" w:rsidRDefault="00D83BAF">
      <w:r>
        <w:t>Old habits die hard: 21</w:t>
      </w:r>
      <w:r w:rsidRPr="00D83BAF">
        <w:rPr>
          <w:vertAlign w:val="superscript"/>
        </w:rPr>
        <w:t>st</w:t>
      </w:r>
      <w:r>
        <w:t xml:space="preserve"> Century reworkings of classical </w:t>
      </w:r>
      <w:proofErr w:type="gramStart"/>
      <w:r>
        <w:t>myth</w:t>
      </w:r>
      <w:proofErr w:type="gramEnd"/>
    </w:p>
    <w:p w14:paraId="77923BD6" w14:textId="77777777" w:rsidR="0086493F" w:rsidRDefault="0086493F"/>
    <w:p w14:paraId="08C306AA" w14:textId="2630A5F0" w:rsidR="0086493F" w:rsidRDefault="0086493F">
      <w:r>
        <w:t xml:space="preserve">Over the last decade, since the publication of Madeline Miller’s </w:t>
      </w:r>
      <w:r>
        <w:rPr>
          <w:i/>
          <w:iCs/>
        </w:rPr>
        <w:t>The Song of Achilles</w:t>
      </w:r>
      <w:r>
        <w:t xml:space="preserve"> (2011), there has been a striking visibility of reworkings of Greek myth by women writers. For the most part, these novels seek to recover voices suppressed (Trojan women, Barker, Haynes) or </w:t>
      </w:r>
      <w:proofErr w:type="spellStart"/>
      <w:r>
        <w:t>misfigured</w:t>
      </w:r>
      <w:proofErr w:type="spellEnd"/>
      <w:r>
        <w:t xml:space="preserve"> (Circe (Miller, 2019) and Medusa (Haynes 2023) in the classical narrative; in other places, the move has been to reimagine the narratives in contemporary contexts (</w:t>
      </w:r>
      <w:r w:rsidR="00EB0281">
        <w:t xml:space="preserve">Smith </w:t>
      </w:r>
      <w:r w:rsidR="00EB0281">
        <w:rPr>
          <w:i/>
          <w:iCs/>
        </w:rPr>
        <w:t>Girl Meets Boy</w:t>
      </w:r>
      <w:r w:rsidR="006E3DC6">
        <w:t>;</w:t>
      </w:r>
      <w:r w:rsidR="00EB0281">
        <w:t xml:space="preserve"> </w:t>
      </w:r>
      <w:proofErr w:type="spellStart"/>
      <w:r w:rsidR="00EB0281">
        <w:t>Shamsie</w:t>
      </w:r>
      <w:proofErr w:type="spellEnd"/>
      <w:r w:rsidR="00EB0281">
        <w:t xml:space="preserve">, </w:t>
      </w:r>
      <w:r w:rsidR="00EB0281">
        <w:rPr>
          <w:i/>
          <w:iCs/>
        </w:rPr>
        <w:t>Best of Friends</w:t>
      </w:r>
      <w:r w:rsidR="00EB0281">
        <w:t xml:space="preserve"> (2022)</w:t>
      </w:r>
      <w:r w:rsidR="006E3DC6">
        <w:t>). This project will explore the trajectory of this literary fashion in the first quarter of the 21</w:t>
      </w:r>
      <w:r w:rsidR="006E3DC6" w:rsidRPr="006E3DC6">
        <w:rPr>
          <w:vertAlign w:val="superscript"/>
        </w:rPr>
        <w:t>st</w:t>
      </w:r>
      <w:r w:rsidR="006E3DC6">
        <w:t xml:space="preserve"> century, set against a decline in the provision of classical learning in schools</w:t>
      </w:r>
      <w:r w:rsidR="00B40671">
        <w:t xml:space="preserve"> and universities. It will address the</w:t>
      </w:r>
      <w:r w:rsidR="006E3DC6">
        <w:t xml:space="preserve"> following questions:</w:t>
      </w:r>
      <w:r w:rsidR="00B40671">
        <w:t xml:space="preserve"> </w:t>
      </w:r>
    </w:p>
    <w:p w14:paraId="15D37C27" w14:textId="77777777" w:rsidR="009E562A" w:rsidRDefault="009E562A" w:rsidP="009E562A">
      <w:pPr>
        <w:pStyle w:val="ListParagraph"/>
      </w:pPr>
    </w:p>
    <w:p w14:paraId="61A2B76B" w14:textId="2A944979" w:rsidR="00514CD0" w:rsidRDefault="00514CD0" w:rsidP="00514CD0">
      <w:pPr>
        <w:pStyle w:val="ListParagraph"/>
        <w:numPr>
          <w:ilvl w:val="0"/>
          <w:numId w:val="1"/>
        </w:numPr>
      </w:pPr>
      <w:r>
        <w:t>What is the wider contextual background of this literary fashion? How might it connect to educational policy and expectation, to writerly education and scholarly space for re-examination of classical texts?</w:t>
      </w:r>
    </w:p>
    <w:p w14:paraId="0D36733C" w14:textId="574AD3BC" w:rsidR="00514CD0" w:rsidRDefault="00514CD0" w:rsidP="00514CD0">
      <w:pPr>
        <w:pStyle w:val="ListParagraph"/>
        <w:numPr>
          <w:ilvl w:val="0"/>
          <w:numId w:val="1"/>
        </w:numPr>
      </w:pPr>
      <w:r>
        <w:t xml:space="preserve">What are the classical sources that are under interrogation in these texts? Is there are bias towards Greek or to Roman material? How is the base material used? </w:t>
      </w:r>
      <w:r w:rsidR="009E562A">
        <w:t xml:space="preserve">There will also be space for comparison with such classical texts as Ovid’s </w:t>
      </w:r>
      <w:proofErr w:type="spellStart"/>
      <w:r w:rsidR="009E562A">
        <w:rPr>
          <w:i/>
          <w:iCs/>
        </w:rPr>
        <w:t>Heroides</w:t>
      </w:r>
      <w:proofErr w:type="spellEnd"/>
      <w:r w:rsidR="009E562A">
        <w:t xml:space="preserve">, an early example of an attempt to capture voices, mostly feminine, otherwise lost. </w:t>
      </w:r>
    </w:p>
    <w:p w14:paraId="18CF2B35" w14:textId="7DB2EE19" w:rsidR="00514CD0" w:rsidRDefault="00514CD0" w:rsidP="00514CD0">
      <w:pPr>
        <w:pStyle w:val="ListParagraph"/>
        <w:numPr>
          <w:ilvl w:val="0"/>
          <w:numId w:val="1"/>
        </w:numPr>
      </w:pPr>
      <w:r>
        <w:t>What voices are recovered or imagined in these novels? Are they voices that might marginalised elsewhere – queer voices, non-white voices, women’s voices? What are the differences in effect between the adaptation of the narratives in contemporary contexts with non-European protagonists (</w:t>
      </w:r>
      <w:proofErr w:type="spellStart"/>
      <w:r>
        <w:t>Shamsie</w:t>
      </w:r>
      <w:proofErr w:type="spellEnd"/>
      <w:r>
        <w:t xml:space="preserve">) and the reimagining of classical contexts </w:t>
      </w:r>
      <w:r w:rsidR="009E562A">
        <w:t>(Miller, Haynes)?</w:t>
      </w:r>
    </w:p>
    <w:p w14:paraId="4BD94AC0" w14:textId="6536571E" w:rsidR="009E562A" w:rsidRDefault="009E562A" w:rsidP="00514CD0">
      <w:pPr>
        <w:pStyle w:val="ListParagraph"/>
        <w:numPr>
          <w:ilvl w:val="0"/>
          <w:numId w:val="1"/>
        </w:numPr>
      </w:pPr>
      <w:r>
        <w:t xml:space="preserve">What role might the book trade, both publishing and selling, play in the visibility of these texts? For instance, Atwood and Smith appear in Canongate’s </w:t>
      </w:r>
      <w:r>
        <w:rPr>
          <w:i/>
          <w:iCs/>
        </w:rPr>
        <w:t>Canons</w:t>
      </w:r>
      <w:r>
        <w:t xml:space="preserve"> collection; Haynes, Barker, </w:t>
      </w:r>
      <w:proofErr w:type="spellStart"/>
      <w:r>
        <w:t>Shamsie</w:t>
      </w:r>
      <w:proofErr w:type="spellEnd"/>
      <w:r>
        <w:t xml:space="preserve"> were shortlisted for prizes or won them. Is this kind of fiction seen as literary fiction or </w:t>
      </w:r>
      <w:proofErr w:type="gramStart"/>
      <w:r>
        <w:t>middle-brow</w:t>
      </w:r>
      <w:proofErr w:type="gramEnd"/>
      <w:r>
        <w:t>?</w:t>
      </w:r>
    </w:p>
    <w:p w14:paraId="681BAE69" w14:textId="77777777" w:rsidR="009E562A" w:rsidRDefault="009E562A" w:rsidP="009E562A"/>
    <w:p w14:paraId="74B2EB61" w14:textId="70662699" w:rsidR="009E562A" w:rsidRPr="009E562A" w:rsidRDefault="009E562A" w:rsidP="009E562A">
      <w:pPr>
        <w:rPr>
          <w:u w:val="single"/>
        </w:rPr>
      </w:pPr>
      <w:r>
        <w:t xml:space="preserve">Classical narratives, whether verse such as the </w:t>
      </w:r>
      <w:r>
        <w:rPr>
          <w:i/>
          <w:iCs/>
        </w:rPr>
        <w:t>Iliad</w:t>
      </w:r>
      <w:r>
        <w:t xml:space="preserve">, the </w:t>
      </w:r>
      <w:r>
        <w:rPr>
          <w:i/>
          <w:iCs/>
        </w:rPr>
        <w:t>Odyssey</w:t>
      </w:r>
      <w:r>
        <w:t xml:space="preserve">, Ovid’s </w:t>
      </w:r>
      <w:r>
        <w:rPr>
          <w:i/>
          <w:iCs/>
        </w:rPr>
        <w:t>Metamorphoses</w:t>
      </w:r>
      <w:r>
        <w:t xml:space="preserve">, or dramatic, such as the </w:t>
      </w:r>
      <w:r w:rsidR="000E5D23">
        <w:rPr>
          <w:i/>
          <w:iCs/>
        </w:rPr>
        <w:t>Oresteia</w:t>
      </w:r>
      <w:r>
        <w:t>, have proven to be exceptionally durable in their continuing appeal.</w:t>
      </w:r>
      <w:r w:rsidR="001172AA">
        <w:t xml:space="preserve"> This project will draw from both the growing expertise in classical reception in the DTP and consider whether the novels have changed understanding of the classical</w:t>
      </w:r>
      <w:r>
        <w:t xml:space="preserve"> </w:t>
      </w:r>
      <w:r w:rsidR="001172AA">
        <w:t xml:space="preserve">world and its literature, and from the study of contemporary writing, particularly that of women, and ask whether marginalisation of </w:t>
      </w:r>
      <w:r w:rsidR="00852B5B">
        <w:t>contemporary and other historical</w:t>
      </w:r>
      <w:r w:rsidR="001172AA">
        <w:t xml:space="preserve"> narratives </w:t>
      </w:r>
      <w:r w:rsidR="00852B5B">
        <w:t xml:space="preserve">of difference </w:t>
      </w:r>
      <w:r w:rsidR="001172AA">
        <w:t>means that the appeal to the classics is particular</w:t>
      </w:r>
      <w:r w:rsidR="00145287">
        <w:t>ly</w:t>
      </w:r>
      <w:r w:rsidR="001172AA">
        <w:t xml:space="preserve"> strong</w:t>
      </w:r>
      <w:r w:rsidR="00852B5B">
        <w:t>, or whether it is part of a larger movement</w:t>
      </w:r>
      <w:r w:rsidR="001172AA">
        <w:t xml:space="preserve">. </w:t>
      </w:r>
      <w:r>
        <w:t xml:space="preserve">At its heart, this project seeks to establish </w:t>
      </w:r>
      <w:r w:rsidR="001172AA">
        <w:t xml:space="preserve">the provocation and the ongoing motivation for this </w:t>
      </w:r>
      <w:proofErr w:type="gramStart"/>
      <w:r w:rsidR="001172AA">
        <w:t>particular kind</w:t>
      </w:r>
      <w:proofErr w:type="gramEnd"/>
      <w:r w:rsidR="001172AA">
        <w:t xml:space="preserve"> of adaptation, particularly in narratives by women, and its appeal to a wider audience.</w:t>
      </w:r>
      <w:r w:rsidR="000E5D23">
        <w:t xml:space="preserve"> This is the first time that an inclusive approach has been taken: although there is critical material on Atwood, Miller and </w:t>
      </w:r>
      <w:proofErr w:type="spellStart"/>
      <w:r w:rsidR="000E5D23">
        <w:t>Shamsie</w:t>
      </w:r>
      <w:proofErr w:type="spellEnd"/>
      <w:r w:rsidR="000E5D23">
        <w:t>, commentary on Haynes and Saint is much scarcer and the patterns of the last quarter-century have not been considered as a literary phenomenon with direct engagement with cultural expectation and literary fashion.</w:t>
      </w:r>
    </w:p>
    <w:p w14:paraId="1F6866AA" w14:textId="13808776" w:rsidR="00B40671" w:rsidRDefault="00B40671"/>
    <w:p w14:paraId="7936C1E1" w14:textId="77777777" w:rsidR="006E3DC6" w:rsidRDefault="006E3DC6"/>
    <w:p w14:paraId="7FABCBDE" w14:textId="77777777" w:rsidR="006E3DC6" w:rsidRDefault="006E3DC6"/>
    <w:p w14:paraId="13D462B5" w14:textId="221D08FB" w:rsidR="006E3DC6" w:rsidRPr="000E5D23" w:rsidRDefault="000E5D23">
      <w:pPr>
        <w:rPr>
          <w:b/>
          <w:bCs/>
        </w:rPr>
      </w:pPr>
      <w:r>
        <w:rPr>
          <w:b/>
          <w:bCs/>
        </w:rPr>
        <w:t>Primary material:</w:t>
      </w:r>
    </w:p>
    <w:p w14:paraId="5B30054A" w14:textId="77777777" w:rsidR="000E5D23" w:rsidRDefault="000E5D23" w:rsidP="000E5D23">
      <w:r>
        <w:t xml:space="preserve">Margaret Atwood </w:t>
      </w:r>
      <w:proofErr w:type="spellStart"/>
      <w:r>
        <w:rPr>
          <w:i/>
          <w:iCs/>
        </w:rPr>
        <w:t>Penelopiad</w:t>
      </w:r>
      <w:proofErr w:type="spellEnd"/>
      <w:r>
        <w:t xml:space="preserve"> (2005)</w:t>
      </w:r>
    </w:p>
    <w:p w14:paraId="578E7976" w14:textId="5C47CDC9" w:rsidR="00D83BAF" w:rsidRDefault="000E5D23">
      <w:r>
        <w:t xml:space="preserve">Pat Barker </w:t>
      </w:r>
      <w:proofErr w:type="gramStart"/>
      <w:r>
        <w:rPr>
          <w:i/>
          <w:iCs/>
        </w:rPr>
        <w:t>The</w:t>
      </w:r>
      <w:proofErr w:type="gramEnd"/>
      <w:r>
        <w:rPr>
          <w:i/>
          <w:iCs/>
        </w:rPr>
        <w:t xml:space="preserve"> Women of Troy </w:t>
      </w:r>
      <w:r>
        <w:t xml:space="preserve">(2022) </w:t>
      </w:r>
      <w:r>
        <w:rPr>
          <w:i/>
          <w:iCs/>
        </w:rPr>
        <w:t>The Silence of the Girls</w:t>
      </w:r>
      <w:r>
        <w:t xml:space="preserve"> (2019)</w:t>
      </w:r>
    </w:p>
    <w:p w14:paraId="4CD65DF5" w14:textId="49AE730F" w:rsidR="00D83BAF" w:rsidRDefault="00D83BAF">
      <w:r>
        <w:t xml:space="preserve">Natalie Haynes, </w:t>
      </w:r>
      <w:r>
        <w:rPr>
          <w:i/>
          <w:iCs/>
        </w:rPr>
        <w:t>The Children of Jocasta</w:t>
      </w:r>
      <w:r>
        <w:t xml:space="preserve"> (2018), </w:t>
      </w:r>
      <w:r>
        <w:rPr>
          <w:i/>
          <w:iCs/>
        </w:rPr>
        <w:t>A Thousand Ships</w:t>
      </w:r>
      <w:r>
        <w:t xml:space="preserve"> (2020), </w:t>
      </w:r>
      <w:r>
        <w:rPr>
          <w:i/>
          <w:iCs/>
        </w:rPr>
        <w:t xml:space="preserve">Stone Blind </w:t>
      </w:r>
      <w:r>
        <w:t>(2023)</w:t>
      </w:r>
    </w:p>
    <w:p w14:paraId="523E7CDD" w14:textId="5D8085D1" w:rsidR="00D83BAF" w:rsidRDefault="00D83BAF">
      <w:r>
        <w:t xml:space="preserve">Madeline Miller, </w:t>
      </w:r>
      <w:r>
        <w:rPr>
          <w:i/>
          <w:iCs/>
        </w:rPr>
        <w:t xml:space="preserve">The Song of Achilles </w:t>
      </w:r>
      <w:r>
        <w:t xml:space="preserve">(2011), </w:t>
      </w:r>
      <w:r>
        <w:rPr>
          <w:i/>
          <w:iCs/>
        </w:rPr>
        <w:t>Circe</w:t>
      </w:r>
      <w:r>
        <w:t xml:space="preserve"> (2019)</w:t>
      </w:r>
    </w:p>
    <w:p w14:paraId="062AAFFE" w14:textId="79B16160" w:rsidR="00D83BAF" w:rsidRDefault="00D83BAF">
      <w:r>
        <w:t>Jennifer Saint</w:t>
      </w:r>
      <w:r w:rsidR="000E5D23">
        <w:t>,</w:t>
      </w:r>
      <w:r>
        <w:t xml:space="preserve"> </w:t>
      </w:r>
      <w:r>
        <w:rPr>
          <w:i/>
          <w:iCs/>
        </w:rPr>
        <w:t>Ariadne</w:t>
      </w:r>
      <w:r>
        <w:t xml:space="preserve"> (2021), </w:t>
      </w:r>
      <w:r>
        <w:rPr>
          <w:i/>
          <w:iCs/>
        </w:rPr>
        <w:t xml:space="preserve">Elektra </w:t>
      </w:r>
      <w:r>
        <w:t>(2023)</w:t>
      </w:r>
      <w:r w:rsidR="000E5D23">
        <w:t>,</w:t>
      </w:r>
      <w:r w:rsidR="000E5D23" w:rsidRPr="000E5D23">
        <w:rPr>
          <w:i/>
          <w:iCs/>
        </w:rPr>
        <w:t xml:space="preserve"> </w:t>
      </w:r>
      <w:r w:rsidR="000E5D23">
        <w:rPr>
          <w:i/>
          <w:iCs/>
        </w:rPr>
        <w:t xml:space="preserve">Atalanta </w:t>
      </w:r>
      <w:r w:rsidR="000E5D23">
        <w:t>(2024),</w:t>
      </w:r>
    </w:p>
    <w:p w14:paraId="72A46583" w14:textId="24F187CD" w:rsidR="00D83BAF" w:rsidRDefault="00D83BAF">
      <w:r>
        <w:t xml:space="preserve">Kamila </w:t>
      </w:r>
      <w:proofErr w:type="spellStart"/>
      <w:r>
        <w:t>Shamsie</w:t>
      </w:r>
      <w:proofErr w:type="spellEnd"/>
      <w:r w:rsidR="000E5D23">
        <w:t>,</w:t>
      </w:r>
      <w:r>
        <w:t xml:space="preserve"> </w:t>
      </w:r>
      <w:r w:rsidR="000E5D23">
        <w:rPr>
          <w:i/>
          <w:iCs/>
        </w:rPr>
        <w:t>Home Fire</w:t>
      </w:r>
      <w:r w:rsidR="000E5D23">
        <w:t xml:space="preserve"> (2018), </w:t>
      </w:r>
      <w:r w:rsidR="00DC5288">
        <w:rPr>
          <w:i/>
          <w:iCs/>
        </w:rPr>
        <w:t>Best of Friends</w:t>
      </w:r>
      <w:r w:rsidR="00DC5288">
        <w:t xml:space="preserve"> (20</w:t>
      </w:r>
      <w:r w:rsidR="0086493F">
        <w:t>22</w:t>
      </w:r>
      <w:r w:rsidR="00DC5288">
        <w:t xml:space="preserve">), </w:t>
      </w:r>
    </w:p>
    <w:p w14:paraId="34F9E249" w14:textId="77777777" w:rsidR="0086493F" w:rsidRDefault="0086493F"/>
    <w:p w14:paraId="4374655F" w14:textId="77777777" w:rsidR="001172AA" w:rsidRDefault="001172AA"/>
    <w:p w14:paraId="17D11029" w14:textId="709A4BEB" w:rsidR="000E5D23" w:rsidRPr="00852B5B" w:rsidRDefault="000E5D23" w:rsidP="000E5D23">
      <w:proofErr w:type="spellStart"/>
      <w:r>
        <w:t>Gentzler</w:t>
      </w:r>
      <w:proofErr w:type="spellEnd"/>
      <w:r>
        <w:t>, E</w:t>
      </w:r>
      <w:r w:rsidRPr="00852B5B">
        <w:t>dwin  (2019) Women writers and the fictionalisation of the classics, </w:t>
      </w:r>
      <w:r w:rsidRPr="00852B5B">
        <w:rPr>
          <w:i/>
          <w:iCs/>
        </w:rPr>
        <w:t>The Translator</w:t>
      </w:r>
      <w:r w:rsidRPr="00852B5B">
        <w:t>, 25:3, 269-281,DOI: </w:t>
      </w:r>
      <w:hyperlink r:id="rId5" w:history="1">
        <w:r w:rsidRPr="00852B5B">
          <w:rPr>
            <w:rStyle w:val="Hyperlink"/>
          </w:rPr>
          <w:t>10.1080/13556509.2019.1680075</w:t>
        </w:r>
      </w:hyperlink>
    </w:p>
    <w:p w14:paraId="0F785E94" w14:textId="77777777" w:rsidR="000E5D23" w:rsidRDefault="000E5D23" w:rsidP="001172AA"/>
    <w:p w14:paraId="10D5B86D" w14:textId="42705AFD" w:rsidR="001172AA" w:rsidRDefault="001172AA" w:rsidP="001172AA">
      <w:r w:rsidRPr="001172AA">
        <w:t>Hauser, Emily</w:t>
      </w:r>
      <w:r w:rsidR="00EC5D85">
        <w:t xml:space="preserve"> (2018)</w:t>
      </w:r>
      <w:r w:rsidR="000E5D23">
        <w:t xml:space="preserve">, ‘There is another story’: writing after the </w:t>
      </w:r>
      <w:r w:rsidR="000E5D23">
        <w:rPr>
          <w:i/>
          <w:iCs/>
        </w:rPr>
        <w:t xml:space="preserve">Odyssey </w:t>
      </w:r>
      <w:r w:rsidR="000E5D23">
        <w:t xml:space="preserve">in Margaret Atwood’s </w:t>
      </w:r>
      <w:r w:rsidR="000E5D23">
        <w:rPr>
          <w:i/>
          <w:iCs/>
        </w:rPr>
        <w:t xml:space="preserve">The </w:t>
      </w:r>
      <w:proofErr w:type="spellStart"/>
      <w:r w:rsidR="000E5D23">
        <w:rPr>
          <w:i/>
          <w:iCs/>
        </w:rPr>
        <w:t>Penelopiad</w:t>
      </w:r>
      <w:proofErr w:type="spellEnd"/>
      <w:r w:rsidR="000E5D23">
        <w:t xml:space="preserve">’, </w:t>
      </w:r>
      <w:r w:rsidRPr="001172AA">
        <w:rPr>
          <w:i/>
          <w:iCs/>
        </w:rPr>
        <w:t>Classical receptions journal</w:t>
      </w:r>
      <w:r w:rsidR="000E5D23">
        <w:rPr>
          <w:i/>
          <w:iCs/>
        </w:rPr>
        <w:t xml:space="preserve"> </w:t>
      </w:r>
      <w:r w:rsidR="000E5D23">
        <w:t>10(2)</w:t>
      </w:r>
      <w:r w:rsidRPr="001172AA">
        <w:t>, 109-126</w:t>
      </w:r>
    </w:p>
    <w:p w14:paraId="7D5369F3" w14:textId="77777777" w:rsidR="000E5D23" w:rsidRDefault="000E5D23" w:rsidP="001172AA"/>
    <w:p w14:paraId="23A055B5" w14:textId="6B5F6DF4" w:rsidR="000E5D23" w:rsidRDefault="000E5D23" w:rsidP="001172AA">
      <w:r>
        <w:t>Judge, Shelby</w:t>
      </w:r>
      <w:r w:rsidR="00EC5D85">
        <w:t xml:space="preserve"> (2022),</w:t>
      </w:r>
      <w:r>
        <w:t xml:space="preserve"> ‘Blaming Helen in Twenty-First Century Myth Writing: A Response to Lena </w:t>
      </w:r>
      <w:proofErr w:type="spellStart"/>
      <w:r>
        <w:t>Linne</w:t>
      </w:r>
      <w:proofErr w:type="spellEnd"/>
      <w:r>
        <w:t>’</w:t>
      </w:r>
      <w:r>
        <w:rPr>
          <w:i/>
          <w:iCs/>
        </w:rPr>
        <w:t xml:space="preserve"> The Connotations Society for Critical Debate</w:t>
      </w:r>
      <w:r>
        <w:t xml:space="preserve"> 31, 126-32.</w:t>
      </w:r>
    </w:p>
    <w:p w14:paraId="5BF8DD43" w14:textId="77777777" w:rsidR="00EC5D85" w:rsidRDefault="00EC5D85" w:rsidP="001172AA"/>
    <w:p w14:paraId="2EFB962A" w14:textId="79FEE5EE" w:rsidR="00EC5D85" w:rsidRPr="001172AA" w:rsidRDefault="00EC5D85" w:rsidP="001172AA">
      <w:r>
        <w:t xml:space="preserve">Macmillan, Catherine (2019), ‘The </w:t>
      </w:r>
      <w:proofErr w:type="gramStart"/>
      <w:r>
        <w:t>Witch(</w:t>
      </w:r>
      <w:proofErr w:type="gramEnd"/>
      <w:r>
        <w:t xml:space="preserve">ES) of Alaia: Gender, </w:t>
      </w:r>
      <w:proofErr w:type="spellStart"/>
      <w:r>
        <w:t>Imortality</w:t>
      </w:r>
      <w:proofErr w:type="spellEnd"/>
      <w:r>
        <w:t xml:space="preserve"> and the Chronotype in Madeline Miller’s</w:t>
      </w:r>
      <w:r>
        <w:rPr>
          <w:i/>
          <w:iCs/>
        </w:rPr>
        <w:t xml:space="preserve"> Circe</w:t>
      </w:r>
      <w:r>
        <w:t xml:space="preserve">’ </w:t>
      </w:r>
      <w:proofErr w:type="spellStart"/>
      <w:r>
        <w:rPr>
          <w:i/>
          <w:iCs/>
        </w:rPr>
        <w:t>Sciendo</w:t>
      </w:r>
      <w:proofErr w:type="spellEnd"/>
      <w:r>
        <w:t xml:space="preserve"> 18(1), 27-38</w:t>
      </w:r>
    </w:p>
    <w:p w14:paraId="38468396" w14:textId="77777777" w:rsidR="001172AA" w:rsidRDefault="001172AA"/>
    <w:p w14:paraId="7A395B5C" w14:textId="3D16DF62" w:rsidR="001172AA" w:rsidRDefault="000E5D23" w:rsidP="000E5D23">
      <w:proofErr w:type="spellStart"/>
      <w:r>
        <w:t>Massoura</w:t>
      </w:r>
      <w:proofErr w:type="spellEnd"/>
      <w:r>
        <w:t xml:space="preserve">, </w:t>
      </w:r>
      <w:proofErr w:type="spellStart"/>
      <w:r>
        <w:t>Kiriaki</w:t>
      </w:r>
      <w:proofErr w:type="spellEnd"/>
      <w:r w:rsidR="00EC5D85">
        <w:t xml:space="preserve"> (2017</w:t>
      </w:r>
      <w:proofErr w:type="gramStart"/>
      <w:r w:rsidR="00EC5D85">
        <w:t>),</w:t>
      </w:r>
      <w:r>
        <w:t>‘</w:t>
      </w:r>
      <w:proofErr w:type="gramEnd"/>
      <w:r>
        <w:t xml:space="preserve">Space, time and the female body: Homer’s Penelope in Margaret Atwood’s </w:t>
      </w:r>
      <w:r>
        <w:rPr>
          <w:i/>
          <w:iCs/>
        </w:rPr>
        <w:t xml:space="preserve">The </w:t>
      </w:r>
      <w:proofErr w:type="spellStart"/>
      <w:r>
        <w:rPr>
          <w:i/>
          <w:iCs/>
        </w:rPr>
        <w:t>Penelopiad</w:t>
      </w:r>
      <w:proofErr w:type="spellEnd"/>
      <w:r>
        <w:t xml:space="preserve"> (2005)’ in </w:t>
      </w:r>
      <w:r>
        <w:rPr>
          <w:i/>
          <w:iCs/>
        </w:rPr>
        <w:t>Contemporary Women’s Writing</w:t>
      </w:r>
      <w:r>
        <w:t xml:space="preserve"> 11 (3), 391-411</w:t>
      </w:r>
    </w:p>
    <w:p w14:paraId="4DCF99E8" w14:textId="77777777" w:rsidR="000E5D23" w:rsidRDefault="000E5D23" w:rsidP="000E5D23"/>
    <w:p w14:paraId="144A8BBE" w14:textId="383C5F74" w:rsidR="000E5D23" w:rsidRPr="000E5D23" w:rsidRDefault="000E5D23" w:rsidP="000E5D23">
      <w:pPr>
        <w:rPr>
          <w:rFonts w:ascii="Source Sans Pro" w:eastAsia="Times New Roman" w:hAnsi="Source Sans Pro" w:cs="Times New Roman"/>
          <w:b/>
          <w:bCs/>
          <w:color w:val="44707B"/>
          <w:kern w:val="0"/>
          <w:sz w:val="27"/>
          <w:szCs w:val="27"/>
          <w:lang w:eastAsia="en-GB"/>
          <w14:ligatures w14:val="none"/>
        </w:rPr>
      </w:pPr>
      <w:proofErr w:type="spellStart"/>
      <w:r>
        <w:t>Pishotti</w:t>
      </w:r>
      <w:proofErr w:type="spellEnd"/>
      <w:r>
        <w:t>, Gabriella,</w:t>
      </w:r>
      <w:r w:rsidR="00EC5D85">
        <w:t xml:space="preserve"> (2020)</w:t>
      </w:r>
      <w:r>
        <w:t xml:space="preserve"> ‘Materializing grief: the reclamation of loss in Kamila </w:t>
      </w:r>
      <w:proofErr w:type="spellStart"/>
      <w:r>
        <w:t>Shamsie’s</w:t>
      </w:r>
      <w:proofErr w:type="spellEnd"/>
      <w:r>
        <w:t xml:space="preserve"> </w:t>
      </w:r>
      <w:r>
        <w:rPr>
          <w:i/>
          <w:iCs/>
        </w:rPr>
        <w:t>Home Fire</w:t>
      </w:r>
      <w:r>
        <w:t xml:space="preserve">’ </w:t>
      </w:r>
      <w:r>
        <w:rPr>
          <w:i/>
          <w:iCs/>
        </w:rPr>
        <w:t xml:space="preserve">Journal of Post-Colonial Writing </w:t>
      </w:r>
      <w:r>
        <w:t>58 (3), 349-60</w:t>
      </w:r>
    </w:p>
    <w:p w14:paraId="3E45AE12" w14:textId="557C5FB8" w:rsidR="000E5D23" w:rsidRPr="001172AA" w:rsidRDefault="000E5D23" w:rsidP="000E5D23">
      <w:pPr>
        <w:rPr>
          <w:rFonts w:ascii="Source Sans Pro" w:eastAsia="Times New Roman" w:hAnsi="Source Sans Pro" w:cs="Times New Roman"/>
          <w:color w:val="3A3A3A"/>
          <w:kern w:val="0"/>
          <w:sz w:val="23"/>
          <w:szCs w:val="23"/>
          <w:lang w:eastAsia="en-GB"/>
          <w14:ligatures w14:val="none"/>
        </w:rPr>
      </w:pPr>
    </w:p>
    <w:p w14:paraId="780CDC1E" w14:textId="586EAA71" w:rsidR="001172AA" w:rsidRPr="001172AA" w:rsidRDefault="000E5D23" w:rsidP="001172AA">
      <w:pPr>
        <w:rPr>
          <w:b/>
          <w:bCs/>
        </w:rPr>
      </w:pPr>
      <w:r>
        <w:t>Weiss, Naomi</w:t>
      </w:r>
      <w:r w:rsidR="00EC5D85">
        <w:t xml:space="preserve"> (2022)</w:t>
      </w:r>
      <w:r>
        <w:t xml:space="preserve">, </w:t>
      </w:r>
      <w:hyperlink r:id="rId6" w:history="1">
        <w:r w:rsidR="001172AA" w:rsidRPr="001172AA">
          <w:rPr>
            <w:rStyle w:val="Hyperlink"/>
          </w:rPr>
          <w:t xml:space="preserve">Tragic Form in Kamila </w:t>
        </w:r>
        <w:proofErr w:type="spellStart"/>
        <w:r w:rsidR="001172AA" w:rsidRPr="001172AA">
          <w:rPr>
            <w:rStyle w:val="Hyperlink"/>
          </w:rPr>
          <w:t>Shamsie’s</w:t>
        </w:r>
        <w:proofErr w:type="spellEnd"/>
        <w:r w:rsidR="001172AA" w:rsidRPr="001172AA">
          <w:rPr>
            <w:rStyle w:val="Hyperlink"/>
          </w:rPr>
          <w:t> Home Fire</w:t>
        </w:r>
      </w:hyperlink>
      <w:r>
        <w:rPr>
          <w:b/>
          <w:bCs/>
        </w:rPr>
        <w:t xml:space="preserve">, </w:t>
      </w:r>
      <w:r w:rsidR="001172AA" w:rsidRPr="001172AA">
        <w:rPr>
          <w:i/>
          <w:iCs/>
        </w:rPr>
        <w:t>Classical receptions journal</w:t>
      </w:r>
      <w:r>
        <w:rPr>
          <w:i/>
          <w:iCs/>
        </w:rPr>
        <w:t xml:space="preserve"> </w:t>
      </w:r>
      <w:r>
        <w:t>14 (2)</w:t>
      </w:r>
      <w:r w:rsidR="00EC5D85">
        <w:t>,</w:t>
      </w:r>
      <w:r w:rsidR="001172AA" w:rsidRPr="001172AA">
        <w:t xml:space="preserve"> 240-263</w:t>
      </w:r>
    </w:p>
    <w:p w14:paraId="1C12E490" w14:textId="77777777" w:rsidR="001172AA" w:rsidRDefault="001172AA"/>
    <w:p w14:paraId="39402603" w14:textId="77777777" w:rsidR="00852B5B" w:rsidRDefault="00852B5B" w:rsidP="00852B5B"/>
    <w:p w14:paraId="5A1B6E2A" w14:textId="5CAF43D1" w:rsidR="00B12614" w:rsidRDefault="00EC5D85">
      <w:pPr>
        <w:rPr>
          <w:b/>
          <w:bCs/>
        </w:rPr>
      </w:pPr>
      <w:r>
        <w:rPr>
          <w:b/>
          <w:bCs/>
        </w:rPr>
        <w:t xml:space="preserve">More than tricks and flicks: </w:t>
      </w:r>
      <w:r w:rsidR="00B12614">
        <w:rPr>
          <w:b/>
          <w:bCs/>
        </w:rPr>
        <w:t xml:space="preserve">developing practice to support choreography in schools and amateur </w:t>
      </w:r>
      <w:proofErr w:type="gramStart"/>
      <w:r w:rsidR="00B12614">
        <w:rPr>
          <w:b/>
          <w:bCs/>
        </w:rPr>
        <w:t>productions</w:t>
      </w:r>
      <w:proofErr w:type="gramEnd"/>
    </w:p>
    <w:p w14:paraId="342DF6E3" w14:textId="77777777" w:rsidR="00B12614" w:rsidRDefault="00B12614">
      <w:pPr>
        <w:rPr>
          <w:b/>
          <w:bCs/>
        </w:rPr>
      </w:pPr>
    </w:p>
    <w:p w14:paraId="5FA7DAF0" w14:textId="3EF751FF" w:rsidR="00B12614" w:rsidRDefault="00B12614">
      <w:r>
        <w:t xml:space="preserve">In contrast to the other performing arts, drama and music, dance teachers </w:t>
      </w:r>
      <w:proofErr w:type="gramStart"/>
      <w:r>
        <w:t>faces</w:t>
      </w:r>
      <w:proofErr w:type="gramEnd"/>
      <w:r>
        <w:t xml:space="preserve"> the challenge of developing core material: where school drama can build on a script with stage directions, and band leaders choose pieces appropriate for their members to play, dance leaders often need to devise the work for their dancers to perform. At the same time, choreography is </w:t>
      </w:r>
      <w:r w:rsidR="005935BD">
        <w:t xml:space="preserve">a </w:t>
      </w:r>
      <w:r>
        <w:t xml:space="preserve">hard and sometimes technical skill, bound by the confidence and expertise of the performers, the physical limits of the staging, and by the dance experience of the leader. This last is a particular issue in schools, where dance is frequently located in the physical education department, where all dance is one physical skill among many, and rarely if ever the speciality of any teacher. As a </w:t>
      </w:r>
      <w:r>
        <w:lastRenderedPageBreak/>
        <w:t xml:space="preserve">result, dance leaders in these circumstances can find themselves depending on the capabilities of </w:t>
      </w:r>
      <w:r w:rsidR="005935BD">
        <w:t>individual performers</w:t>
      </w:r>
      <w:r>
        <w:t xml:space="preserve"> (the tricks and flicks of the title), and on familiar patterns of movement. </w:t>
      </w:r>
      <w:r w:rsidR="00612FC5">
        <w:t xml:space="preserve">Through practice with a mixture of schools, amateur musical companies and dance schools, this project aims to develop a </w:t>
      </w:r>
      <w:proofErr w:type="gramStart"/>
      <w:r w:rsidR="00612FC5">
        <w:t>tool-kit</w:t>
      </w:r>
      <w:proofErr w:type="gramEnd"/>
      <w:r w:rsidR="00612FC5">
        <w:t xml:space="preserve"> for those hoping to extend their choreographic practice, and to stretch their creativity within the parameters in which they work.</w:t>
      </w:r>
    </w:p>
    <w:p w14:paraId="3ECAB49B" w14:textId="77777777" w:rsidR="00612FC5" w:rsidRDefault="00612FC5"/>
    <w:p w14:paraId="0F205EC9" w14:textId="1073247F" w:rsidR="00612FC5" w:rsidRDefault="00612FC5">
      <w:r>
        <w:t>This project acknowledges the work undertaken for many years by People Dancing: The Foundation for Community Dance, and Making Moves, the scheme begun in 2023 by Sadlers Wells, ‘</w:t>
      </w:r>
      <w:r w:rsidRPr="00612FC5">
        <w:t xml:space="preserve">to raise the profile of dance being created in school and youth </w:t>
      </w:r>
      <w:proofErr w:type="gramStart"/>
      <w:r w:rsidRPr="00612FC5">
        <w:t>settings</w:t>
      </w:r>
      <w:r>
        <w:t>’</w:t>
      </w:r>
      <w:proofErr w:type="gramEnd"/>
      <w:r>
        <w:t xml:space="preserve">. Both these bodies offer exciting opportunities for community dance practitioners to gain </w:t>
      </w:r>
      <w:proofErr w:type="spellStart"/>
      <w:r>
        <w:t>choreographical</w:t>
      </w:r>
      <w:proofErr w:type="spellEnd"/>
      <w:r>
        <w:t xml:space="preserve"> training and develop their practice. This project, however, seeks to intervene at an earlier level, to support teachers and amateur directors to extend their imagination and feel confident in delivery at school performance level. In this it acknowledges that dance may be less of priority in schools and in amateur productions than drama or music, and that even professional dance teachers working with examination syllabi may struggle with choreography.</w:t>
      </w:r>
    </w:p>
    <w:p w14:paraId="68DAA558" w14:textId="77777777" w:rsidR="00612FC5" w:rsidRDefault="00612FC5"/>
    <w:p w14:paraId="30C06BD5" w14:textId="12735AF4" w:rsidR="00612FC5" w:rsidRDefault="005935BD">
      <w:r>
        <w:t xml:space="preserve">This project falls into three sections. Firstly, using my knowledge of the city and the local area, I will identify 6 external partners, a mix of state schools, dance schools and amateur musical companies, who wish to develop their confidence in choreography. In conversation with these partners, I will draw together a description of current support in dance and choreography available in local region, and the kinds of performances a </w:t>
      </w:r>
      <w:proofErr w:type="gramStart"/>
      <w:r>
        <w:t>tool-kit</w:t>
      </w:r>
      <w:proofErr w:type="gramEnd"/>
      <w:r>
        <w:t xml:space="preserve"> would need to support. Secondly, through regular practice, for instance, supporting a production, I will work with the partners to understand key areas in which they need support, and to enable them to experiment with different modes of movement, to include all the dancers in their groups, and to make the dance experience satisfying to performers and audience alike. Finally, I will design and test the </w:t>
      </w:r>
      <w:proofErr w:type="gramStart"/>
      <w:r>
        <w:t>tool-kit</w:t>
      </w:r>
      <w:proofErr w:type="gramEnd"/>
      <w:r>
        <w:t xml:space="preserve"> through practice; the written aspect of my thesis will reflect both on the process of designing the toolkit and identify the weaknesses and </w:t>
      </w:r>
      <w:r w:rsidR="00B6594A">
        <w:t>opportunities in the development of amateur choreographers and how else these might be addressed.</w:t>
      </w:r>
    </w:p>
    <w:p w14:paraId="723219AC" w14:textId="77777777" w:rsidR="00612FC5" w:rsidRDefault="00612FC5"/>
    <w:p w14:paraId="04101BD9" w14:textId="77777777" w:rsidR="00612FC5" w:rsidRDefault="00612FC5"/>
    <w:p w14:paraId="166941B7" w14:textId="2D142996" w:rsidR="00B6594A" w:rsidRDefault="00B6594A">
      <w:r>
        <w:t xml:space="preserve">Making Moves, Sadlers Wells: </w:t>
      </w:r>
      <w:hyperlink r:id="rId7" w:history="1">
        <w:r w:rsidRPr="00A46053">
          <w:rPr>
            <w:rStyle w:val="Hyperlink"/>
          </w:rPr>
          <w:t>https://www.sadlerswells.com/take-part/making-moves/</w:t>
        </w:r>
      </w:hyperlink>
    </w:p>
    <w:p w14:paraId="7EECFB92" w14:textId="1D821609" w:rsidR="00B6594A" w:rsidRDefault="00B6594A">
      <w:r>
        <w:t xml:space="preserve">People Dancing: The Foundation for Community Dance: </w:t>
      </w:r>
      <w:hyperlink r:id="rId8" w:history="1">
        <w:r w:rsidRPr="00A46053">
          <w:rPr>
            <w:rStyle w:val="Hyperlink"/>
          </w:rPr>
          <w:t>https://www.communitydance.org.uk/about-us-2</w:t>
        </w:r>
      </w:hyperlink>
    </w:p>
    <w:p w14:paraId="145DF33B" w14:textId="617AF44D" w:rsidR="00B6594A" w:rsidRDefault="00B6594A">
      <w:r>
        <w:t xml:space="preserve">Burrows, Jonathan (2010) </w:t>
      </w:r>
      <w:r>
        <w:rPr>
          <w:i/>
          <w:iCs/>
        </w:rPr>
        <w:t>A Choreographer’s Handbook</w:t>
      </w:r>
      <w:r>
        <w:t>, London</w:t>
      </w:r>
    </w:p>
    <w:p w14:paraId="7041A762" w14:textId="3B00AB41" w:rsidR="00B6594A" w:rsidRDefault="00B6594A">
      <w:r>
        <w:t>Smith-</w:t>
      </w:r>
      <w:proofErr w:type="spellStart"/>
      <w:r>
        <w:t>Autard</w:t>
      </w:r>
      <w:proofErr w:type="spellEnd"/>
      <w:r>
        <w:t xml:space="preserve">, Jacqueline M (2005), </w:t>
      </w:r>
      <w:r>
        <w:rPr>
          <w:i/>
          <w:iCs/>
        </w:rPr>
        <w:t xml:space="preserve">Dance Composition: A </w:t>
      </w:r>
      <w:r w:rsidR="002F5C73">
        <w:rPr>
          <w:i/>
          <w:iCs/>
        </w:rPr>
        <w:t>Pr</w:t>
      </w:r>
      <w:r>
        <w:rPr>
          <w:i/>
          <w:iCs/>
        </w:rPr>
        <w:t>actical Guide to Creative Success in Dance-Making</w:t>
      </w:r>
      <w:r>
        <w:t xml:space="preserve"> 5</w:t>
      </w:r>
      <w:r w:rsidRPr="00B6594A">
        <w:rPr>
          <w:vertAlign w:val="superscript"/>
        </w:rPr>
        <w:t>th</w:t>
      </w:r>
      <w:r>
        <w:t xml:space="preserve"> </w:t>
      </w:r>
      <w:proofErr w:type="spellStart"/>
      <w:r>
        <w:t>edn</w:t>
      </w:r>
      <w:proofErr w:type="spellEnd"/>
      <w:r>
        <w:t>. London</w:t>
      </w:r>
    </w:p>
    <w:p w14:paraId="23F1789F" w14:textId="77777777" w:rsidR="00B6594A" w:rsidRDefault="00B6594A"/>
    <w:p w14:paraId="6D12309C" w14:textId="77777777" w:rsidR="00B6594A" w:rsidRDefault="00B6594A"/>
    <w:p w14:paraId="3BF305EE" w14:textId="6FC2FEF7" w:rsidR="00B6594A" w:rsidRDefault="00625BF4">
      <w:r>
        <w:rPr>
          <w:b/>
          <w:bCs/>
        </w:rPr>
        <w:t xml:space="preserve">Claiming the empire: two early translations of Virgil’s </w:t>
      </w:r>
      <w:r>
        <w:rPr>
          <w:b/>
          <w:bCs/>
          <w:i/>
          <w:iCs/>
        </w:rPr>
        <w:t>Aeneid</w:t>
      </w:r>
    </w:p>
    <w:p w14:paraId="3544A825" w14:textId="79759AF5" w:rsidR="000970F7" w:rsidRDefault="00C96340">
      <w:r>
        <w:t xml:space="preserve">As </w:t>
      </w:r>
      <w:proofErr w:type="spellStart"/>
      <w:r>
        <w:t>Kallendorf</w:t>
      </w:r>
      <w:proofErr w:type="spellEnd"/>
      <w:r>
        <w:t xml:space="preserve"> argues, </w:t>
      </w:r>
      <w:r w:rsidR="00995119">
        <w:t xml:space="preserve">the </w:t>
      </w:r>
      <w:r w:rsidR="00995119">
        <w:rPr>
          <w:i/>
          <w:iCs/>
        </w:rPr>
        <w:t>Aeneid</w:t>
      </w:r>
      <w:r w:rsidR="00995119">
        <w:t xml:space="preserve"> features as an imperial text for much of modern history, deployed both in support and in </w:t>
      </w:r>
      <w:r w:rsidR="00A53FA6">
        <w:t xml:space="preserve">critique. While the ability to read it </w:t>
      </w:r>
      <w:r w:rsidR="00D93003">
        <w:t xml:space="preserve">in Latin </w:t>
      </w:r>
      <w:r w:rsidR="00A53FA6">
        <w:t>– and under a previous prime minister – quote it, has</w:t>
      </w:r>
      <w:r w:rsidR="00D93003">
        <w:t xml:space="preserve"> often been used as a marker of education and thereby capability and intelligence, </w:t>
      </w:r>
      <w:r w:rsidR="00CA19BD">
        <w:t xml:space="preserve">translations have also been much used. This project investigates and compares the two earliest early modern </w:t>
      </w:r>
      <w:r w:rsidR="0024481F">
        <w:t xml:space="preserve">European </w:t>
      </w:r>
      <w:r w:rsidR="00CA19BD">
        <w:lastRenderedPageBreak/>
        <w:t xml:space="preserve">vernacular </w:t>
      </w:r>
      <w:r w:rsidR="00E15C64">
        <w:t xml:space="preserve">translations of the </w:t>
      </w:r>
      <w:r w:rsidR="00E15C64">
        <w:rPr>
          <w:i/>
          <w:iCs/>
        </w:rPr>
        <w:t>Aeneid</w:t>
      </w:r>
      <w:r w:rsidR="00E15C64">
        <w:t xml:space="preserve">, </w:t>
      </w:r>
      <w:r w:rsidR="00A3175A">
        <w:t xml:space="preserve">that </w:t>
      </w:r>
      <w:r w:rsidR="00DA1666">
        <w:t xml:space="preserve">into French </w:t>
      </w:r>
      <w:r w:rsidR="00A3175A">
        <w:t xml:space="preserve">by </w:t>
      </w:r>
      <w:proofErr w:type="spellStart"/>
      <w:r w:rsidR="00A3175A">
        <w:t>Octavien</w:t>
      </w:r>
      <w:proofErr w:type="spellEnd"/>
      <w:r w:rsidR="00A3175A">
        <w:t xml:space="preserve"> de St </w:t>
      </w:r>
      <w:proofErr w:type="spellStart"/>
      <w:r w:rsidR="00A3175A">
        <w:t>Gelais</w:t>
      </w:r>
      <w:proofErr w:type="spellEnd"/>
      <w:r w:rsidR="00A3175A">
        <w:t xml:space="preserve">, presented to </w:t>
      </w:r>
      <w:r w:rsidR="00DA1666">
        <w:t>Louis XII in 1500, and that into Older Scots by Gavin Douglas, finis</w:t>
      </w:r>
      <w:r w:rsidR="007F5424">
        <w:t xml:space="preserve">hed on St Mary Magdalene’s Day, 1513. </w:t>
      </w:r>
      <w:r w:rsidR="00BA3C58">
        <w:t>These</w:t>
      </w:r>
      <w:r w:rsidR="006E12ED">
        <w:t xml:space="preserve"> </w:t>
      </w:r>
      <w:r w:rsidR="000072F9">
        <w:t xml:space="preserve">works and their authors share commonalities: both Douglas and St </w:t>
      </w:r>
      <w:proofErr w:type="spellStart"/>
      <w:r w:rsidR="000072F9">
        <w:t>Gelais</w:t>
      </w:r>
      <w:proofErr w:type="spellEnd"/>
      <w:r w:rsidR="000072F9">
        <w:t xml:space="preserve"> are noblemen, both </w:t>
      </w:r>
      <w:r w:rsidR="00463268">
        <w:t xml:space="preserve">hold senior office in the church, both align with early humanism, both have some connection at court as well as with humanist circles in Paris. </w:t>
      </w:r>
      <w:r w:rsidR="00D202BD">
        <w:t xml:space="preserve">The works themselves are both </w:t>
      </w:r>
      <w:r w:rsidR="00BA684D">
        <w:t>concerned to represent</w:t>
      </w:r>
      <w:r w:rsidR="008C5A03">
        <w:t xml:space="preserve"> Virgil’s text as accurately as they can, and to present the wh</w:t>
      </w:r>
      <w:r w:rsidR="007615CF">
        <w:t xml:space="preserve">ole text, rather than excerpts </w:t>
      </w:r>
      <w:proofErr w:type="spellStart"/>
      <w:r w:rsidR="007615CF">
        <w:t>or</w:t>
      </w:r>
      <w:proofErr w:type="spellEnd"/>
      <w:r w:rsidR="007615CF">
        <w:t xml:space="preserve"> </w:t>
      </w:r>
      <w:r w:rsidR="007C008D">
        <w:t xml:space="preserve">summaries. </w:t>
      </w:r>
      <w:r w:rsidR="00E9136B">
        <w:t xml:space="preserve">For this project their particular interest lies in </w:t>
      </w:r>
      <w:r w:rsidR="005F6A9A">
        <w:t xml:space="preserve">their humanist commitment to translation, to the benefits of sharing Virgil’s text with as wide an audience as possible through their vernaculars. </w:t>
      </w:r>
    </w:p>
    <w:p w14:paraId="71CC59CA" w14:textId="77777777" w:rsidR="00451ED8" w:rsidRDefault="00451ED8"/>
    <w:p w14:paraId="04A4D9CB" w14:textId="1E7C3B89" w:rsidR="00451ED8" w:rsidRDefault="00451ED8">
      <w:r>
        <w:t xml:space="preserve">While there has been a recent resurgence of interest in Douglas (a revised edition of the </w:t>
      </w:r>
      <w:proofErr w:type="spellStart"/>
      <w:r>
        <w:rPr>
          <w:i/>
          <w:iCs/>
        </w:rPr>
        <w:t>Eneados</w:t>
      </w:r>
      <w:proofErr w:type="spellEnd"/>
      <w:r>
        <w:t xml:space="preserve">, his translation, </w:t>
      </w:r>
      <w:r w:rsidR="007D66A7">
        <w:t xml:space="preserve">and critical attention in essays and articles, see below), there has not been commensurate interest in St </w:t>
      </w:r>
      <w:proofErr w:type="spellStart"/>
      <w:r w:rsidR="007D66A7">
        <w:t>Gelais</w:t>
      </w:r>
      <w:proofErr w:type="spellEnd"/>
      <w:r w:rsidR="007D66A7">
        <w:t>’ translation (the most recent edition is to be found in a German series</w:t>
      </w:r>
      <w:r w:rsidR="0063686F">
        <w:t xml:space="preserve">). And yet St </w:t>
      </w:r>
      <w:proofErr w:type="spellStart"/>
      <w:r w:rsidR="0063686F">
        <w:t>Gelais</w:t>
      </w:r>
      <w:proofErr w:type="spellEnd"/>
      <w:r w:rsidR="0063686F">
        <w:t xml:space="preserve">’ </w:t>
      </w:r>
      <w:r w:rsidR="009E444A">
        <w:t>undertaking is radical</w:t>
      </w:r>
      <w:r w:rsidR="005749F6">
        <w:t xml:space="preserve">, and his translation the first of its kind in </w:t>
      </w:r>
      <w:r w:rsidR="002C4ACE">
        <w:t>European letters. While critical opinion is divided as to any possible relationship between the French and the Scots translation (</w:t>
      </w:r>
      <w:proofErr w:type="spellStart"/>
      <w:r w:rsidR="002C4ACE">
        <w:t>Bawcutt</w:t>
      </w:r>
      <w:proofErr w:type="spellEnd"/>
      <w:r w:rsidR="002C4ACE">
        <w:t xml:space="preserve"> says no, Calin says yes), there is certainly space for an extended comparison, of the texts, of their authors and of the cultural and </w:t>
      </w:r>
      <w:r w:rsidR="001F44D4">
        <w:t>literary contexts that received those works.</w:t>
      </w:r>
    </w:p>
    <w:p w14:paraId="4EAB14B1" w14:textId="77777777" w:rsidR="001F44D4" w:rsidRDefault="001F44D4"/>
    <w:p w14:paraId="50EA3167" w14:textId="00E6F0C3" w:rsidR="001F44D4" w:rsidRDefault="001F44D4">
      <w:r>
        <w:t>The research questions this project seeks to address through this comparative investigation are:</w:t>
      </w:r>
      <w:r w:rsidR="00DE17B5">
        <w:t xml:space="preserve"> what can be established regarding the intellectual milieu of St </w:t>
      </w:r>
      <w:proofErr w:type="spellStart"/>
      <w:r w:rsidR="00DE17B5">
        <w:t>Gelais</w:t>
      </w:r>
      <w:proofErr w:type="spellEnd"/>
      <w:r w:rsidR="00DE17B5">
        <w:t xml:space="preserve"> and Douglas</w:t>
      </w:r>
      <w:r w:rsidR="00952393">
        <w:t xml:space="preserve">, including whether they knew of or indeed knew each other; </w:t>
      </w:r>
      <w:r w:rsidR="00B305FA">
        <w:t xml:space="preserve">what kind of relationship do the translations have </w:t>
      </w:r>
      <w:r w:rsidR="00952393">
        <w:t xml:space="preserve">to Virgil’s text, including </w:t>
      </w:r>
      <w:r w:rsidR="00B305FA">
        <w:t xml:space="preserve">establishing if possible St </w:t>
      </w:r>
      <w:proofErr w:type="spellStart"/>
      <w:r w:rsidR="00B305FA">
        <w:t>Gelais</w:t>
      </w:r>
      <w:proofErr w:type="spellEnd"/>
      <w:r w:rsidR="00B305FA">
        <w:t xml:space="preserve">’ base text (Douglas’s is known to be the 1501 print by Badius </w:t>
      </w:r>
      <w:proofErr w:type="spellStart"/>
      <w:r w:rsidR="00B305FA">
        <w:t>Ascensius</w:t>
      </w:r>
      <w:proofErr w:type="spellEnd"/>
      <w:r w:rsidR="00B305FA">
        <w:t xml:space="preserve">); what kinds of metatext are provided by each translator and how does this affect </w:t>
      </w:r>
      <w:r w:rsidR="00714438">
        <w:t xml:space="preserve">readings of the text; and, finally, what are the audiences and after-lives of these translations and how influential are they on subsequent traditions of translation. </w:t>
      </w:r>
      <w:r w:rsidR="00342E75">
        <w:t xml:space="preserve">Because of the comparative absence of work on St </w:t>
      </w:r>
      <w:proofErr w:type="spellStart"/>
      <w:r w:rsidR="00342E75">
        <w:t>Gelais</w:t>
      </w:r>
      <w:proofErr w:type="spellEnd"/>
      <w:r w:rsidR="00342E75">
        <w:t xml:space="preserve">, this project will break new ground there, and </w:t>
      </w:r>
      <w:r w:rsidR="00872EC5">
        <w:t xml:space="preserve">potentially nuance further our understanding of the cultural relationships between </w:t>
      </w:r>
      <w:r w:rsidR="00703295">
        <w:t xml:space="preserve">Scotland and France </w:t>
      </w:r>
      <w:r w:rsidR="00B77AC8">
        <w:t>in the late fifteenth and early sixteenth centuries (Coombs</w:t>
      </w:r>
      <w:proofErr w:type="gramStart"/>
      <w:r w:rsidR="00B77AC8">
        <w:t>, )</w:t>
      </w:r>
      <w:proofErr w:type="gramEnd"/>
    </w:p>
    <w:p w14:paraId="6D64B845" w14:textId="77777777" w:rsidR="0024481F" w:rsidRPr="00E15C64" w:rsidRDefault="0024481F"/>
    <w:p w14:paraId="1D90287A" w14:textId="77777777" w:rsidR="00625BF4" w:rsidRDefault="00625BF4">
      <w:pPr>
        <w:rPr>
          <w:b/>
          <w:bCs/>
          <w:i/>
          <w:iCs/>
        </w:rPr>
      </w:pPr>
    </w:p>
    <w:p w14:paraId="0C968191" w14:textId="25296B59" w:rsidR="00625BF4" w:rsidRDefault="00085CE5">
      <w:pPr>
        <w:rPr>
          <w:b/>
        </w:rPr>
      </w:pPr>
      <w:r>
        <w:rPr>
          <w:b/>
        </w:rPr>
        <w:t xml:space="preserve">The computer says no: </w:t>
      </w:r>
      <w:r w:rsidR="008F231C">
        <w:rPr>
          <w:b/>
        </w:rPr>
        <w:t xml:space="preserve">ethical use of AI in legal </w:t>
      </w:r>
      <w:proofErr w:type="gramStart"/>
      <w:r w:rsidR="008F231C">
        <w:rPr>
          <w:b/>
        </w:rPr>
        <w:t>practice</w:t>
      </w:r>
      <w:proofErr w:type="gramEnd"/>
    </w:p>
    <w:p w14:paraId="5137280E" w14:textId="6D734F20" w:rsidR="00DC440E" w:rsidRDefault="00DC440E">
      <w:pPr>
        <w:rPr>
          <w:bCs/>
        </w:rPr>
      </w:pPr>
      <w:r>
        <w:rPr>
          <w:bCs/>
        </w:rPr>
        <w:t xml:space="preserve">While not </w:t>
      </w:r>
      <w:r w:rsidR="005E2332">
        <w:rPr>
          <w:bCs/>
        </w:rPr>
        <w:t xml:space="preserve">in fact driven by AI, Fujitsu’s part in the failures of Horizon and the impact on the lives of </w:t>
      </w:r>
      <w:r w:rsidR="00373140">
        <w:rPr>
          <w:bCs/>
        </w:rPr>
        <w:t xml:space="preserve">so many postmasters and mistresses has provided a focus for </w:t>
      </w:r>
      <w:r w:rsidR="00DA1946">
        <w:rPr>
          <w:bCs/>
        </w:rPr>
        <w:t xml:space="preserve">public anxiety around the defining role of information technology in daily life. </w:t>
      </w:r>
      <w:r w:rsidR="002707DA">
        <w:rPr>
          <w:bCs/>
        </w:rPr>
        <w:t xml:space="preserve"> This case, particularly, where </w:t>
      </w:r>
      <w:r w:rsidR="002D7DC0">
        <w:rPr>
          <w:bCs/>
        </w:rPr>
        <w:t xml:space="preserve">the outcomes of computer operations have been treated as definitive evidence of wrongdoing, </w:t>
      </w:r>
      <w:r w:rsidR="007727EA">
        <w:rPr>
          <w:bCs/>
        </w:rPr>
        <w:t xml:space="preserve">has </w:t>
      </w:r>
      <w:r w:rsidR="00F8662C">
        <w:rPr>
          <w:bCs/>
        </w:rPr>
        <w:t>crystallised a concern aroun</w:t>
      </w:r>
      <w:r w:rsidR="0091650B">
        <w:rPr>
          <w:bCs/>
        </w:rPr>
        <w:t>d the apparent implacability of computer judgements</w:t>
      </w:r>
      <w:r w:rsidR="00B178DD">
        <w:rPr>
          <w:bCs/>
        </w:rPr>
        <w:t xml:space="preserve">, and the ethics of </w:t>
      </w:r>
      <w:r w:rsidR="00CD0E4E">
        <w:rPr>
          <w:bCs/>
        </w:rPr>
        <w:t>embedding assumptions of computer infallibility into legal process</w:t>
      </w:r>
      <w:r w:rsidR="001F1208">
        <w:rPr>
          <w:bCs/>
        </w:rPr>
        <w:t>.</w:t>
      </w:r>
    </w:p>
    <w:p w14:paraId="570AD0C8" w14:textId="77777777" w:rsidR="00FC5FDC" w:rsidRDefault="00FC5FDC">
      <w:pPr>
        <w:rPr>
          <w:bCs/>
        </w:rPr>
      </w:pPr>
    </w:p>
    <w:p w14:paraId="5A5A179D" w14:textId="287FCE31" w:rsidR="00FC5FDC" w:rsidRDefault="00FC5FDC">
      <w:pPr>
        <w:rPr>
          <w:bCs/>
        </w:rPr>
      </w:pPr>
      <w:r>
        <w:rPr>
          <w:bCs/>
        </w:rPr>
        <w:t>The development of AI</w:t>
      </w:r>
      <w:r w:rsidR="001F1208">
        <w:rPr>
          <w:bCs/>
        </w:rPr>
        <w:t xml:space="preserve"> and its increasing use in legal practice</w:t>
      </w:r>
      <w:r w:rsidR="0008697A">
        <w:rPr>
          <w:bCs/>
        </w:rPr>
        <w:t xml:space="preserve"> presents similar concerns</w:t>
      </w:r>
      <w:r w:rsidR="001B6BE4">
        <w:rPr>
          <w:bCs/>
        </w:rPr>
        <w:t xml:space="preserve">. While it is evident to practitioners that AI software can significantly improve efficiency in routine tasks </w:t>
      </w:r>
      <w:r w:rsidR="0091236A">
        <w:rPr>
          <w:bCs/>
        </w:rPr>
        <w:t>–</w:t>
      </w:r>
      <w:r w:rsidR="001B6BE4">
        <w:rPr>
          <w:bCs/>
        </w:rPr>
        <w:t xml:space="preserve"> </w:t>
      </w:r>
      <w:r w:rsidR="0091236A">
        <w:rPr>
          <w:bCs/>
        </w:rPr>
        <w:t>at its lowest, perhaps, a far more tailored version of a standardised letter</w:t>
      </w:r>
      <w:r w:rsidR="00CD646F">
        <w:rPr>
          <w:bCs/>
        </w:rPr>
        <w:t xml:space="preserve">, to the </w:t>
      </w:r>
      <w:proofErr w:type="gramStart"/>
      <w:r w:rsidR="00CD646F">
        <w:rPr>
          <w:bCs/>
        </w:rPr>
        <w:t>general public</w:t>
      </w:r>
      <w:proofErr w:type="gramEnd"/>
      <w:r w:rsidR="00CD646F">
        <w:rPr>
          <w:bCs/>
        </w:rPr>
        <w:t xml:space="preserve"> and those affected directly by the legal </w:t>
      </w:r>
      <w:r w:rsidR="00CD646F">
        <w:rPr>
          <w:bCs/>
        </w:rPr>
        <w:lastRenderedPageBreak/>
        <w:t xml:space="preserve">processes in which it is used, it can appear to be </w:t>
      </w:r>
      <w:r w:rsidR="001131B3">
        <w:rPr>
          <w:bCs/>
        </w:rPr>
        <w:t xml:space="preserve">an abrogation of duty of care and an unsatisfactory substitution for individual judgements and support. </w:t>
      </w:r>
    </w:p>
    <w:p w14:paraId="4FEB6E88" w14:textId="77777777" w:rsidR="00A67E49" w:rsidRDefault="00A67E49">
      <w:pPr>
        <w:rPr>
          <w:bCs/>
        </w:rPr>
      </w:pPr>
    </w:p>
    <w:p w14:paraId="0883DDD8" w14:textId="424C228E" w:rsidR="00A67E49" w:rsidRDefault="00A67E49">
      <w:pPr>
        <w:rPr>
          <w:bCs/>
        </w:rPr>
      </w:pPr>
      <w:r>
        <w:rPr>
          <w:bCs/>
        </w:rPr>
        <w:t>Th</w:t>
      </w:r>
      <w:r w:rsidR="00BC5379">
        <w:rPr>
          <w:bCs/>
        </w:rPr>
        <w:t xml:space="preserve">ere are several layers to this project. The first is to establish as far as possible </w:t>
      </w:r>
      <w:r w:rsidR="00406123">
        <w:rPr>
          <w:bCs/>
        </w:rPr>
        <w:t xml:space="preserve">the current extent and the precise uses of AI in legal practice: given how fast the field is changing, this </w:t>
      </w:r>
      <w:r w:rsidR="00926BB5">
        <w:rPr>
          <w:bCs/>
        </w:rPr>
        <w:t xml:space="preserve">can only be provisional to the point of submission. It will further interrogate how much AI has been adopted consciously, that is, with due and deliberate attention to </w:t>
      </w:r>
      <w:r w:rsidR="00F8032A">
        <w:rPr>
          <w:bCs/>
        </w:rPr>
        <w:t xml:space="preserve">the effects of its adoption, and the ethical issues that accompany it. The second question is key to </w:t>
      </w:r>
      <w:r w:rsidR="00104B79">
        <w:rPr>
          <w:bCs/>
        </w:rPr>
        <w:t xml:space="preserve">the whole project, which intends to argue that the facilities provided by AI to legal practice must be consciously </w:t>
      </w:r>
      <w:proofErr w:type="gramStart"/>
      <w:r w:rsidR="00104B79">
        <w:rPr>
          <w:bCs/>
        </w:rPr>
        <w:t>adopted</w:t>
      </w:r>
      <w:r w:rsidR="00370BF5">
        <w:rPr>
          <w:bCs/>
        </w:rPr>
        <w:t>, and</w:t>
      </w:r>
      <w:proofErr w:type="gramEnd"/>
      <w:r w:rsidR="00370BF5">
        <w:rPr>
          <w:bCs/>
        </w:rPr>
        <w:t xml:space="preserve"> address the concerns and needs not only of practitioners but those affected by that practice. </w:t>
      </w:r>
      <w:proofErr w:type="gramStart"/>
      <w:r w:rsidR="004B6FB9">
        <w:rPr>
          <w:bCs/>
        </w:rPr>
        <w:t>In particular, this</w:t>
      </w:r>
      <w:proofErr w:type="gramEnd"/>
      <w:r w:rsidR="004B6FB9">
        <w:rPr>
          <w:bCs/>
        </w:rPr>
        <w:t xml:space="preserve"> project will </w:t>
      </w:r>
      <w:r w:rsidR="00384F4E">
        <w:rPr>
          <w:bCs/>
        </w:rPr>
        <w:t>present</w:t>
      </w:r>
      <w:r w:rsidR="004B6FB9">
        <w:rPr>
          <w:bCs/>
        </w:rPr>
        <w:t xml:space="preserve"> three </w:t>
      </w:r>
      <w:r w:rsidR="00384F4E">
        <w:rPr>
          <w:bCs/>
        </w:rPr>
        <w:t>case-studies</w:t>
      </w:r>
      <w:r w:rsidR="000B5CDA">
        <w:rPr>
          <w:bCs/>
        </w:rPr>
        <w:t xml:space="preserve">, looking at the rationale for using AI, the jurisprudential arguments and the ethical arguments for its adoption. </w:t>
      </w:r>
      <w:r w:rsidR="00355FA2">
        <w:rPr>
          <w:bCs/>
        </w:rPr>
        <w:t xml:space="preserve">These case studies will </w:t>
      </w:r>
      <w:proofErr w:type="gramStart"/>
      <w:r w:rsidR="00355FA2">
        <w:rPr>
          <w:bCs/>
        </w:rPr>
        <w:t>looking</w:t>
      </w:r>
      <w:proofErr w:type="gramEnd"/>
      <w:r w:rsidR="00355FA2">
        <w:rPr>
          <w:bCs/>
        </w:rPr>
        <w:t xml:space="preserve"> at automated judgements on low-level offences such as non-payment of TV licenses and vehicle tax; </w:t>
      </w:r>
      <w:r w:rsidR="00633F7A">
        <w:rPr>
          <w:bCs/>
        </w:rPr>
        <w:t xml:space="preserve">the gathering of evidence </w:t>
      </w:r>
      <w:r w:rsidR="009C3CF9">
        <w:rPr>
          <w:bCs/>
        </w:rPr>
        <w:t>and its interpretation in DBS checks</w:t>
      </w:r>
      <w:r w:rsidR="009D164B">
        <w:rPr>
          <w:bCs/>
        </w:rPr>
        <w:t xml:space="preserve"> and in establishing good reputation through searches of social media accounts; </w:t>
      </w:r>
      <w:r w:rsidR="000F0A53">
        <w:rPr>
          <w:bCs/>
        </w:rPr>
        <w:t xml:space="preserve">and in the drawing up of key contracts, particularly employment. </w:t>
      </w:r>
      <w:r w:rsidR="00282D00">
        <w:rPr>
          <w:bCs/>
        </w:rPr>
        <w:t xml:space="preserve">The final layer will seek </w:t>
      </w:r>
      <w:r w:rsidR="002965FE">
        <w:rPr>
          <w:bCs/>
        </w:rPr>
        <w:t xml:space="preserve">to draw up a </w:t>
      </w:r>
      <w:r w:rsidR="005A1924">
        <w:rPr>
          <w:bCs/>
        </w:rPr>
        <w:t>base code for ethical usage to reflect the broadest range of law users and practitioners.</w:t>
      </w:r>
    </w:p>
    <w:p w14:paraId="1A3A2C7B" w14:textId="77777777" w:rsidR="00F1744C" w:rsidRDefault="00F1744C">
      <w:pPr>
        <w:rPr>
          <w:bCs/>
        </w:rPr>
      </w:pPr>
    </w:p>
    <w:p w14:paraId="0FA171B8" w14:textId="2FF6ACF0" w:rsidR="009A4106" w:rsidRPr="00DC440E" w:rsidRDefault="009C20D8">
      <w:pPr>
        <w:rPr>
          <w:bCs/>
        </w:rPr>
      </w:pPr>
      <w:r>
        <w:rPr>
          <w:bCs/>
        </w:rPr>
        <w:t>I</w:t>
      </w:r>
      <w:r w:rsidR="00216D78">
        <w:rPr>
          <w:bCs/>
        </w:rPr>
        <w:t>n</w:t>
      </w:r>
      <w:r>
        <w:rPr>
          <w:bCs/>
        </w:rPr>
        <w:t xml:space="preserve"> </w:t>
      </w:r>
      <w:proofErr w:type="gramStart"/>
      <w:r>
        <w:rPr>
          <w:bCs/>
        </w:rPr>
        <w:t xml:space="preserve">particular, </w:t>
      </w:r>
      <w:r w:rsidR="009A4106">
        <w:rPr>
          <w:bCs/>
        </w:rPr>
        <w:t xml:space="preserve"> discussion</w:t>
      </w:r>
      <w:proofErr w:type="gramEnd"/>
      <w:r w:rsidR="009A4106">
        <w:rPr>
          <w:bCs/>
        </w:rPr>
        <w:t xml:space="preserve"> will include the material made available for machine learning, and whether it will bias decision making; </w:t>
      </w:r>
      <w:r w:rsidR="00593455">
        <w:rPr>
          <w:bCs/>
        </w:rPr>
        <w:t>whether and where there will be opportunities</w:t>
      </w:r>
      <w:r w:rsidR="000A638F">
        <w:rPr>
          <w:bCs/>
        </w:rPr>
        <w:t xml:space="preserve"> </w:t>
      </w:r>
      <w:r w:rsidR="00463DF3">
        <w:rPr>
          <w:bCs/>
        </w:rPr>
        <w:t>within an automated system to allow for exceptions or alternative outcomes</w:t>
      </w:r>
      <w:r w:rsidR="004A62EE">
        <w:rPr>
          <w:bCs/>
        </w:rPr>
        <w:t xml:space="preserve">; and how judgement algorithms, particularly around language use, are to be applied. </w:t>
      </w:r>
      <w:r w:rsidR="008D42A0">
        <w:rPr>
          <w:bCs/>
        </w:rPr>
        <w:t>Notwithstanding t</w:t>
      </w:r>
      <w:r w:rsidR="0010415E">
        <w:rPr>
          <w:bCs/>
        </w:rPr>
        <w:t xml:space="preserve">he </w:t>
      </w:r>
      <w:proofErr w:type="gramStart"/>
      <w:r w:rsidR="0010415E">
        <w:rPr>
          <w:bCs/>
        </w:rPr>
        <w:t>fast moving</w:t>
      </w:r>
      <w:proofErr w:type="gramEnd"/>
      <w:r w:rsidR="0010415E">
        <w:rPr>
          <w:bCs/>
        </w:rPr>
        <w:t xml:space="preserve"> nat</w:t>
      </w:r>
      <w:r w:rsidR="00EA407C">
        <w:rPr>
          <w:bCs/>
        </w:rPr>
        <w:t>ure of th</w:t>
      </w:r>
      <w:r w:rsidR="008D42A0">
        <w:rPr>
          <w:bCs/>
        </w:rPr>
        <w:t>is field, the thesis will aim to devise a fundamental set of ethical practices</w:t>
      </w:r>
      <w:r w:rsidR="00287078">
        <w:rPr>
          <w:bCs/>
        </w:rPr>
        <w:t>, recognising current and future areas of concern</w:t>
      </w:r>
      <w:r w:rsidR="002950DB">
        <w:rPr>
          <w:bCs/>
        </w:rPr>
        <w:t>.</w:t>
      </w:r>
    </w:p>
    <w:p w14:paraId="6BB10E5F" w14:textId="77777777" w:rsidR="008F231C" w:rsidRDefault="008F231C">
      <w:pPr>
        <w:rPr>
          <w:b/>
        </w:rPr>
      </w:pPr>
    </w:p>
    <w:p w14:paraId="349CFBAE" w14:textId="4A5EFDDC" w:rsidR="008F231C" w:rsidRDefault="000A2127">
      <w:pPr>
        <w:rPr>
          <w:b/>
        </w:rPr>
      </w:pPr>
      <w:r>
        <w:rPr>
          <w:b/>
        </w:rPr>
        <w:t>Swings and roundabouts</w:t>
      </w:r>
      <w:r w:rsidR="00457C9B">
        <w:rPr>
          <w:b/>
        </w:rPr>
        <w:t xml:space="preserve">: </w:t>
      </w:r>
      <w:r>
        <w:rPr>
          <w:b/>
        </w:rPr>
        <w:t>a</w:t>
      </w:r>
      <w:r w:rsidR="00636799">
        <w:rPr>
          <w:b/>
        </w:rPr>
        <w:t xml:space="preserve"> </w:t>
      </w:r>
      <w:r>
        <w:rPr>
          <w:b/>
        </w:rPr>
        <w:t xml:space="preserve">cultural </w:t>
      </w:r>
      <w:r w:rsidR="00636799">
        <w:rPr>
          <w:b/>
        </w:rPr>
        <w:t>history of the</w:t>
      </w:r>
      <w:r w:rsidR="001E61E9">
        <w:rPr>
          <w:b/>
        </w:rPr>
        <w:t xml:space="preserve"> public play park in England, </w:t>
      </w:r>
      <w:r w:rsidR="009E1B04">
        <w:rPr>
          <w:b/>
        </w:rPr>
        <w:t>1</w:t>
      </w:r>
      <w:r w:rsidR="00B77AC8">
        <w:rPr>
          <w:b/>
        </w:rPr>
        <w:t xml:space="preserve">945 </w:t>
      </w:r>
      <w:r w:rsidR="009E1B04">
        <w:rPr>
          <w:b/>
        </w:rPr>
        <w:t>to present-day</w:t>
      </w:r>
    </w:p>
    <w:p w14:paraId="32B04A82" w14:textId="52CCBF71" w:rsidR="0085470B" w:rsidRPr="0085470B" w:rsidRDefault="00695801">
      <w:pPr>
        <w:rPr>
          <w:bCs/>
        </w:rPr>
      </w:pPr>
      <w:r>
        <w:rPr>
          <w:bCs/>
        </w:rPr>
        <w:t>Public p</w:t>
      </w:r>
      <w:r w:rsidR="0085470B">
        <w:rPr>
          <w:bCs/>
        </w:rPr>
        <w:t>layparks are a</w:t>
      </w:r>
      <w:r w:rsidR="00E50A3E">
        <w:rPr>
          <w:bCs/>
        </w:rPr>
        <w:t xml:space="preserve"> common </w:t>
      </w:r>
      <w:r>
        <w:rPr>
          <w:bCs/>
        </w:rPr>
        <w:t>feature</w:t>
      </w:r>
      <w:r w:rsidR="00E50A3E">
        <w:rPr>
          <w:bCs/>
        </w:rPr>
        <w:t xml:space="preserve"> of the physical and cultural landscape in </w:t>
      </w:r>
      <w:r>
        <w:rPr>
          <w:bCs/>
        </w:rPr>
        <w:t>Great Britain. The</w:t>
      </w:r>
      <w:r w:rsidR="004B27A1">
        <w:rPr>
          <w:bCs/>
        </w:rPr>
        <w:t>y serve as safe spaces for outdoor and physical play</w:t>
      </w:r>
      <w:r w:rsidR="00905809">
        <w:rPr>
          <w:bCs/>
        </w:rPr>
        <w:t xml:space="preserve">, often for children who do not have access to other facilities; as meeting points for parents and carers, to </w:t>
      </w:r>
      <w:r w:rsidR="00F5588F">
        <w:rPr>
          <w:bCs/>
        </w:rPr>
        <w:t xml:space="preserve">be able to form connections while watching their children play, and, more illicitly, as gathering points for </w:t>
      </w:r>
      <w:r w:rsidR="00C3424A">
        <w:rPr>
          <w:bCs/>
        </w:rPr>
        <w:t>older children and adolescents</w:t>
      </w:r>
      <w:r w:rsidR="00056FE9">
        <w:rPr>
          <w:bCs/>
        </w:rPr>
        <w:t xml:space="preserve">, escaping parental supervision while returning to a childhood space. This project </w:t>
      </w:r>
      <w:r w:rsidR="00B73674">
        <w:rPr>
          <w:bCs/>
        </w:rPr>
        <w:t xml:space="preserve">seeks to investigate the post-WWII history of the playpark, </w:t>
      </w:r>
      <w:r w:rsidR="00714B16">
        <w:rPr>
          <w:bCs/>
        </w:rPr>
        <w:t xml:space="preserve">the cultural and political motivations for their support and development, </w:t>
      </w:r>
      <w:r w:rsidR="008D6DED">
        <w:rPr>
          <w:bCs/>
        </w:rPr>
        <w:t>their function as a safe play space, and how that definition of ‘safe’ has changed, both in terms of supervision and equipment</w:t>
      </w:r>
      <w:r w:rsidR="007730B3">
        <w:rPr>
          <w:bCs/>
        </w:rPr>
        <w:t xml:space="preserve">, and the changes in attitude towards this kind of public </w:t>
      </w:r>
      <w:proofErr w:type="spellStart"/>
      <w:r w:rsidR="007730B3">
        <w:rPr>
          <w:bCs/>
        </w:rPr>
        <w:t>spe</w:t>
      </w:r>
      <w:proofErr w:type="spellEnd"/>
      <w:r w:rsidR="007730B3">
        <w:rPr>
          <w:bCs/>
        </w:rPr>
        <w:t xml:space="preserve">, </w:t>
      </w:r>
      <w:r w:rsidR="00715996">
        <w:rPr>
          <w:bCs/>
        </w:rPr>
        <w:t xml:space="preserve">with the increasing availability of play equipment for private gardens on the one hand, and the desperate need for </w:t>
      </w:r>
      <w:r w:rsidR="000E3FDD">
        <w:rPr>
          <w:bCs/>
        </w:rPr>
        <w:t xml:space="preserve">urban </w:t>
      </w:r>
      <w:r w:rsidR="00715996">
        <w:rPr>
          <w:bCs/>
        </w:rPr>
        <w:t xml:space="preserve">outdoor space </w:t>
      </w:r>
      <w:r w:rsidR="000E3FDD">
        <w:rPr>
          <w:bCs/>
        </w:rPr>
        <w:t xml:space="preserve">for children </w:t>
      </w:r>
      <w:r w:rsidR="00715996">
        <w:rPr>
          <w:bCs/>
        </w:rPr>
        <w:t>evident during the pandemic res</w:t>
      </w:r>
      <w:r w:rsidR="00E847C4">
        <w:rPr>
          <w:bCs/>
        </w:rPr>
        <w:t xml:space="preserve">trictions. Finally, using oral history and ethnographical methodologies, it will consider the cultural history of the playpark, through interviews across a range of demographic groupings, all focused on Birmingham as a city, and </w:t>
      </w:r>
      <w:r w:rsidR="0042332B">
        <w:rPr>
          <w:bCs/>
        </w:rPr>
        <w:t>Warwickshire as a county with towns and villages. While play parks can be found across the UK, this project is consciously focused on England</w:t>
      </w:r>
      <w:r w:rsidR="002C3991">
        <w:rPr>
          <w:bCs/>
        </w:rPr>
        <w:t xml:space="preserve">, acknowledging that the post-war lived experience in Northern Ireland was radically </w:t>
      </w:r>
      <w:r w:rsidR="002C3991">
        <w:rPr>
          <w:bCs/>
        </w:rPr>
        <w:lastRenderedPageBreak/>
        <w:t xml:space="preserve">different to that in the UK, </w:t>
      </w:r>
      <w:r w:rsidR="00FD0D39">
        <w:rPr>
          <w:bCs/>
        </w:rPr>
        <w:t xml:space="preserve">and that Wales and Scotland are </w:t>
      </w:r>
      <w:r w:rsidR="000F45FF">
        <w:rPr>
          <w:bCs/>
        </w:rPr>
        <w:t xml:space="preserve">now </w:t>
      </w:r>
      <w:r w:rsidR="00FD0D39">
        <w:rPr>
          <w:bCs/>
        </w:rPr>
        <w:t>devolved administrations</w:t>
      </w:r>
      <w:r w:rsidR="000F45FF">
        <w:rPr>
          <w:bCs/>
        </w:rPr>
        <w:t>.</w:t>
      </w:r>
    </w:p>
    <w:p w14:paraId="3368628D" w14:textId="77777777" w:rsidR="000A2127" w:rsidRDefault="000A2127">
      <w:pPr>
        <w:rPr>
          <w:b/>
        </w:rPr>
      </w:pPr>
    </w:p>
    <w:p w14:paraId="005D40AC" w14:textId="6A19FF84" w:rsidR="002A385C" w:rsidRDefault="00A0725E">
      <w:pPr>
        <w:rPr>
          <w:bCs/>
        </w:rPr>
      </w:pPr>
      <w:r>
        <w:rPr>
          <w:bCs/>
        </w:rPr>
        <w:t>Ackn</w:t>
      </w:r>
      <w:r w:rsidR="00303582">
        <w:rPr>
          <w:bCs/>
        </w:rPr>
        <w:t xml:space="preserve">owledging also that </w:t>
      </w:r>
      <w:r w:rsidR="00014DCB">
        <w:rPr>
          <w:bCs/>
        </w:rPr>
        <w:t>these are large questions</w:t>
      </w:r>
      <w:r w:rsidR="00303582">
        <w:rPr>
          <w:bCs/>
        </w:rPr>
        <w:t xml:space="preserve">, overlapping with the work of </w:t>
      </w:r>
      <w:proofErr w:type="gramStart"/>
      <w:r w:rsidR="00303582">
        <w:rPr>
          <w:bCs/>
        </w:rPr>
        <w:t>a number of</w:t>
      </w:r>
      <w:proofErr w:type="gramEnd"/>
      <w:r w:rsidR="00303582">
        <w:rPr>
          <w:bCs/>
        </w:rPr>
        <w:t xml:space="preserve"> agencies and activist organisations, </w:t>
      </w:r>
      <w:r w:rsidR="00014DCB">
        <w:rPr>
          <w:bCs/>
        </w:rPr>
        <w:t xml:space="preserve">the oral history </w:t>
      </w:r>
      <w:r w:rsidR="00520CF1">
        <w:rPr>
          <w:bCs/>
        </w:rPr>
        <w:t>evidence</w:t>
      </w:r>
      <w:r w:rsidR="005224C6">
        <w:rPr>
          <w:bCs/>
        </w:rPr>
        <w:t xml:space="preserve">, together with consideration of written records in newspapers and other mass media, will be the most </w:t>
      </w:r>
      <w:r w:rsidR="00520CF1">
        <w:rPr>
          <w:bCs/>
        </w:rPr>
        <w:t xml:space="preserve">important aspect. The intention is to reflect the experiences </w:t>
      </w:r>
      <w:r w:rsidR="00067FC4">
        <w:rPr>
          <w:bCs/>
        </w:rPr>
        <w:t xml:space="preserve">of playparks and attitudes to them </w:t>
      </w:r>
      <w:r w:rsidR="00520CF1">
        <w:rPr>
          <w:bCs/>
        </w:rPr>
        <w:t>of as many different communities and age</w:t>
      </w:r>
      <w:r w:rsidR="00067FC4">
        <w:rPr>
          <w:bCs/>
        </w:rPr>
        <w:t xml:space="preserve"> groups in Birmingham and Warwickshire, </w:t>
      </w:r>
      <w:proofErr w:type="gramStart"/>
      <w:r w:rsidR="00067FC4">
        <w:rPr>
          <w:bCs/>
        </w:rPr>
        <w:t>in order to</w:t>
      </w:r>
      <w:proofErr w:type="gramEnd"/>
      <w:r w:rsidR="00067FC4">
        <w:rPr>
          <w:bCs/>
        </w:rPr>
        <w:t xml:space="preserve"> understand what communities have valued about their playparks, </w:t>
      </w:r>
      <w:r w:rsidR="00DF323B">
        <w:rPr>
          <w:bCs/>
        </w:rPr>
        <w:t xml:space="preserve">what they see as the benefits and the risks, and whether attitudes to communal experience and play have changed significantly over time, </w:t>
      </w:r>
      <w:r w:rsidR="0069460D">
        <w:rPr>
          <w:bCs/>
        </w:rPr>
        <w:t xml:space="preserve">and if so, why. </w:t>
      </w:r>
      <w:r w:rsidR="00564A7A">
        <w:rPr>
          <w:bCs/>
        </w:rPr>
        <w:t xml:space="preserve">It is expected that this will reflect some national campaigns, such as Esther </w:t>
      </w:r>
      <w:proofErr w:type="spellStart"/>
      <w:r w:rsidR="00564A7A">
        <w:rPr>
          <w:bCs/>
        </w:rPr>
        <w:t>Rantzen’s</w:t>
      </w:r>
      <w:proofErr w:type="spellEnd"/>
      <w:r w:rsidR="00564A7A">
        <w:rPr>
          <w:bCs/>
        </w:rPr>
        <w:t xml:space="preserve"> for </w:t>
      </w:r>
      <w:r w:rsidR="00E15724">
        <w:rPr>
          <w:bCs/>
        </w:rPr>
        <w:t xml:space="preserve">safer ground coverings, </w:t>
      </w:r>
      <w:proofErr w:type="gramStart"/>
      <w:r w:rsidR="00E15724">
        <w:rPr>
          <w:bCs/>
        </w:rPr>
        <w:t>and also</w:t>
      </w:r>
      <w:proofErr w:type="gramEnd"/>
      <w:r w:rsidR="00E15724">
        <w:rPr>
          <w:bCs/>
        </w:rPr>
        <w:t xml:space="preserve"> local concerns about anti-social behaviour and public cost</w:t>
      </w:r>
      <w:r w:rsidR="00ED3A15">
        <w:rPr>
          <w:bCs/>
        </w:rPr>
        <w:t xml:space="preserve">; it may also reveal different needs and values across different sections of the communities. </w:t>
      </w:r>
    </w:p>
    <w:p w14:paraId="42440E1A" w14:textId="77777777" w:rsidR="00A865B8" w:rsidRDefault="00A865B8">
      <w:pPr>
        <w:rPr>
          <w:bCs/>
        </w:rPr>
      </w:pPr>
    </w:p>
    <w:p w14:paraId="2145928B" w14:textId="6838A382" w:rsidR="003676C3" w:rsidRPr="002B7A5A" w:rsidRDefault="00A865B8" w:rsidP="001B7347">
      <w:pPr>
        <w:pStyle w:val="Heading3"/>
        <w:spacing w:before="0" w:after="0"/>
        <w:rPr>
          <w:rFonts w:cs="Times New Roman (Headings CS)"/>
          <w:bCs/>
          <w:sz w:val="24"/>
        </w:rPr>
      </w:pPr>
      <w:r w:rsidRPr="002B7A5A">
        <w:rPr>
          <w:rFonts w:cs="Times New Roman (Headings CS)"/>
          <w:bCs/>
          <w:sz w:val="24"/>
        </w:rPr>
        <w:t xml:space="preserve">Work in this area has previously often </w:t>
      </w:r>
      <w:r w:rsidR="006B1E9F" w:rsidRPr="002B7A5A">
        <w:rPr>
          <w:rFonts w:cs="Times New Roman (Headings CS)"/>
          <w:bCs/>
          <w:sz w:val="24"/>
        </w:rPr>
        <w:t>been done in disciplines such as education</w:t>
      </w:r>
      <w:r w:rsidR="003676C3" w:rsidRPr="002B7A5A">
        <w:rPr>
          <w:rFonts w:cs="Times New Roman (Headings CS)"/>
          <w:bCs/>
          <w:sz w:val="24"/>
        </w:rPr>
        <w:t xml:space="preserve">, </w:t>
      </w:r>
      <w:r w:rsidR="006B1E9F" w:rsidRPr="002B7A5A">
        <w:rPr>
          <w:rFonts w:cs="Times New Roman (Headings CS)"/>
          <w:bCs/>
          <w:sz w:val="24"/>
        </w:rPr>
        <w:t xml:space="preserve">urban and town </w:t>
      </w:r>
      <w:proofErr w:type="gramStart"/>
      <w:r w:rsidR="006B1E9F" w:rsidRPr="002B7A5A">
        <w:rPr>
          <w:rFonts w:cs="Times New Roman (Headings CS)"/>
          <w:bCs/>
          <w:sz w:val="24"/>
        </w:rPr>
        <w:t>planning</w:t>
      </w:r>
      <w:proofErr w:type="gramEnd"/>
      <w:r w:rsidR="003676C3" w:rsidRPr="002B7A5A">
        <w:rPr>
          <w:rFonts w:cs="Times New Roman (Headings CS)"/>
          <w:bCs/>
          <w:sz w:val="24"/>
        </w:rPr>
        <w:t xml:space="preserve"> and public health. While acknowledging the importance of this work, and its contribution to the definitions, limitations and formal understandings of the benefits and risks of the play park, this study will </w:t>
      </w:r>
      <w:r w:rsidR="00F25FEC" w:rsidRPr="002B7A5A">
        <w:rPr>
          <w:rFonts w:cs="Times New Roman (Headings CS)"/>
          <w:bCs/>
          <w:sz w:val="24"/>
        </w:rPr>
        <w:t xml:space="preserve">focus rather on current experience, recollection and nostalgia, and the place of the play park </w:t>
      </w:r>
      <w:r w:rsidR="00C452B0" w:rsidRPr="002B7A5A">
        <w:rPr>
          <w:rFonts w:cs="Times New Roman (Headings CS)"/>
          <w:bCs/>
          <w:sz w:val="24"/>
        </w:rPr>
        <w:t xml:space="preserve">in community and individual narratives, exploring its cultural valence as well as its </w:t>
      </w:r>
      <w:r w:rsidR="00C0411B" w:rsidRPr="002B7A5A">
        <w:rPr>
          <w:rFonts w:cs="Times New Roman (Headings CS)"/>
          <w:bCs/>
          <w:sz w:val="24"/>
        </w:rPr>
        <w:t>measurable impacts on wellbeing. At a point where</w:t>
      </w:r>
      <w:r w:rsidR="00B765C5" w:rsidRPr="002B7A5A">
        <w:rPr>
          <w:rFonts w:cs="Times New Roman (Headings CS)"/>
          <w:bCs/>
          <w:sz w:val="24"/>
        </w:rPr>
        <w:t xml:space="preserve"> children’s outdoor space, particularly school playing fields, has been</w:t>
      </w:r>
      <w:r w:rsidR="00BF4740" w:rsidRPr="002B7A5A">
        <w:rPr>
          <w:rFonts w:cs="Times New Roman (Headings CS)"/>
          <w:bCs/>
          <w:sz w:val="24"/>
        </w:rPr>
        <w:t xml:space="preserve"> significantly reduced, and where ‘playing out’ without parental supervision has become rarer, this project is timely in its concern</w:t>
      </w:r>
      <w:r w:rsidR="002B7A5A" w:rsidRPr="002B7A5A">
        <w:rPr>
          <w:rFonts w:cs="Times New Roman (Headings CS)"/>
          <w:bCs/>
          <w:sz w:val="24"/>
        </w:rPr>
        <w:t xml:space="preserve"> to capture and understand the history of this familiar feature of town and city scape.</w:t>
      </w:r>
    </w:p>
    <w:p w14:paraId="5EFB5F47" w14:textId="77777777" w:rsidR="003676C3" w:rsidRDefault="003676C3" w:rsidP="001B7347">
      <w:pPr>
        <w:pStyle w:val="Heading3"/>
        <w:spacing w:before="0" w:after="0"/>
        <w:rPr>
          <w:bCs/>
        </w:rPr>
      </w:pPr>
    </w:p>
    <w:p w14:paraId="13055185" w14:textId="77777777" w:rsidR="00520CF1" w:rsidRDefault="00520CF1">
      <w:pPr>
        <w:rPr>
          <w:bCs/>
        </w:rPr>
      </w:pPr>
    </w:p>
    <w:p w14:paraId="1B945483" w14:textId="77777777" w:rsidR="00520CF1" w:rsidRDefault="00520CF1">
      <w:pPr>
        <w:rPr>
          <w:bCs/>
        </w:rPr>
      </w:pPr>
    </w:p>
    <w:p w14:paraId="19B4FE07" w14:textId="77777777" w:rsidR="00520CF1" w:rsidRPr="00520CF1" w:rsidRDefault="00520CF1">
      <w:pPr>
        <w:rPr>
          <w:bCs/>
        </w:rPr>
      </w:pPr>
    </w:p>
    <w:p w14:paraId="111A12B7" w14:textId="51CA7BBD" w:rsidR="002A385C" w:rsidRDefault="001F1EF6">
      <w:pPr>
        <w:rPr>
          <w:b/>
        </w:rPr>
      </w:pPr>
      <w:r>
        <w:rPr>
          <w:b/>
        </w:rPr>
        <w:t>Balls: the understanding and representation of testicles</w:t>
      </w:r>
      <w:r w:rsidR="00A02122">
        <w:rPr>
          <w:b/>
        </w:rPr>
        <w:t>, 1770-1820</w:t>
      </w:r>
    </w:p>
    <w:p w14:paraId="10E4DDFA" w14:textId="22F6295A" w:rsidR="00A02122" w:rsidRDefault="00AF5CC1">
      <w:pPr>
        <w:rPr>
          <w:bCs/>
        </w:rPr>
      </w:pPr>
      <w:proofErr w:type="gramStart"/>
      <w:r>
        <w:rPr>
          <w:bCs/>
        </w:rPr>
        <w:t xml:space="preserve">While </w:t>
      </w:r>
      <w:r w:rsidR="00A02122">
        <w:rPr>
          <w:bCs/>
        </w:rPr>
        <w:t xml:space="preserve"> there</w:t>
      </w:r>
      <w:proofErr w:type="gramEnd"/>
      <w:r w:rsidR="00A02122">
        <w:rPr>
          <w:bCs/>
        </w:rPr>
        <w:t xml:space="preserve"> has </w:t>
      </w:r>
      <w:r>
        <w:rPr>
          <w:bCs/>
        </w:rPr>
        <w:t xml:space="preserve">recently </w:t>
      </w:r>
      <w:r w:rsidR="00A02122">
        <w:rPr>
          <w:bCs/>
        </w:rPr>
        <w:t xml:space="preserve">been </w:t>
      </w:r>
      <w:r w:rsidR="005743FA">
        <w:rPr>
          <w:bCs/>
        </w:rPr>
        <w:t xml:space="preserve">considerable attention given to </w:t>
      </w:r>
      <w:r w:rsidR="00A67343">
        <w:rPr>
          <w:bCs/>
        </w:rPr>
        <w:t xml:space="preserve">aspects of female anatomy, and their relationship to </w:t>
      </w:r>
      <w:r w:rsidR="00E578FB">
        <w:rPr>
          <w:bCs/>
        </w:rPr>
        <w:t xml:space="preserve">their owner’s health and wellbeing. Comparatively little attention has been given to </w:t>
      </w:r>
      <w:r w:rsidR="00077376">
        <w:rPr>
          <w:bCs/>
        </w:rPr>
        <w:t>testicles, a feature of male anatomy</w:t>
      </w:r>
      <w:r w:rsidR="00C92CBE">
        <w:rPr>
          <w:bCs/>
        </w:rPr>
        <w:t xml:space="preserve">, with a key role in signalling male adolescence and adulthood, a point of vulnerability to violence and to varying kinds of disease, and subject </w:t>
      </w:r>
      <w:r w:rsidR="00647E8F">
        <w:rPr>
          <w:bCs/>
        </w:rPr>
        <w:t xml:space="preserve">to </w:t>
      </w:r>
      <w:proofErr w:type="gramStart"/>
      <w:r w:rsidR="00647E8F">
        <w:rPr>
          <w:bCs/>
        </w:rPr>
        <w:t>particular stresses</w:t>
      </w:r>
      <w:proofErr w:type="gramEnd"/>
      <w:r w:rsidR="00647E8F">
        <w:rPr>
          <w:bCs/>
        </w:rPr>
        <w:t xml:space="preserve"> caused by fashion and travel</w:t>
      </w:r>
      <w:r w:rsidR="00943370">
        <w:rPr>
          <w:bCs/>
        </w:rPr>
        <w:t xml:space="preserve">. This study aims to investigate the medical, social, </w:t>
      </w:r>
      <w:proofErr w:type="gramStart"/>
      <w:r w:rsidR="00943370">
        <w:rPr>
          <w:bCs/>
        </w:rPr>
        <w:t>cultural</w:t>
      </w:r>
      <w:proofErr w:type="gramEnd"/>
      <w:r w:rsidR="00943370">
        <w:rPr>
          <w:bCs/>
        </w:rPr>
        <w:t xml:space="preserve"> and literary understanding of testicles during the Romantic period, when </w:t>
      </w:r>
      <w:r w:rsidR="006C11C0">
        <w:rPr>
          <w:bCs/>
        </w:rPr>
        <w:t xml:space="preserve">the relationship between body and mind took a new direction, and </w:t>
      </w:r>
      <w:r w:rsidR="001964BC">
        <w:rPr>
          <w:bCs/>
        </w:rPr>
        <w:t xml:space="preserve">where masculinities were </w:t>
      </w:r>
      <w:r w:rsidR="00726D1A">
        <w:rPr>
          <w:bCs/>
        </w:rPr>
        <w:t>being reframed.</w:t>
      </w:r>
    </w:p>
    <w:p w14:paraId="30783425" w14:textId="77777777" w:rsidR="001A3772" w:rsidRDefault="001A3772">
      <w:pPr>
        <w:rPr>
          <w:bCs/>
        </w:rPr>
      </w:pPr>
    </w:p>
    <w:p w14:paraId="434FCEED" w14:textId="45165631" w:rsidR="001A3772" w:rsidRDefault="001A3772">
      <w:pPr>
        <w:rPr>
          <w:bCs/>
        </w:rPr>
      </w:pPr>
      <w:r>
        <w:rPr>
          <w:bCs/>
        </w:rPr>
        <w:t xml:space="preserve">The research questions for this project are three: what knowledge and understanding </w:t>
      </w:r>
      <w:proofErr w:type="gramStart"/>
      <w:r>
        <w:rPr>
          <w:bCs/>
        </w:rPr>
        <w:t>was</w:t>
      </w:r>
      <w:proofErr w:type="gramEnd"/>
      <w:r>
        <w:rPr>
          <w:bCs/>
        </w:rPr>
        <w:t xml:space="preserve"> there about testicles and their function</w:t>
      </w:r>
      <w:r w:rsidR="0054220E">
        <w:rPr>
          <w:bCs/>
        </w:rPr>
        <w:t>, and how did it vary between academic and popular medicine? What roles did testicles play in defining maleness and masculinity, and in supporting a male identity</w:t>
      </w:r>
      <w:r w:rsidR="00370105">
        <w:rPr>
          <w:bCs/>
        </w:rPr>
        <w:t>, including the threat of emasculation through castration</w:t>
      </w:r>
      <w:r w:rsidR="00F42D12">
        <w:rPr>
          <w:bCs/>
        </w:rPr>
        <w:t xml:space="preserve">? How did they feature in </w:t>
      </w:r>
      <w:r w:rsidR="00AF5CC1">
        <w:rPr>
          <w:bCs/>
        </w:rPr>
        <w:t>discourses</w:t>
      </w:r>
      <w:r w:rsidR="00F42D12">
        <w:rPr>
          <w:bCs/>
        </w:rPr>
        <w:t xml:space="preserve"> of health and wellbeing, including fertility? And, finally</w:t>
      </w:r>
      <w:r w:rsidR="00880B29">
        <w:rPr>
          <w:bCs/>
        </w:rPr>
        <w:t>, what</w:t>
      </w:r>
      <w:r w:rsidR="00AF5CC1">
        <w:rPr>
          <w:bCs/>
        </w:rPr>
        <w:t xml:space="preserve"> </w:t>
      </w:r>
      <w:r w:rsidR="00880B29">
        <w:rPr>
          <w:bCs/>
        </w:rPr>
        <w:t>metaphorical uses did they have in literature?</w:t>
      </w:r>
    </w:p>
    <w:p w14:paraId="1BFBBC64" w14:textId="77777777" w:rsidR="006C11C0" w:rsidRDefault="006C11C0">
      <w:pPr>
        <w:rPr>
          <w:bCs/>
        </w:rPr>
      </w:pPr>
    </w:p>
    <w:p w14:paraId="2A24D74A" w14:textId="5717DC52" w:rsidR="006C11C0" w:rsidRDefault="006C11C0">
      <w:pPr>
        <w:rPr>
          <w:bCs/>
        </w:rPr>
      </w:pPr>
      <w:r>
        <w:rPr>
          <w:bCs/>
        </w:rPr>
        <w:lastRenderedPageBreak/>
        <w:t>To investigate th</w:t>
      </w:r>
      <w:r w:rsidR="0054220E">
        <w:rPr>
          <w:bCs/>
        </w:rPr>
        <w:t>ese</w:t>
      </w:r>
      <w:r w:rsidR="00726D1A">
        <w:rPr>
          <w:bCs/>
        </w:rPr>
        <w:t xml:space="preserve">, I will </w:t>
      </w:r>
      <w:r w:rsidR="00356DEF">
        <w:rPr>
          <w:bCs/>
        </w:rPr>
        <w:t xml:space="preserve">use four strands of evidence. The first will be </w:t>
      </w:r>
      <w:r w:rsidR="00726D1A">
        <w:rPr>
          <w:bCs/>
        </w:rPr>
        <w:t xml:space="preserve">medical and anatomical understandings of testicles, their </w:t>
      </w:r>
      <w:proofErr w:type="gramStart"/>
      <w:r w:rsidR="00726D1A">
        <w:rPr>
          <w:bCs/>
        </w:rPr>
        <w:t>functions</w:t>
      </w:r>
      <w:proofErr w:type="gramEnd"/>
      <w:r w:rsidR="00726D1A">
        <w:rPr>
          <w:bCs/>
        </w:rPr>
        <w:t xml:space="preserve"> and their diseases</w:t>
      </w:r>
      <w:r w:rsidR="0014610E">
        <w:rPr>
          <w:bCs/>
        </w:rPr>
        <w:t xml:space="preserve">. This will be done through the study of anatomy textbooks, and </w:t>
      </w:r>
      <w:r w:rsidR="003D787C">
        <w:rPr>
          <w:bCs/>
        </w:rPr>
        <w:t xml:space="preserve">medical accounts and narratives, using the resources of the Royal Colleges’ libraries and the </w:t>
      </w:r>
      <w:proofErr w:type="spellStart"/>
      <w:r w:rsidR="003D787C">
        <w:rPr>
          <w:bCs/>
        </w:rPr>
        <w:t>Wellcome</w:t>
      </w:r>
      <w:proofErr w:type="spellEnd"/>
      <w:r w:rsidR="003D787C">
        <w:rPr>
          <w:bCs/>
        </w:rPr>
        <w:t xml:space="preserve"> Trust.</w:t>
      </w:r>
      <w:r w:rsidR="0033647A">
        <w:rPr>
          <w:bCs/>
        </w:rPr>
        <w:t xml:space="preserve"> </w:t>
      </w:r>
      <w:r w:rsidR="00B53DEE">
        <w:rPr>
          <w:bCs/>
        </w:rPr>
        <w:t xml:space="preserve">I will consider how widely this information was disseminated and in what forms, and </w:t>
      </w:r>
      <w:r w:rsidR="00243C0B">
        <w:rPr>
          <w:bCs/>
        </w:rPr>
        <w:t xml:space="preserve">how it affected diagnosis and treatment of illness and disability. </w:t>
      </w:r>
      <w:r w:rsidR="00E5273D">
        <w:rPr>
          <w:bCs/>
        </w:rPr>
        <w:t>The next strand will use</w:t>
      </w:r>
      <w:r w:rsidR="002F646D">
        <w:rPr>
          <w:bCs/>
        </w:rPr>
        <w:t xml:space="preserve"> databases of newspapers, </w:t>
      </w:r>
      <w:proofErr w:type="gramStart"/>
      <w:r w:rsidR="002F646D">
        <w:rPr>
          <w:bCs/>
        </w:rPr>
        <w:t>journals</w:t>
      </w:r>
      <w:proofErr w:type="gramEnd"/>
      <w:r w:rsidR="002F646D">
        <w:rPr>
          <w:bCs/>
        </w:rPr>
        <w:t xml:space="preserve"> and broadsheets, </w:t>
      </w:r>
      <w:r w:rsidR="00E853F8">
        <w:rPr>
          <w:bCs/>
        </w:rPr>
        <w:t xml:space="preserve">to find </w:t>
      </w:r>
      <w:r w:rsidR="002F646D">
        <w:rPr>
          <w:bCs/>
        </w:rPr>
        <w:t>references to testicles</w:t>
      </w:r>
      <w:r w:rsidR="00D168C4">
        <w:rPr>
          <w:bCs/>
        </w:rPr>
        <w:t xml:space="preserve">: particularly in broadsheets, I expect to find two strands, one in popular medicine, and the other </w:t>
      </w:r>
      <w:r w:rsidR="005E3C71">
        <w:rPr>
          <w:bCs/>
        </w:rPr>
        <w:t>in political and other satire</w:t>
      </w:r>
      <w:r w:rsidR="00E5273D">
        <w:rPr>
          <w:bCs/>
        </w:rPr>
        <w:t xml:space="preserve">, and will </w:t>
      </w:r>
      <w:r w:rsidR="00633B73">
        <w:rPr>
          <w:bCs/>
        </w:rPr>
        <w:t>establish the popular currency of terms for testicles as well as the broad cultural understanding</w:t>
      </w:r>
      <w:r w:rsidR="00356DEF">
        <w:rPr>
          <w:bCs/>
        </w:rPr>
        <w:t>. The third strand will be</w:t>
      </w:r>
      <w:r w:rsidR="004B370F">
        <w:rPr>
          <w:bCs/>
        </w:rPr>
        <w:t xml:space="preserve"> letters and diaries, for instance that of Samuel Taylor Coleridge, where illness or other concern </w:t>
      </w:r>
      <w:r w:rsidR="000F692B">
        <w:rPr>
          <w:bCs/>
        </w:rPr>
        <w:t xml:space="preserve">drives reflection on the organs and their significance to identity. This strand will </w:t>
      </w:r>
      <w:r w:rsidR="003D46CB">
        <w:rPr>
          <w:bCs/>
        </w:rPr>
        <w:t>highlight male anxieties about health and wellbeing, about their understanding of their testicles as a witness to their masculinity</w:t>
      </w:r>
      <w:r w:rsidR="004B4FE3">
        <w:rPr>
          <w:bCs/>
        </w:rPr>
        <w:t>, and their consciousness of their bodies. It may be useful to compare</w:t>
      </w:r>
      <w:r w:rsidR="00BD5326">
        <w:rPr>
          <w:bCs/>
        </w:rPr>
        <w:t xml:space="preserve"> these writings with the equivalent women’s writing of the period, </w:t>
      </w:r>
      <w:r w:rsidR="002A5148">
        <w:rPr>
          <w:bCs/>
        </w:rPr>
        <w:t xml:space="preserve">to see whether the understanding of one’s own’s sexual organs </w:t>
      </w:r>
      <w:r w:rsidR="00B534CA">
        <w:rPr>
          <w:bCs/>
        </w:rPr>
        <w:t xml:space="preserve">is consistent across </w:t>
      </w:r>
      <w:proofErr w:type="gramStart"/>
      <w:r w:rsidR="00B534CA">
        <w:rPr>
          <w:bCs/>
        </w:rPr>
        <w:t>genders, or</w:t>
      </w:r>
      <w:proofErr w:type="gramEnd"/>
      <w:r w:rsidR="00B534CA">
        <w:rPr>
          <w:bCs/>
        </w:rPr>
        <w:t xml:space="preserve"> takes distinct gender patterns. The final strand will look at </w:t>
      </w:r>
      <w:r w:rsidR="0058329E">
        <w:rPr>
          <w:bCs/>
        </w:rPr>
        <w:t xml:space="preserve">literary and fictional representations of </w:t>
      </w:r>
      <w:proofErr w:type="gramStart"/>
      <w:r w:rsidR="0058329E">
        <w:rPr>
          <w:bCs/>
        </w:rPr>
        <w:t>testicles, and</w:t>
      </w:r>
      <w:proofErr w:type="gramEnd"/>
      <w:r w:rsidR="0058329E">
        <w:rPr>
          <w:bCs/>
        </w:rPr>
        <w:t xml:space="preserve"> consider their metaphorical as well as literal impact</w:t>
      </w:r>
      <w:r w:rsidR="0028317B">
        <w:rPr>
          <w:bCs/>
        </w:rPr>
        <w:t>. This will include critical discussion of other literatures, including classical material.</w:t>
      </w:r>
    </w:p>
    <w:p w14:paraId="1430E3C6" w14:textId="77777777" w:rsidR="0028317B" w:rsidRDefault="0028317B">
      <w:pPr>
        <w:rPr>
          <w:bCs/>
        </w:rPr>
      </w:pPr>
    </w:p>
    <w:p w14:paraId="16B315FE" w14:textId="3C0FCF55" w:rsidR="0028317B" w:rsidRPr="00A02122" w:rsidRDefault="0028317B">
      <w:pPr>
        <w:rPr>
          <w:bCs/>
        </w:rPr>
      </w:pPr>
      <w:r>
        <w:rPr>
          <w:bCs/>
        </w:rPr>
        <w:t xml:space="preserve">The thesis will synthesise these strands </w:t>
      </w:r>
      <w:r w:rsidR="00880B29">
        <w:rPr>
          <w:bCs/>
        </w:rPr>
        <w:t xml:space="preserve">to answer the research questions, working from </w:t>
      </w:r>
      <w:r w:rsidR="003E4611">
        <w:rPr>
          <w:bCs/>
        </w:rPr>
        <w:t>personal</w:t>
      </w:r>
      <w:r w:rsidR="00880B29">
        <w:rPr>
          <w:bCs/>
        </w:rPr>
        <w:t xml:space="preserve"> experience, through medical models of</w:t>
      </w:r>
      <w:r w:rsidR="006974DC">
        <w:rPr>
          <w:bCs/>
        </w:rPr>
        <w:t xml:space="preserve"> the individual</w:t>
      </w:r>
      <w:r w:rsidR="003E4611">
        <w:rPr>
          <w:bCs/>
        </w:rPr>
        <w:t xml:space="preserve">, </w:t>
      </w:r>
      <w:r w:rsidR="006974DC">
        <w:rPr>
          <w:bCs/>
        </w:rPr>
        <w:t>to the societal</w:t>
      </w:r>
      <w:r w:rsidR="003E4611">
        <w:rPr>
          <w:bCs/>
        </w:rPr>
        <w:t xml:space="preserve"> understanding of the testicles and their relationship to masculinity. </w:t>
      </w:r>
      <w:r w:rsidR="001C4FFB">
        <w:rPr>
          <w:bCs/>
        </w:rPr>
        <w:t xml:space="preserve">At a time where </w:t>
      </w:r>
      <w:r w:rsidR="008B4486">
        <w:rPr>
          <w:bCs/>
        </w:rPr>
        <w:t xml:space="preserve">it is understood that </w:t>
      </w:r>
      <w:r w:rsidR="001C4FFB">
        <w:rPr>
          <w:bCs/>
        </w:rPr>
        <w:t xml:space="preserve">gender identity </w:t>
      </w:r>
      <w:r w:rsidR="008B4486">
        <w:rPr>
          <w:bCs/>
        </w:rPr>
        <w:t xml:space="preserve">need not map on to sexual anatomy, the thesis will give space to </w:t>
      </w:r>
      <w:r w:rsidR="00A00035">
        <w:rPr>
          <w:bCs/>
        </w:rPr>
        <w:t>considering to the role of a key organ, much discussed but rarely examined.</w:t>
      </w:r>
    </w:p>
    <w:sectPr w:rsidR="0028317B" w:rsidRPr="00A0212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Source Sans Pro">
    <w:panose1 w:val="020B0503030403020204"/>
    <w:charset w:val="00"/>
    <w:family w:val="swiss"/>
    <w:pitch w:val="variable"/>
    <w:sig w:usb0="600002F7" w:usb1="02000001" w:usb2="00000000" w:usb3="00000000" w:csb0="0000019F" w:csb1="00000000"/>
  </w:font>
  <w:font w:name="Times New Roman (Headings CS)">
    <w:panose1 w:val="020B0604020202020204"/>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A7BC0"/>
    <w:multiLevelType w:val="multilevel"/>
    <w:tmpl w:val="7534D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87662B8"/>
    <w:multiLevelType w:val="hybridMultilevel"/>
    <w:tmpl w:val="88D4BA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02100771">
    <w:abstractNumId w:val="1"/>
  </w:num>
  <w:num w:numId="2" w16cid:durableId="16614237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3BAF"/>
    <w:rsid w:val="000072F9"/>
    <w:rsid w:val="00014DCB"/>
    <w:rsid w:val="00056FE9"/>
    <w:rsid w:val="00067FC4"/>
    <w:rsid w:val="00077376"/>
    <w:rsid w:val="00085CE5"/>
    <w:rsid w:val="0008697A"/>
    <w:rsid w:val="000970F7"/>
    <w:rsid w:val="000A2127"/>
    <w:rsid w:val="000A638F"/>
    <w:rsid w:val="000B5CDA"/>
    <w:rsid w:val="000C46D3"/>
    <w:rsid w:val="000E3FDD"/>
    <w:rsid w:val="000E5D23"/>
    <w:rsid w:val="000F0A53"/>
    <w:rsid w:val="000F45FF"/>
    <w:rsid w:val="000F692B"/>
    <w:rsid w:val="0010415E"/>
    <w:rsid w:val="00104B79"/>
    <w:rsid w:val="001131B3"/>
    <w:rsid w:val="001172AA"/>
    <w:rsid w:val="00145287"/>
    <w:rsid w:val="0014610E"/>
    <w:rsid w:val="0018497C"/>
    <w:rsid w:val="001964BC"/>
    <w:rsid w:val="001A3772"/>
    <w:rsid w:val="001B6BE4"/>
    <w:rsid w:val="001B7347"/>
    <w:rsid w:val="001C4FFB"/>
    <w:rsid w:val="001E61E9"/>
    <w:rsid w:val="001F1208"/>
    <w:rsid w:val="001F1EF6"/>
    <w:rsid w:val="001F44D4"/>
    <w:rsid w:val="001F6519"/>
    <w:rsid w:val="002075A8"/>
    <w:rsid w:val="00216D78"/>
    <w:rsid w:val="00243C0B"/>
    <w:rsid w:val="0024481F"/>
    <w:rsid w:val="002707DA"/>
    <w:rsid w:val="00282D00"/>
    <w:rsid w:val="0028317B"/>
    <w:rsid w:val="00287078"/>
    <w:rsid w:val="002950DB"/>
    <w:rsid w:val="002965FE"/>
    <w:rsid w:val="002A385C"/>
    <w:rsid w:val="002A5148"/>
    <w:rsid w:val="002B7A5A"/>
    <w:rsid w:val="002C2CA7"/>
    <w:rsid w:val="002C3991"/>
    <w:rsid w:val="002C4ACE"/>
    <w:rsid w:val="002D7DC0"/>
    <w:rsid w:val="002E2F89"/>
    <w:rsid w:val="002F5C73"/>
    <w:rsid w:val="002F646D"/>
    <w:rsid w:val="00303582"/>
    <w:rsid w:val="00335E16"/>
    <w:rsid w:val="0033647A"/>
    <w:rsid w:val="00342E75"/>
    <w:rsid w:val="00355FA2"/>
    <w:rsid w:val="00356DEF"/>
    <w:rsid w:val="003676C3"/>
    <w:rsid w:val="00370105"/>
    <w:rsid w:val="00370BF5"/>
    <w:rsid w:val="00373140"/>
    <w:rsid w:val="00377BEA"/>
    <w:rsid w:val="00384F4E"/>
    <w:rsid w:val="003938EE"/>
    <w:rsid w:val="003D46CB"/>
    <w:rsid w:val="003D787C"/>
    <w:rsid w:val="003E4611"/>
    <w:rsid w:val="00406123"/>
    <w:rsid w:val="0042332B"/>
    <w:rsid w:val="004240F2"/>
    <w:rsid w:val="00451ED8"/>
    <w:rsid w:val="00457C9B"/>
    <w:rsid w:val="00463268"/>
    <w:rsid w:val="00463DF3"/>
    <w:rsid w:val="004772A4"/>
    <w:rsid w:val="004A62EE"/>
    <w:rsid w:val="004B27A1"/>
    <w:rsid w:val="004B370F"/>
    <w:rsid w:val="004B4FE3"/>
    <w:rsid w:val="004B6FB9"/>
    <w:rsid w:val="00514CD0"/>
    <w:rsid w:val="00520CF1"/>
    <w:rsid w:val="005224C6"/>
    <w:rsid w:val="00540704"/>
    <w:rsid w:val="0054220E"/>
    <w:rsid w:val="00564A7A"/>
    <w:rsid w:val="005743FA"/>
    <w:rsid w:val="005749F6"/>
    <w:rsid w:val="0058329E"/>
    <w:rsid w:val="00593455"/>
    <w:rsid w:val="005935BD"/>
    <w:rsid w:val="005A1924"/>
    <w:rsid w:val="005E2332"/>
    <w:rsid w:val="005E3C71"/>
    <w:rsid w:val="005E43F4"/>
    <w:rsid w:val="005F6A9A"/>
    <w:rsid w:val="00612FC5"/>
    <w:rsid w:val="00625BF4"/>
    <w:rsid w:val="00633B73"/>
    <w:rsid w:val="00633F7A"/>
    <w:rsid w:val="00636799"/>
    <w:rsid w:val="0063686F"/>
    <w:rsid w:val="00647E8F"/>
    <w:rsid w:val="006530C7"/>
    <w:rsid w:val="00654319"/>
    <w:rsid w:val="0069460D"/>
    <w:rsid w:val="00695801"/>
    <w:rsid w:val="006974DC"/>
    <w:rsid w:val="006B1E9F"/>
    <w:rsid w:val="006C11C0"/>
    <w:rsid w:val="006E12ED"/>
    <w:rsid w:val="006E3DC6"/>
    <w:rsid w:val="00703295"/>
    <w:rsid w:val="00714438"/>
    <w:rsid w:val="00714B16"/>
    <w:rsid w:val="00715996"/>
    <w:rsid w:val="00726D1A"/>
    <w:rsid w:val="007615CF"/>
    <w:rsid w:val="007727EA"/>
    <w:rsid w:val="007730B3"/>
    <w:rsid w:val="007C008D"/>
    <w:rsid w:val="007D66A7"/>
    <w:rsid w:val="007F5424"/>
    <w:rsid w:val="007F7EF8"/>
    <w:rsid w:val="008228BC"/>
    <w:rsid w:val="00852B5B"/>
    <w:rsid w:val="0085470B"/>
    <w:rsid w:val="0086493F"/>
    <w:rsid w:val="00872EC5"/>
    <w:rsid w:val="00880B29"/>
    <w:rsid w:val="008B4486"/>
    <w:rsid w:val="008C5A03"/>
    <w:rsid w:val="008D42A0"/>
    <w:rsid w:val="008D6DED"/>
    <w:rsid w:val="008F231C"/>
    <w:rsid w:val="008F6E48"/>
    <w:rsid w:val="00905809"/>
    <w:rsid w:val="0091236A"/>
    <w:rsid w:val="0091650B"/>
    <w:rsid w:val="00926BB5"/>
    <w:rsid w:val="00943370"/>
    <w:rsid w:val="00952393"/>
    <w:rsid w:val="00995119"/>
    <w:rsid w:val="009A4106"/>
    <w:rsid w:val="009C20D8"/>
    <w:rsid w:val="009C3CF9"/>
    <w:rsid w:val="009D164B"/>
    <w:rsid w:val="009E1B04"/>
    <w:rsid w:val="009E444A"/>
    <w:rsid w:val="009E562A"/>
    <w:rsid w:val="00A00035"/>
    <w:rsid w:val="00A02122"/>
    <w:rsid w:val="00A0725E"/>
    <w:rsid w:val="00A127F5"/>
    <w:rsid w:val="00A3175A"/>
    <w:rsid w:val="00A53FA6"/>
    <w:rsid w:val="00A67343"/>
    <w:rsid w:val="00A67E49"/>
    <w:rsid w:val="00A865B8"/>
    <w:rsid w:val="00AF4F83"/>
    <w:rsid w:val="00AF5CC1"/>
    <w:rsid w:val="00B12614"/>
    <w:rsid w:val="00B178DD"/>
    <w:rsid w:val="00B305FA"/>
    <w:rsid w:val="00B40671"/>
    <w:rsid w:val="00B534CA"/>
    <w:rsid w:val="00B53DEE"/>
    <w:rsid w:val="00B6594A"/>
    <w:rsid w:val="00B73674"/>
    <w:rsid w:val="00B765C5"/>
    <w:rsid w:val="00B77AC8"/>
    <w:rsid w:val="00B85417"/>
    <w:rsid w:val="00BA3C58"/>
    <w:rsid w:val="00BA5769"/>
    <w:rsid w:val="00BA684D"/>
    <w:rsid w:val="00BC5379"/>
    <w:rsid w:val="00BD5326"/>
    <w:rsid w:val="00BF4740"/>
    <w:rsid w:val="00C0411B"/>
    <w:rsid w:val="00C15DBC"/>
    <w:rsid w:val="00C245E6"/>
    <w:rsid w:val="00C3424A"/>
    <w:rsid w:val="00C428A4"/>
    <w:rsid w:val="00C452B0"/>
    <w:rsid w:val="00C76104"/>
    <w:rsid w:val="00C923FA"/>
    <w:rsid w:val="00C92873"/>
    <w:rsid w:val="00C92CBE"/>
    <w:rsid w:val="00C96340"/>
    <w:rsid w:val="00CA19BD"/>
    <w:rsid w:val="00CD0E4E"/>
    <w:rsid w:val="00CD646F"/>
    <w:rsid w:val="00D073D1"/>
    <w:rsid w:val="00D168C4"/>
    <w:rsid w:val="00D202BD"/>
    <w:rsid w:val="00D83BAF"/>
    <w:rsid w:val="00D93003"/>
    <w:rsid w:val="00DA1666"/>
    <w:rsid w:val="00DA1946"/>
    <w:rsid w:val="00DC440E"/>
    <w:rsid w:val="00DC5288"/>
    <w:rsid w:val="00DE17B5"/>
    <w:rsid w:val="00DF323B"/>
    <w:rsid w:val="00E15724"/>
    <w:rsid w:val="00E15C64"/>
    <w:rsid w:val="00E50A3E"/>
    <w:rsid w:val="00E5273D"/>
    <w:rsid w:val="00E578FB"/>
    <w:rsid w:val="00E700FD"/>
    <w:rsid w:val="00E847C4"/>
    <w:rsid w:val="00E853F8"/>
    <w:rsid w:val="00E9136B"/>
    <w:rsid w:val="00EA407C"/>
    <w:rsid w:val="00EB0281"/>
    <w:rsid w:val="00EC5D85"/>
    <w:rsid w:val="00ED3444"/>
    <w:rsid w:val="00ED3A15"/>
    <w:rsid w:val="00F01FA2"/>
    <w:rsid w:val="00F1744C"/>
    <w:rsid w:val="00F25FEC"/>
    <w:rsid w:val="00F31C39"/>
    <w:rsid w:val="00F42D12"/>
    <w:rsid w:val="00F5588F"/>
    <w:rsid w:val="00F8032A"/>
    <w:rsid w:val="00F8662C"/>
    <w:rsid w:val="00FC5FDC"/>
    <w:rsid w:val="00FD0D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E577F6E"/>
  <w15:chartTrackingRefBased/>
  <w15:docId w15:val="{9390CADD-8862-5842-8AD1-EF35BF82A7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83BA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83BA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D83BA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83BA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83BA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83BA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83BA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83BA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83BA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3BA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83BA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D83BA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83BA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83BA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83BA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3BA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3BA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3BAF"/>
    <w:rPr>
      <w:rFonts w:eastAsiaTheme="majorEastAsia" w:cstheme="majorBidi"/>
      <w:color w:val="272727" w:themeColor="text1" w:themeTint="D8"/>
    </w:rPr>
  </w:style>
  <w:style w:type="paragraph" w:styleId="Title">
    <w:name w:val="Title"/>
    <w:basedOn w:val="Normal"/>
    <w:next w:val="Normal"/>
    <w:link w:val="TitleChar"/>
    <w:uiPriority w:val="10"/>
    <w:qFormat/>
    <w:rsid w:val="00D83BA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3BA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3BAF"/>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83BA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3BA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83BAF"/>
    <w:rPr>
      <w:i/>
      <w:iCs/>
      <w:color w:val="404040" w:themeColor="text1" w:themeTint="BF"/>
    </w:rPr>
  </w:style>
  <w:style w:type="paragraph" w:styleId="ListParagraph">
    <w:name w:val="List Paragraph"/>
    <w:basedOn w:val="Normal"/>
    <w:uiPriority w:val="34"/>
    <w:qFormat/>
    <w:rsid w:val="00D83BAF"/>
    <w:pPr>
      <w:ind w:left="720"/>
      <w:contextualSpacing/>
    </w:pPr>
  </w:style>
  <w:style w:type="character" w:styleId="IntenseEmphasis">
    <w:name w:val="Intense Emphasis"/>
    <w:basedOn w:val="DefaultParagraphFont"/>
    <w:uiPriority w:val="21"/>
    <w:qFormat/>
    <w:rsid w:val="00D83BAF"/>
    <w:rPr>
      <w:i/>
      <w:iCs/>
      <w:color w:val="0F4761" w:themeColor="accent1" w:themeShade="BF"/>
    </w:rPr>
  </w:style>
  <w:style w:type="paragraph" w:styleId="IntenseQuote">
    <w:name w:val="Intense Quote"/>
    <w:basedOn w:val="Normal"/>
    <w:next w:val="Normal"/>
    <w:link w:val="IntenseQuoteChar"/>
    <w:uiPriority w:val="30"/>
    <w:qFormat/>
    <w:rsid w:val="00D83B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83BAF"/>
    <w:rPr>
      <w:i/>
      <w:iCs/>
      <w:color w:val="0F4761" w:themeColor="accent1" w:themeShade="BF"/>
    </w:rPr>
  </w:style>
  <w:style w:type="character" w:styleId="IntenseReference">
    <w:name w:val="Intense Reference"/>
    <w:basedOn w:val="DefaultParagraphFont"/>
    <w:uiPriority w:val="32"/>
    <w:qFormat/>
    <w:rsid w:val="00D83BAF"/>
    <w:rPr>
      <w:b/>
      <w:bCs/>
      <w:smallCaps/>
      <w:color w:val="0F4761" w:themeColor="accent1" w:themeShade="BF"/>
      <w:spacing w:val="5"/>
    </w:rPr>
  </w:style>
  <w:style w:type="character" w:styleId="Hyperlink">
    <w:name w:val="Hyperlink"/>
    <w:basedOn w:val="DefaultParagraphFont"/>
    <w:uiPriority w:val="99"/>
    <w:unhideWhenUsed/>
    <w:rsid w:val="001172AA"/>
    <w:rPr>
      <w:color w:val="467886" w:themeColor="hyperlink"/>
      <w:u w:val="single"/>
    </w:rPr>
  </w:style>
  <w:style w:type="character" w:styleId="UnresolvedMention">
    <w:name w:val="Unresolved Mention"/>
    <w:basedOn w:val="DefaultParagraphFont"/>
    <w:uiPriority w:val="99"/>
    <w:semiHidden/>
    <w:unhideWhenUsed/>
    <w:rsid w:val="001172AA"/>
    <w:rPr>
      <w:color w:val="605E5C"/>
      <w:shd w:val="clear" w:color="auto" w:fill="E1DFDD"/>
    </w:rPr>
  </w:style>
  <w:style w:type="character" w:styleId="FollowedHyperlink">
    <w:name w:val="FollowedHyperlink"/>
    <w:basedOn w:val="DefaultParagraphFont"/>
    <w:uiPriority w:val="99"/>
    <w:semiHidden/>
    <w:unhideWhenUsed/>
    <w:rsid w:val="000E5D23"/>
    <w:rPr>
      <w:color w:val="96607D" w:themeColor="followedHyperlink"/>
      <w:u w:val="single"/>
    </w:rPr>
  </w:style>
  <w:style w:type="character" w:customStyle="1" w:styleId="apple-converted-space">
    <w:name w:val="apple-converted-space"/>
    <w:basedOn w:val="DefaultParagraphFont"/>
    <w:rsid w:val="001B73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631582">
      <w:bodyDiv w:val="1"/>
      <w:marLeft w:val="0"/>
      <w:marRight w:val="0"/>
      <w:marTop w:val="0"/>
      <w:marBottom w:val="0"/>
      <w:divBdr>
        <w:top w:val="none" w:sz="0" w:space="0" w:color="auto"/>
        <w:left w:val="none" w:sz="0" w:space="0" w:color="auto"/>
        <w:bottom w:val="none" w:sz="0" w:space="0" w:color="auto"/>
        <w:right w:val="none" w:sz="0" w:space="0" w:color="auto"/>
      </w:divBdr>
      <w:divsChild>
        <w:div w:id="676687913">
          <w:marLeft w:val="0"/>
          <w:marRight w:val="0"/>
          <w:marTop w:val="0"/>
          <w:marBottom w:val="0"/>
          <w:divBdr>
            <w:top w:val="none" w:sz="0" w:space="0" w:color="auto"/>
            <w:left w:val="none" w:sz="0" w:space="0" w:color="auto"/>
            <w:bottom w:val="none" w:sz="0" w:space="0" w:color="auto"/>
            <w:right w:val="none" w:sz="0" w:space="0" w:color="auto"/>
          </w:divBdr>
        </w:div>
        <w:div w:id="2067603910">
          <w:marLeft w:val="0"/>
          <w:marRight w:val="0"/>
          <w:marTop w:val="0"/>
          <w:marBottom w:val="0"/>
          <w:divBdr>
            <w:top w:val="none" w:sz="0" w:space="0" w:color="auto"/>
            <w:left w:val="none" w:sz="0" w:space="0" w:color="auto"/>
            <w:bottom w:val="none" w:sz="0" w:space="0" w:color="auto"/>
            <w:right w:val="none" w:sz="0" w:space="0" w:color="auto"/>
          </w:divBdr>
        </w:div>
        <w:div w:id="1021785749">
          <w:marLeft w:val="0"/>
          <w:marRight w:val="0"/>
          <w:marTop w:val="0"/>
          <w:marBottom w:val="0"/>
          <w:divBdr>
            <w:top w:val="none" w:sz="0" w:space="0" w:color="auto"/>
            <w:left w:val="none" w:sz="0" w:space="0" w:color="auto"/>
            <w:bottom w:val="none" w:sz="0" w:space="0" w:color="auto"/>
            <w:right w:val="none" w:sz="0" w:space="0" w:color="auto"/>
          </w:divBdr>
        </w:div>
      </w:divsChild>
    </w:div>
    <w:div w:id="177164839">
      <w:bodyDiv w:val="1"/>
      <w:marLeft w:val="0"/>
      <w:marRight w:val="0"/>
      <w:marTop w:val="0"/>
      <w:marBottom w:val="0"/>
      <w:divBdr>
        <w:top w:val="none" w:sz="0" w:space="0" w:color="auto"/>
        <w:left w:val="none" w:sz="0" w:space="0" w:color="auto"/>
        <w:bottom w:val="none" w:sz="0" w:space="0" w:color="auto"/>
        <w:right w:val="none" w:sz="0" w:space="0" w:color="auto"/>
      </w:divBdr>
      <w:divsChild>
        <w:div w:id="385494757">
          <w:marLeft w:val="0"/>
          <w:marRight w:val="0"/>
          <w:marTop w:val="0"/>
          <w:marBottom w:val="0"/>
          <w:divBdr>
            <w:top w:val="none" w:sz="0" w:space="0" w:color="auto"/>
            <w:left w:val="none" w:sz="0" w:space="0" w:color="auto"/>
            <w:bottom w:val="none" w:sz="0" w:space="0" w:color="auto"/>
            <w:right w:val="none" w:sz="0" w:space="0" w:color="auto"/>
          </w:divBdr>
        </w:div>
        <w:div w:id="548608676">
          <w:marLeft w:val="0"/>
          <w:marRight w:val="0"/>
          <w:marTop w:val="0"/>
          <w:marBottom w:val="0"/>
          <w:divBdr>
            <w:top w:val="none" w:sz="0" w:space="0" w:color="auto"/>
            <w:left w:val="none" w:sz="0" w:space="0" w:color="auto"/>
            <w:bottom w:val="none" w:sz="0" w:space="0" w:color="auto"/>
            <w:right w:val="none" w:sz="0" w:space="0" w:color="auto"/>
          </w:divBdr>
        </w:div>
        <w:div w:id="509300932">
          <w:marLeft w:val="0"/>
          <w:marRight w:val="0"/>
          <w:marTop w:val="0"/>
          <w:marBottom w:val="0"/>
          <w:divBdr>
            <w:top w:val="none" w:sz="0" w:space="0" w:color="auto"/>
            <w:left w:val="none" w:sz="0" w:space="0" w:color="auto"/>
            <w:bottom w:val="none" w:sz="0" w:space="0" w:color="auto"/>
            <w:right w:val="none" w:sz="0" w:space="0" w:color="auto"/>
          </w:divBdr>
        </w:div>
      </w:divsChild>
    </w:div>
    <w:div w:id="271476892">
      <w:bodyDiv w:val="1"/>
      <w:marLeft w:val="0"/>
      <w:marRight w:val="0"/>
      <w:marTop w:val="0"/>
      <w:marBottom w:val="0"/>
      <w:divBdr>
        <w:top w:val="none" w:sz="0" w:space="0" w:color="auto"/>
        <w:left w:val="none" w:sz="0" w:space="0" w:color="auto"/>
        <w:bottom w:val="none" w:sz="0" w:space="0" w:color="auto"/>
        <w:right w:val="none" w:sz="0" w:space="0" w:color="auto"/>
      </w:divBdr>
      <w:divsChild>
        <w:div w:id="1849443541">
          <w:marLeft w:val="0"/>
          <w:marRight w:val="0"/>
          <w:marTop w:val="0"/>
          <w:marBottom w:val="0"/>
          <w:divBdr>
            <w:top w:val="none" w:sz="0" w:space="0" w:color="auto"/>
            <w:left w:val="none" w:sz="0" w:space="0" w:color="auto"/>
            <w:bottom w:val="none" w:sz="0" w:space="0" w:color="auto"/>
            <w:right w:val="none" w:sz="0" w:space="0" w:color="auto"/>
          </w:divBdr>
        </w:div>
        <w:div w:id="1044671498">
          <w:marLeft w:val="0"/>
          <w:marRight w:val="0"/>
          <w:marTop w:val="0"/>
          <w:marBottom w:val="0"/>
          <w:divBdr>
            <w:top w:val="none" w:sz="0" w:space="0" w:color="auto"/>
            <w:left w:val="none" w:sz="0" w:space="0" w:color="auto"/>
            <w:bottom w:val="none" w:sz="0" w:space="0" w:color="auto"/>
            <w:right w:val="none" w:sz="0" w:space="0" w:color="auto"/>
          </w:divBdr>
        </w:div>
        <w:div w:id="1777866283">
          <w:marLeft w:val="0"/>
          <w:marRight w:val="0"/>
          <w:marTop w:val="0"/>
          <w:marBottom w:val="0"/>
          <w:divBdr>
            <w:top w:val="none" w:sz="0" w:space="0" w:color="auto"/>
            <w:left w:val="none" w:sz="0" w:space="0" w:color="auto"/>
            <w:bottom w:val="none" w:sz="0" w:space="0" w:color="auto"/>
            <w:right w:val="none" w:sz="0" w:space="0" w:color="auto"/>
          </w:divBdr>
        </w:div>
      </w:divsChild>
    </w:div>
    <w:div w:id="292297621">
      <w:bodyDiv w:val="1"/>
      <w:marLeft w:val="0"/>
      <w:marRight w:val="0"/>
      <w:marTop w:val="0"/>
      <w:marBottom w:val="0"/>
      <w:divBdr>
        <w:top w:val="none" w:sz="0" w:space="0" w:color="auto"/>
        <w:left w:val="none" w:sz="0" w:space="0" w:color="auto"/>
        <w:bottom w:val="none" w:sz="0" w:space="0" w:color="auto"/>
        <w:right w:val="none" w:sz="0" w:space="0" w:color="auto"/>
      </w:divBdr>
      <w:divsChild>
        <w:div w:id="1496993281">
          <w:marLeft w:val="0"/>
          <w:marRight w:val="0"/>
          <w:marTop w:val="0"/>
          <w:marBottom w:val="0"/>
          <w:divBdr>
            <w:top w:val="none" w:sz="0" w:space="0" w:color="auto"/>
            <w:left w:val="none" w:sz="0" w:space="0" w:color="auto"/>
            <w:bottom w:val="none" w:sz="0" w:space="0" w:color="auto"/>
            <w:right w:val="none" w:sz="0" w:space="0" w:color="auto"/>
          </w:divBdr>
        </w:div>
      </w:divsChild>
    </w:div>
    <w:div w:id="464352463">
      <w:bodyDiv w:val="1"/>
      <w:marLeft w:val="0"/>
      <w:marRight w:val="0"/>
      <w:marTop w:val="0"/>
      <w:marBottom w:val="0"/>
      <w:divBdr>
        <w:top w:val="none" w:sz="0" w:space="0" w:color="auto"/>
        <w:left w:val="none" w:sz="0" w:space="0" w:color="auto"/>
        <w:bottom w:val="none" w:sz="0" w:space="0" w:color="auto"/>
        <w:right w:val="none" w:sz="0" w:space="0" w:color="auto"/>
      </w:divBdr>
      <w:divsChild>
        <w:div w:id="33779246">
          <w:marLeft w:val="0"/>
          <w:marRight w:val="0"/>
          <w:marTop w:val="0"/>
          <w:marBottom w:val="0"/>
          <w:divBdr>
            <w:top w:val="none" w:sz="0" w:space="0" w:color="auto"/>
            <w:left w:val="none" w:sz="0" w:space="0" w:color="auto"/>
            <w:bottom w:val="none" w:sz="0" w:space="0" w:color="auto"/>
            <w:right w:val="none" w:sz="0" w:space="0" w:color="auto"/>
          </w:divBdr>
        </w:div>
        <w:div w:id="2036542541">
          <w:marLeft w:val="0"/>
          <w:marRight w:val="0"/>
          <w:marTop w:val="0"/>
          <w:marBottom w:val="0"/>
          <w:divBdr>
            <w:top w:val="none" w:sz="0" w:space="0" w:color="auto"/>
            <w:left w:val="none" w:sz="0" w:space="0" w:color="auto"/>
            <w:bottom w:val="none" w:sz="0" w:space="0" w:color="auto"/>
            <w:right w:val="none" w:sz="0" w:space="0" w:color="auto"/>
          </w:divBdr>
        </w:div>
        <w:div w:id="597063986">
          <w:marLeft w:val="0"/>
          <w:marRight w:val="0"/>
          <w:marTop w:val="0"/>
          <w:marBottom w:val="0"/>
          <w:divBdr>
            <w:top w:val="none" w:sz="0" w:space="0" w:color="auto"/>
            <w:left w:val="none" w:sz="0" w:space="0" w:color="auto"/>
            <w:bottom w:val="none" w:sz="0" w:space="0" w:color="auto"/>
            <w:right w:val="none" w:sz="0" w:space="0" w:color="auto"/>
          </w:divBdr>
        </w:div>
      </w:divsChild>
    </w:div>
    <w:div w:id="502821473">
      <w:bodyDiv w:val="1"/>
      <w:marLeft w:val="0"/>
      <w:marRight w:val="0"/>
      <w:marTop w:val="0"/>
      <w:marBottom w:val="0"/>
      <w:divBdr>
        <w:top w:val="none" w:sz="0" w:space="0" w:color="auto"/>
        <w:left w:val="none" w:sz="0" w:space="0" w:color="auto"/>
        <w:bottom w:val="none" w:sz="0" w:space="0" w:color="auto"/>
        <w:right w:val="none" w:sz="0" w:space="0" w:color="auto"/>
      </w:divBdr>
      <w:divsChild>
        <w:div w:id="636497903">
          <w:marLeft w:val="0"/>
          <w:marRight w:val="0"/>
          <w:marTop w:val="0"/>
          <w:marBottom w:val="0"/>
          <w:divBdr>
            <w:top w:val="none" w:sz="0" w:space="0" w:color="auto"/>
            <w:left w:val="none" w:sz="0" w:space="0" w:color="auto"/>
            <w:bottom w:val="none" w:sz="0" w:space="0" w:color="auto"/>
            <w:right w:val="none" w:sz="0" w:space="0" w:color="auto"/>
          </w:divBdr>
        </w:div>
        <w:div w:id="122117592">
          <w:marLeft w:val="0"/>
          <w:marRight w:val="0"/>
          <w:marTop w:val="0"/>
          <w:marBottom w:val="0"/>
          <w:divBdr>
            <w:top w:val="none" w:sz="0" w:space="0" w:color="auto"/>
            <w:left w:val="none" w:sz="0" w:space="0" w:color="auto"/>
            <w:bottom w:val="none" w:sz="0" w:space="0" w:color="auto"/>
            <w:right w:val="none" w:sz="0" w:space="0" w:color="auto"/>
          </w:divBdr>
        </w:div>
        <w:div w:id="1339381720">
          <w:marLeft w:val="0"/>
          <w:marRight w:val="0"/>
          <w:marTop w:val="0"/>
          <w:marBottom w:val="0"/>
          <w:divBdr>
            <w:top w:val="none" w:sz="0" w:space="0" w:color="auto"/>
            <w:left w:val="none" w:sz="0" w:space="0" w:color="auto"/>
            <w:bottom w:val="none" w:sz="0" w:space="0" w:color="auto"/>
            <w:right w:val="none" w:sz="0" w:space="0" w:color="auto"/>
          </w:divBdr>
        </w:div>
        <w:div w:id="378015609">
          <w:marLeft w:val="0"/>
          <w:marRight w:val="0"/>
          <w:marTop w:val="0"/>
          <w:marBottom w:val="0"/>
          <w:divBdr>
            <w:top w:val="none" w:sz="0" w:space="0" w:color="auto"/>
            <w:left w:val="none" w:sz="0" w:space="0" w:color="auto"/>
            <w:bottom w:val="none" w:sz="0" w:space="0" w:color="auto"/>
            <w:right w:val="none" w:sz="0" w:space="0" w:color="auto"/>
          </w:divBdr>
        </w:div>
      </w:divsChild>
    </w:div>
    <w:div w:id="618755899">
      <w:bodyDiv w:val="1"/>
      <w:marLeft w:val="0"/>
      <w:marRight w:val="0"/>
      <w:marTop w:val="0"/>
      <w:marBottom w:val="0"/>
      <w:divBdr>
        <w:top w:val="none" w:sz="0" w:space="0" w:color="auto"/>
        <w:left w:val="none" w:sz="0" w:space="0" w:color="auto"/>
        <w:bottom w:val="none" w:sz="0" w:space="0" w:color="auto"/>
        <w:right w:val="none" w:sz="0" w:space="0" w:color="auto"/>
      </w:divBdr>
      <w:divsChild>
        <w:div w:id="1380280664">
          <w:marLeft w:val="0"/>
          <w:marRight w:val="0"/>
          <w:marTop w:val="0"/>
          <w:marBottom w:val="0"/>
          <w:divBdr>
            <w:top w:val="none" w:sz="0" w:space="0" w:color="auto"/>
            <w:left w:val="none" w:sz="0" w:space="0" w:color="auto"/>
            <w:bottom w:val="none" w:sz="0" w:space="0" w:color="auto"/>
            <w:right w:val="none" w:sz="0" w:space="0" w:color="auto"/>
          </w:divBdr>
          <w:divsChild>
            <w:div w:id="2068261599">
              <w:marLeft w:val="0"/>
              <w:marRight w:val="0"/>
              <w:marTop w:val="0"/>
              <w:marBottom w:val="0"/>
              <w:divBdr>
                <w:top w:val="none" w:sz="0" w:space="0" w:color="auto"/>
                <w:left w:val="none" w:sz="0" w:space="0" w:color="auto"/>
                <w:bottom w:val="none" w:sz="0" w:space="0" w:color="auto"/>
                <w:right w:val="none" w:sz="0" w:space="0" w:color="auto"/>
              </w:divBdr>
              <w:divsChild>
                <w:div w:id="974218151">
                  <w:marLeft w:val="0"/>
                  <w:marRight w:val="0"/>
                  <w:marTop w:val="0"/>
                  <w:marBottom w:val="0"/>
                  <w:divBdr>
                    <w:top w:val="none" w:sz="0" w:space="0" w:color="auto"/>
                    <w:left w:val="none" w:sz="0" w:space="0" w:color="auto"/>
                    <w:bottom w:val="none" w:sz="0" w:space="0" w:color="auto"/>
                    <w:right w:val="none" w:sz="0" w:space="0" w:color="auto"/>
                  </w:divBdr>
                </w:div>
                <w:div w:id="369454208">
                  <w:marLeft w:val="0"/>
                  <w:marRight w:val="0"/>
                  <w:marTop w:val="0"/>
                  <w:marBottom w:val="0"/>
                  <w:divBdr>
                    <w:top w:val="none" w:sz="0" w:space="0" w:color="auto"/>
                    <w:left w:val="none" w:sz="0" w:space="0" w:color="auto"/>
                    <w:bottom w:val="none" w:sz="0" w:space="0" w:color="auto"/>
                    <w:right w:val="none" w:sz="0" w:space="0" w:color="auto"/>
                  </w:divBdr>
                </w:div>
                <w:div w:id="104274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850705">
          <w:marLeft w:val="0"/>
          <w:marRight w:val="60"/>
          <w:marTop w:val="0"/>
          <w:marBottom w:val="0"/>
          <w:divBdr>
            <w:top w:val="none" w:sz="0" w:space="0" w:color="auto"/>
            <w:left w:val="none" w:sz="0" w:space="0" w:color="auto"/>
            <w:bottom w:val="none" w:sz="0" w:space="0" w:color="auto"/>
            <w:right w:val="none" w:sz="0" w:space="0" w:color="auto"/>
          </w:divBdr>
        </w:div>
      </w:divsChild>
    </w:div>
    <w:div w:id="780490544">
      <w:bodyDiv w:val="1"/>
      <w:marLeft w:val="0"/>
      <w:marRight w:val="0"/>
      <w:marTop w:val="0"/>
      <w:marBottom w:val="0"/>
      <w:divBdr>
        <w:top w:val="none" w:sz="0" w:space="0" w:color="auto"/>
        <w:left w:val="none" w:sz="0" w:space="0" w:color="auto"/>
        <w:bottom w:val="none" w:sz="0" w:space="0" w:color="auto"/>
        <w:right w:val="none" w:sz="0" w:space="0" w:color="auto"/>
      </w:divBdr>
      <w:divsChild>
        <w:div w:id="1563717564">
          <w:marLeft w:val="0"/>
          <w:marRight w:val="0"/>
          <w:marTop w:val="0"/>
          <w:marBottom w:val="0"/>
          <w:divBdr>
            <w:top w:val="none" w:sz="0" w:space="0" w:color="auto"/>
            <w:left w:val="none" w:sz="0" w:space="0" w:color="auto"/>
            <w:bottom w:val="none" w:sz="0" w:space="0" w:color="auto"/>
            <w:right w:val="none" w:sz="0" w:space="0" w:color="auto"/>
          </w:divBdr>
        </w:div>
      </w:divsChild>
    </w:div>
    <w:div w:id="838622089">
      <w:bodyDiv w:val="1"/>
      <w:marLeft w:val="0"/>
      <w:marRight w:val="0"/>
      <w:marTop w:val="0"/>
      <w:marBottom w:val="0"/>
      <w:divBdr>
        <w:top w:val="none" w:sz="0" w:space="0" w:color="auto"/>
        <w:left w:val="none" w:sz="0" w:space="0" w:color="auto"/>
        <w:bottom w:val="none" w:sz="0" w:space="0" w:color="auto"/>
        <w:right w:val="none" w:sz="0" w:space="0" w:color="auto"/>
      </w:divBdr>
      <w:divsChild>
        <w:div w:id="273245840">
          <w:marLeft w:val="0"/>
          <w:marRight w:val="0"/>
          <w:marTop w:val="0"/>
          <w:marBottom w:val="0"/>
          <w:divBdr>
            <w:top w:val="none" w:sz="0" w:space="0" w:color="auto"/>
            <w:left w:val="none" w:sz="0" w:space="0" w:color="auto"/>
            <w:bottom w:val="none" w:sz="0" w:space="0" w:color="auto"/>
            <w:right w:val="none" w:sz="0" w:space="0" w:color="auto"/>
          </w:divBdr>
        </w:div>
        <w:div w:id="1177384945">
          <w:marLeft w:val="0"/>
          <w:marRight w:val="0"/>
          <w:marTop w:val="0"/>
          <w:marBottom w:val="0"/>
          <w:divBdr>
            <w:top w:val="none" w:sz="0" w:space="0" w:color="auto"/>
            <w:left w:val="none" w:sz="0" w:space="0" w:color="auto"/>
            <w:bottom w:val="none" w:sz="0" w:space="0" w:color="auto"/>
            <w:right w:val="none" w:sz="0" w:space="0" w:color="auto"/>
          </w:divBdr>
        </w:div>
        <w:div w:id="2073573865">
          <w:marLeft w:val="0"/>
          <w:marRight w:val="0"/>
          <w:marTop w:val="0"/>
          <w:marBottom w:val="0"/>
          <w:divBdr>
            <w:top w:val="none" w:sz="0" w:space="0" w:color="auto"/>
            <w:left w:val="none" w:sz="0" w:space="0" w:color="auto"/>
            <w:bottom w:val="none" w:sz="0" w:space="0" w:color="auto"/>
            <w:right w:val="none" w:sz="0" w:space="0" w:color="auto"/>
          </w:divBdr>
        </w:div>
      </w:divsChild>
    </w:div>
    <w:div w:id="1065680927">
      <w:bodyDiv w:val="1"/>
      <w:marLeft w:val="0"/>
      <w:marRight w:val="0"/>
      <w:marTop w:val="0"/>
      <w:marBottom w:val="0"/>
      <w:divBdr>
        <w:top w:val="none" w:sz="0" w:space="0" w:color="auto"/>
        <w:left w:val="none" w:sz="0" w:space="0" w:color="auto"/>
        <w:bottom w:val="none" w:sz="0" w:space="0" w:color="auto"/>
        <w:right w:val="none" w:sz="0" w:space="0" w:color="auto"/>
      </w:divBdr>
      <w:divsChild>
        <w:div w:id="897936380">
          <w:marLeft w:val="0"/>
          <w:marRight w:val="0"/>
          <w:marTop w:val="0"/>
          <w:marBottom w:val="0"/>
          <w:divBdr>
            <w:top w:val="none" w:sz="0" w:space="0" w:color="auto"/>
            <w:left w:val="none" w:sz="0" w:space="0" w:color="auto"/>
            <w:bottom w:val="none" w:sz="0" w:space="0" w:color="auto"/>
            <w:right w:val="none" w:sz="0" w:space="0" w:color="auto"/>
          </w:divBdr>
        </w:div>
        <w:div w:id="1199196990">
          <w:marLeft w:val="0"/>
          <w:marRight w:val="0"/>
          <w:marTop w:val="0"/>
          <w:marBottom w:val="0"/>
          <w:divBdr>
            <w:top w:val="none" w:sz="0" w:space="0" w:color="auto"/>
            <w:left w:val="none" w:sz="0" w:space="0" w:color="auto"/>
            <w:bottom w:val="none" w:sz="0" w:space="0" w:color="auto"/>
            <w:right w:val="none" w:sz="0" w:space="0" w:color="auto"/>
          </w:divBdr>
        </w:div>
        <w:div w:id="869300134">
          <w:marLeft w:val="0"/>
          <w:marRight w:val="0"/>
          <w:marTop w:val="0"/>
          <w:marBottom w:val="0"/>
          <w:divBdr>
            <w:top w:val="none" w:sz="0" w:space="0" w:color="auto"/>
            <w:left w:val="none" w:sz="0" w:space="0" w:color="auto"/>
            <w:bottom w:val="none" w:sz="0" w:space="0" w:color="auto"/>
            <w:right w:val="none" w:sz="0" w:space="0" w:color="auto"/>
          </w:divBdr>
        </w:div>
      </w:divsChild>
    </w:div>
    <w:div w:id="1139301615">
      <w:bodyDiv w:val="1"/>
      <w:marLeft w:val="0"/>
      <w:marRight w:val="0"/>
      <w:marTop w:val="0"/>
      <w:marBottom w:val="0"/>
      <w:divBdr>
        <w:top w:val="none" w:sz="0" w:space="0" w:color="auto"/>
        <w:left w:val="none" w:sz="0" w:space="0" w:color="auto"/>
        <w:bottom w:val="none" w:sz="0" w:space="0" w:color="auto"/>
        <w:right w:val="none" w:sz="0" w:space="0" w:color="auto"/>
      </w:divBdr>
      <w:divsChild>
        <w:div w:id="179852715">
          <w:marLeft w:val="0"/>
          <w:marRight w:val="0"/>
          <w:marTop w:val="0"/>
          <w:marBottom w:val="0"/>
          <w:divBdr>
            <w:top w:val="none" w:sz="0" w:space="0" w:color="auto"/>
            <w:left w:val="none" w:sz="0" w:space="0" w:color="auto"/>
            <w:bottom w:val="none" w:sz="0" w:space="0" w:color="auto"/>
            <w:right w:val="none" w:sz="0" w:space="0" w:color="auto"/>
          </w:divBdr>
        </w:div>
        <w:div w:id="565919301">
          <w:marLeft w:val="0"/>
          <w:marRight w:val="0"/>
          <w:marTop w:val="0"/>
          <w:marBottom w:val="0"/>
          <w:divBdr>
            <w:top w:val="none" w:sz="0" w:space="0" w:color="auto"/>
            <w:left w:val="none" w:sz="0" w:space="0" w:color="auto"/>
            <w:bottom w:val="none" w:sz="0" w:space="0" w:color="auto"/>
            <w:right w:val="none" w:sz="0" w:space="0" w:color="auto"/>
          </w:divBdr>
        </w:div>
        <w:div w:id="2140025544">
          <w:marLeft w:val="0"/>
          <w:marRight w:val="0"/>
          <w:marTop w:val="0"/>
          <w:marBottom w:val="0"/>
          <w:divBdr>
            <w:top w:val="none" w:sz="0" w:space="0" w:color="auto"/>
            <w:left w:val="none" w:sz="0" w:space="0" w:color="auto"/>
            <w:bottom w:val="none" w:sz="0" w:space="0" w:color="auto"/>
            <w:right w:val="none" w:sz="0" w:space="0" w:color="auto"/>
          </w:divBdr>
        </w:div>
      </w:divsChild>
    </w:div>
    <w:div w:id="1164736282">
      <w:bodyDiv w:val="1"/>
      <w:marLeft w:val="0"/>
      <w:marRight w:val="0"/>
      <w:marTop w:val="0"/>
      <w:marBottom w:val="0"/>
      <w:divBdr>
        <w:top w:val="none" w:sz="0" w:space="0" w:color="auto"/>
        <w:left w:val="none" w:sz="0" w:space="0" w:color="auto"/>
        <w:bottom w:val="none" w:sz="0" w:space="0" w:color="auto"/>
        <w:right w:val="none" w:sz="0" w:space="0" w:color="auto"/>
      </w:divBdr>
      <w:divsChild>
        <w:div w:id="379792432">
          <w:marLeft w:val="0"/>
          <w:marRight w:val="0"/>
          <w:marTop w:val="0"/>
          <w:marBottom w:val="0"/>
          <w:divBdr>
            <w:top w:val="none" w:sz="0" w:space="0" w:color="auto"/>
            <w:left w:val="none" w:sz="0" w:space="0" w:color="auto"/>
            <w:bottom w:val="none" w:sz="0" w:space="0" w:color="auto"/>
            <w:right w:val="none" w:sz="0" w:space="0" w:color="auto"/>
          </w:divBdr>
        </w:div>
        <w:div w:id="843205521">
          <w:marLeft w:val="0"/>
          <w:marRight w:val="0"/>
          <w:marTop w:val="0"/>
          <w:marBottom w:val="0"/>
          <w:divBdr>
            <w:top w:val="none" w:sz="0" w:space="0" w:color="auto"/>
            <w:left w:val="none" w:sz="0" w:space="0" w:color="auto"/>
            <w:bottom w:val="none" w:sz="0" w:space="0" w:color="auto"/>
            <w:right w:val="none" w:sz="0" w:space="0" w:color="auto"/>
          </w:divBdr>
        </w:div>
        <w:div w:id="716658647">
          <w:marLeft w:val="0"/>
          <w:marRight w:val="0"/>
          <w:marTop w:val="0"/>
          <w:marBottom w:val="0"/>
          <w:divBdr>
            <w:top w:val="none" w:sz="0" w:space="0" w:color="auto"/>
            <w:left w:val="none" w:sz="0" w:space="0" w:color="auto"/>
            <w:bottom w:val="none" w:sz="0" w:space="0" w:color="auto"/>
            <w:right w:val="none" w:sz="0" w:space="0" w:color="auto"/>
          </w:divBdr>
        </w:div>
        <w:div w:id="1880820378">
          <w:marLeft w:val="0"/>
          <w:marRight w:val="0"/>
          <w:marTop w:val="0"/>
          <w:marBottom w:val="0"/>
          <w:divBdr>
            <w:top w:val="none" w:sz="0" w:space="0" w:color="auto"/>
            <w:left w:val="none" w:sz="0" w:space="0" w:color="auto"/>
            <w:bottom w:val="none" w:sz="0" w:space="0" w:color="auto"/>
            <w:right w:val="none" w:sz="0" w:space="0" w:color="auto"/>
          </w:divBdr>
          <w:divsChild>
            <w:div w:id="1887449731">
              <w:marLeft w:val="0"/>
              <w:marRight w:val="0"/>
              <w:marTop w:val="0"/>
              <w:marBottom w:val="0"/>
              <w:divBdr>
                <w:top w:val="none" w:sz="0" w:space="0" w:color="auto"/>
                <w:left w:val="none" w:sz="0" w:space="0" w:color="auto"/>
                <w:bottom w:val="none" w:sz="0" w:space="0" w:color="auto"/>
                <w:right w:val="none" w:sz="0" w:space="0" w:color="auto"/>
              </w:divBdr>
              <w:divsChild>
                <w:div w:id="182650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546074">
      <w:bodyDiv w:val="1"/>
      <w:marLeft w:val="0"/>
      <w:marRight w:val="0"/>
      <w:marTop w:val="0"/>
      <w:marBottom w:val="0"/>
      <w:divBdr>
        <w:top w:val="none" w:sz="0" w:space="0" w:color="auto"/>
        <w:left w:val="none" w:sz="0" w:space="0" w:color="auto"/>
        <w:bottom w:val="none" w:sz="0" w:space="0" w:color="auto"/>
        <w:right w:val="none" w:sz="0" w:space="0" w:color="auto"/>
      </w:divBdr>
      <w:divsChild>
        <w:div w:id="1062631065">
          <w:marLeft w:val="0"/>
          <w:marRight w:val="0"/>
          <w:marTop w:val="0"/>
          <w:marBottom w:val="0"/>
          <w:divBdr>
            <w:top w:val="none" w:sz="0" w:space="0" w:color="auto"/>
            <w:left w:val="none" w:sz="0" w:space="0" w:color="auto"/>
            <w:bottom w:val="none" w:sz="0" w:space="0" w:color="auto"/>
            <w:right w:val="none" w:sz="0" w:space="0" w:color="auto"/>
          </w:divBdr>
        </w:div>
        <w:div w:id="1835681206">
          <w:marLeft w:val="0"/>
          <w:marRight w:val="0"/>
          <w:marTop w:val="0"/>
          <w:marBottom w:val="0"/>
          <w:divBdr>
            <w:top w:val="none" w:sz="0" w:space="0" w:color="auto"/>
            <w:left w:val="none" w:sz="0" w:space="0" w:color="auto"/>
            <w:bottom w:val="none" w:sz="0" w:space="0" w:color="auto"/>
            <w:right w:val="none" w:sz="0" w:space="0" w:color="auto"/>
          </w:divBdr>
        </w:div>
        <w:div w:id="2101444605">
          <w:marLeft w:val="0"/>
          <w:marRight w:val="0"/>
          <w:marTop w:val="0"/>
          <w:marBottom w:val="0"/>
          <w:divBdr>
            <w:top w:val="none" w:sz="0" w:space="0" w:color="auto"/>
            <w:left w:val="none" w:sz="0" w:space="0" w:color="auto"/>
            <w:bottom w:val="none" w:sz="0" w:space="0" w:color="auto"/>
            <w:right w:val="none" w:sz="0" w:space="0" w:color="auto"/>
          </w:divBdr>
        </w:div>
      </w:divsChild>
    </w:div>
    <w:div w:id="1348023135">
      <w:bodyDiv w:val="1"/>
      <w:marLeft w:val="0"/>
      <w:marRight w:val="0"/>
      <w:marTop w:val="0"/>
      <w:marBottom w:val="0"/>
      <w:divBdr>
        <w:top w:val="none" w:sz="0" w:space="0" w:color="auto"/>
        <w:left w:val="none" w:sz="0" w:space="0" w:color="auto"/>
        <w:bottom w:val="none" w:sz="0" w:space="0" w:color="auto"/>
        <w:right w:val="none" w:sz="0" w:space="0" w:color="auto"/>
      </w:divBdr>
      <w:divsChild>
        <w:div w:id="1898784203">
          <w:marLeft w:val="0"/>
          <w:marRight w:val="0"/>
          <w:marTop w:val="0"/>
          <w:marBottom w:val="0"/>
          <w:divBdr>
            <w:top w:val="none" w:sz="0" w:space="0" w:color="auto"/>
            <w:left w:val="none" w:sz="0" w:space="0" w:color="auto"/>
            <w:bottom w:val="none" w:sz="0" w:space="0" w:color="auto"/>
            <w:right w:val="none" w:sz="0" w:space="0" w:color="auto"/>
          </w:divBdr>
        </w:div>
        <w:div w:id="2106534066">
          <w:marLeft w:val="0"/>
          <w:marRight w:val="0"/>
          <w:marTop w:val="0"/>
          <w:marBottom w:val="0"/>
          <w:divBdr>
            <w:top w:val="none" w:sz="0" w:space="0" w:color="auto"/>
            <w:left w:val="none" w:sz="0" w:space="0" w:color="auto"/>
            <w:bottom w:val="none" w:sz="0" w:space="0" w:color="auto"/>
            <w:right w:val="none" w:sz="0" w:space="0" w:color="auto"/>
          </w:divBdr>
        </w:div>
        <w:div w:id="1375277578">
          <w:marLeft w:val="0"/>
          <w:marRight w:val="0"/>
          <w:marTop w:val="0"/>
          <w:marBottom w:val="0"/>
          <w:divBdr>
            <w:top w:val="none" w:sz="0" w:space="0" w:color="auto"/>
            <w:left w:val="none" w:sz="0" w:space="0" w:color="auto"/>
            <w:bottom w:val="none" w:sz="0" w:space="0" w:color="auto"/>
            <w:right w:val="none" w:sz="0" w:space="0" w:color="auto"/>
          </w:divBdr>
        </w:div>
        <w:div w:id="550575705">
          <w:marLeft w:val="0"/>
          <w:marRight w:val="0"/>
          <w:marTop w:val="0"/>
          <w:marBottom w:val="0"/>
          <w:divBdr>
            <w:top w:val="none" w:sz="0" w:space="0" w:color="auto"/>
            <w:left w:val="none" w:sz="0" w:space="0" w:color="auto"/>
            <w:bottom w:val="none" w:sz="0" w:space="0" w:color="auto"/>
            <w:right w:val="none" w:sz="0" w:space="0" w:color="auto"/>
          </w:divBdr>
        </w:div>
      </w:divsChild>
    </w:div>
    <w:div w:id="1573009307">
      <w:bodyDiv w:val="1"/>
      <w:marLeft w:val="0"/>
      <w:marRight w:val="0"/>
      <w:marTop w:val="0"/>
      <w:marBottom w:val="0"/>
      <w:divBdr>
        <w:top w:val="none" w:sz="0" w:space="0" w:color="auto"/>
        <w:left w:val="none" w:sz="0" w:space="0" w:color="auto"/>
        <w:bottom w:val="none" w:sz="0" w:space="0" w:color="auto"/>
        <w:right w:val="none" w:sz="0" w:space="0" w:color="auto"/>
      </w:divBdr>
      <w:divsChild>
        <w:div w:id="349531695">
          <w:marLeft w:val="0"/>
          <w:marRight w:val="0"/>
          <w:marTop w:val="0"/>
          <w:marBottom w:val="0"/>
          <w:divBdr>
            <w:top w:val="none" w:sz="0" w:space="0" w:color="auto"/>
            <w:left w:val="none" w:sz="0" w:space="0" w:color="auto"/>
            <w:bottom w:val="none" w:sz="0" w:space="0" w:color="auto"/>
            <w:right w:val="none" w:sz="0" w:space="0" w:color="auto"/>
          </w:divBdr>
        </w:div>
        <w:div w:id="710231941">
          <w:marLeft w:val="0"/>
          <w:marRight w:val="0"/>
          <w:marTop w:val="0"/>
          <w:marBottom w:val="0"/>
          <w:divBdr>
            <w:top w:val="none" w:sz="0" w:space="0" w:color="auto"/>
            <w:left w:val="none" w:sz="0" w:space="0" w:color="auto"/>
            <w:bottom w:val="none" w:sz="0" w:space="0" w:color="auto"/>
            <w:right w:val="none" w:sz="0" w:space="0" w:color="auto"/>
          </w:divBdr>
        </w:div>
        <w:div w:id="1410082387">
          <w:marLeft w:val="0"/>
          <w:marRight w:val="0"/>
          <w:marTop w:val="0"/>
          <w:marBottom w:val="0"/>
          <w:divBdr>
            <w:top w:val="none" w:sz="0" w:space="0" w:color="auto"/>
            <w:left w:val="none" w:sz="0" w:space="0" w:color="auto"/>
            <w:bottom w:val="none" w:sz="0" w:space="0" w:color="auto"/>
            <w:right w:val="none" w:sz="0" w:space="0" w:color="auto"/>
          </w:divBdr>
        </w:div>
      </w:divsChild>
    </w:div>
    <w:div w:id="1723140603">
      <w:bodyDiv w:val="1"/>
      <w:marLeft w:val="0"/>
      <w:marRight w:val="0"/>
      <w:marTop w:val="0"/>
      <w:marBottom w:val="0"/>
      <w:divBdr>
        <w:top w:val="none" w:sz="0" w:space="0" w:color="auto"/>
        <w:left w:val="none" w:sz="0" w:space="0" w:color="auto"/>
        <w:bottom w:val="none" w:sz="0" w:space="0" w:color="auto"/>
        <w:right w:val="none" w:sz="0" w:space="0" w:color="auto"/>
      </w:divBdr>
      <w:divsChild>
        <w:div w:id="603457871">
          <w:marLeft w:val="0"/>
          <w:marRight w:val="0"/>
          <w:marTop w:val="0"/>
          <w:marBottom w:val="0"/>
          <w:divBdr>
            <w:top w:val="none" w:sz="0" w:space="0" w:color="auto"/>
            <w:left w:val="none" w:sz="0" w:space="0" w:color="auto"/>
            <w:bottom w:val="none" w:sz="0" w:space="0" w:color="auto"/>
            <w:right w:val="none" w:sz="0" w:space="0" w:color="auto"/>
          </w:divBdr>
        </w:div>
        <w:div w:id="422065877">
          <w:marLeft w:val="0"/>
          <w:marRight w:val="0"/>
          <w:marTop w:val="0"/>
          <w:marBottom w:val="0"/>
          <w:divBdr>
            <w:top w:val="none" w:sz="0" w:space="0" w:color="auto"/>
            <w:left w:val="none" w:sz="0" w:space="0" w:color="auto"/>
            <w:bottom w:val="none" w:sz="0" w:space="0" w:color="auto"/>
            <w:right w:val="none" w:sz="0" w:space="0" w:color="auto"/>
          </w:divBdr>
        </w:div>
        <w:div w:id="857087744">
          <w:marLeft w:val="0"/>
          <w:marRight w:val="0"/>
          <w:marTop w:val="0"/>
          <w:marBottom w:val="0"/>
          <w:divBdr>
            <w:top w:val="none" w:sz="0" w:space="0" w:color="auto"/>
            <w:left w:val="none" w:sz="0" w:space="0" w:color="auto"/>
            <w:bottom w:val="none" w:sz="0" w:space="0" w:color="auto"/>
            <w:right w:val="none" w:sz="0" w:space="0" w:color="auto"/>
          </w:divBdr>
        </w:div>
      </w:divsChild>
    </w:div>
    <w:div w:id="1790316146">
      <w:bodyDiv w:val="1"/>
      <w:marLeft w:val="0"/>
      <w:marRight w:val="0"/>
      <w:marTop w:val="0"/>
      <w:marBottom w:val="0"/>
      <w:divBdr>
        <w:top w:val="none" w:sz="0" w:space="0" w:color="auto"/>
        <w:left w:val="none" w:sz="0" w:space="0" w:color="auto"/>
        <w:bottom w:val="none" w:sz="0" w:space="0" w:color="auto"/>
        <w:right w:val="none" w:sz="0" w:space="0" w:color="auto"/>
      </w:divBdr>
      <w:divsChild>
        <w:div w:id="2076004480">
          <w:marLeft w:val="0"/>
          <w:marRight w:val="0"/>
          <w:marTop w:val="0"/>
          <w:marBottom w:val="0"/>
          <w:divBdr>
            <w:top w:val="none" w:sz="0" w:space="0" w:color="auto"/>
            <w:left w:val="none" w:sz="0" w:space="0" w:color="auto"/>
            <w:bottom w:val="none" w:sz="0" w:space="0" w:color="auto"/>
            <w:right w:val="none" w:sz="0" w:space="0" w:color="auto"/>
          </w:divBdr>
        </w:div>
        <w:div w:id="1453211637">
          <w:marLeft w:val="0"/>
          <w:marRight w:val="0"/>
          <w:marTop w:val="0"/>
          <w:marBottom w:val="0"/>
          <w:divBdr>
            <w:top w:val="none" w:sz="0" w:space="0" w:color="auto"/>
            <w:left w:val="none" w:sz="0" w:space="0" w:color="auto"/>
            <w:bottom w:val="none" w:sz="0" w:space="0" w:color="auto"/>
            <w:right w:val="none" w:sz="0" w:space="0" w:color="auto"/>
          </w:divBdr>
        </w:div>
        <w:div w:id="727922957">
          <w:marLeft w:val="0"/>
          <w:marRight w:val="0"/>
          <w:marTop w:val="0"/>
          <w:marBottom w:val="0"/>
          <w:divBdr>
            <w:top w:val="none" w:sz="0" w:space="0" w:color="auto"/>
            <w:left w:val="none" w:sz="0" w:space="0" w:color="auto"/>
            <w:bottom w:val="none" w:sz="0" w:space="0" w:color="auto"/>
            <w:right w:val="none" w:sz="0" w:space="0" w:color="auto"/>
          </w:divBdr>
        </w:div>
        <w:div w:id="369963975">
          <w:marLeft w:val="0"/>
          <w:marRight w:val="0"/>
          <w:marTop w:val="0"/>
          <w:marBottom w:val="0"/>
          <w:divBdr>
            <w:top w:val="none" w:sz="0" w:space="0" w:color="auto"/>
            <w:left w:val="none" w:sz="0" w:space="0" w:color="auto"/>
            <w:bottom w:val="none" w:sz="0" w:space="0" w:color="auto"/>
            <w:right w:val="none" w:sz="0" w:space="0" w:color="auto"/>
          </w:divBdr>
          <w:divsChild>
            <w:div w:id="1394310900">
              <w:marLeft w:val="0"/>
              <w:marRight w:val="0"/>
              <w:marTop w:val="0"/>
              <w:marBottom w:val="0"/>
              <w:divBdr>
                <w:top w:val="none" w:sz="0" w:space="0" w:color="auto"/>
                <w:left w:val="none" w:sz="0" w:space="0" w:color="auto"/>
                <w:bottom w:val="none" w:sz="0" w:space="0" w:color="auto"/>
                <w:right w:val="none" w:sz="0" w:space="0" w:color="auto"/>
              </w:divBdr>
              <w:divsChild>
                <w:div w:id="102695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567436">
      <w:bodyDiv w:val="1"/>
      <w:marLeft w:val="0"/>
      <w:marRight w:val="0"/>
      <w:marTop w:val="0"/>
      <w:marBottom w:val="0"/>
      <w:divBdr>
        <w:top w:val="none" w:sz="0" w:space="0" w:color="auto"/>
        <w:left w:val="none" w:sz="0" w:space="0" w:color="auto"/>
        <w:bottom w:val="none" w:sz="0" w:space="0" w:color="auto"/>
        <w:right w:val="none" w:sz="0" w:space="0" w:color="auto"/>
      </w:divBdr>
      <w:divsChild>
        <w:div w:id="2111193747">
          <w:marLeft w:val="0"/>
          <w:marRight w:val="0"/>
          <w:marTop w:val="0"/>
          <w:marBottom w:val="0"/>
          <w:divBdr>
            <w:top w:val="none" w:sz="0" w:space="0" w:color="auto"/>
            <w:left w:val="none" w:sz="0" w:space="0" w:color="auto"/>
            <w:bottom w:val="none" w:sz="0" w:space="0" w:color="auto"/>
            <w:right w:val="none" w:sz="0" w:space="0" w:color="auto"/>
          </w:divBdr>
        </w:div>
        <w:div w:id="807434721">
          <w:marLeft w:val="0"/>
          <w:marRight w:val="0"/>
          <w:marTop w:val="0"/>
          <w:marBottom w:val="0"/>
          <w:divBdr>
            <w:top w:val="none" w:sz="0" w:space="0" w:color="auto"/>
            <w:left w:val="none" w:sz="0" w:space="0" w:color="auto"/>
            <w:bottom w:val="none" w:sz="0" w:space="0" w:color="auto"/>
            <w:right w:val="none" w:sz="0" w:space="0" w:color="auto"/>
          </w:divBdr>
        </w:div>
        <w:div w:id="1472481538">
          <w:marLeft w:val="0"/>
          <w:marRight w:val="0"/>
          <w:marTop w:val="0"/>
          <w:marBottom w:val="0"/>
          <w:divBdr>
            <w:top w:val="none" w:sz="0" w:space="0" w:color="auto"/>
            <w:left w:val="none" w:sz="0" w:space="0" w:color="auto"/>
            <w:bottom w:val="none" w:sz="0" w:space="0" w:color="auto"/>
            <w:right w:val="none" w:sz="0" w:space="0" w:color="auto"/>
          </w:divBdr>
        </w:div>
      </w:divsChild>
    </w:div>
    <w:div w:id="1992178474">
      <w:bodyDiv w:val="1"/>
      <w:marLeft w:val="0"/>
      <w:marRight w:val="0"/>
      <w:marTop w:val="0"/>
      <w:marBottom w:val="0"/>
      <w:divBdr>
        <w:top w:val="none" w:sz="0" w:space="0" w:color="auto"/>
        <w:left w:val="none" w:sz="0" w:space="0" w:color="auto"/>
        <w:bottom w:val="none" w:sz="0" w:space="0" w:color="auto"/>
        <w:right w:val="none" w:sz="0" w:space="0" w:color="auto"/>
      </w:divBdr>
      <w:divsChild>
        <w:div w:id="1438060276">
          <w:marLeft w:val="0"/>
          <w:marRight w:val="0"/>
          <w:marTop w:val="0"/>
          <w:marBottom w:val="0"/>
          <w:divBdr>
            <w:top w:val="none" w:sz="0" w:space="0" w:color="auto"/>
            <w:left w:val="none" w:sz="0" w:space="0" w:color="auto"/>
            <w:bottom w:val="none" w:sz="0" w:space="0" w:color="auto"/>
            <w:right w:val="none" w:sz="0" w:space="0" w:color="auto"/>
          </w:divBdr>
        </w:div>
        <w:div w:id="1085611272">
          <w:marLeft w:val="0"/>
          <w:marRight w:val="0"/>
          <w:marTop w:val="0"/>
          <w:marBottom w:val="0"/>
          <w:divBdr>
            <w:top w:val="none" w:sz="0" w:space="0" w:color="auto"/>
            <w:left w:val="none" w:sz="0" w:space="0" w:color="auto"/>
            <w:bottom w:val="none" w:sz="0" w:space="0" w:color="auto"/>
            <w:right w:val="none" w:sz="0" w:space="0" w:color="auto"/>
          </w:divBdr>
        </w:div>
        <w:div w:id="991561054">
          <w:marLeft w:val="0"/>
          <w:marRight w:val="0"/>
          <w:marTop w:val="0"/>
          <w:marBottom w:val="0"/>
          <w:divBdr>
            <w:top w:val="none" w:sz="0" w:space="0" w:color="auto"/>
            <w:left w:val="none" w:sz="0" w:space="0" w:color="auto"/>
            <w:bottom w:val="none" w:sz="0" w:space="0" w:color="auto"/>
            <w:right w:val="none" w:sz="0" w:space="0" w:color="auto"/>
          </w:divBdr>
        </w:div>
      </w:divsChild>
    </w:div>
    <w:div w:id="2121296560">
      <w:bodyDiv w:val="1"/>
      <w:marLeft w:val="0"/>
      <w:marRight w:val="0"/>
      <w:marTop w:val="0"/>
      <w:marBottom w:val="0"/>
      <w:divBdr>
        <w:top w:val="none" w:sz="0" w:space="0" w:color="auto"/>
        <w:left w:val="none" w:sz="0" w:space="0" w:color="auto"/>
        <w:bottom w:val="none" w:sz="0" w:space="0" w:color="auto"/>
        <w:right w:val="none" w:sz="0" w:space="0" w:color="auto"/>
      </w:divBdr>
      <w:divsChild>
        <w:div w:id="1573350109">
          <w:marLeft w:val="0"/>
          <w:marRight w:val="0"/>
          <w:marTop w:val="0"/>
          <w:marBottom w:val="0"/>
          <w:divBdr>
            <w:top w:val="none" w:sz="0" w:space="0" w:color="auto"/>
            <w:left w:val="none" w:sz="0" w:space="0" w:color="auto"/>
            <w:bottom w:val="none" w:sz="0" w:space="0" w:color="auto"/>
            <w:right w:val="none" w:sz="0" w:space="0" w:color="auto"/>
          </w:divBdr>
        </w:div>
        <w:div w:id="1222667334">
          <w:marLeft w:val="0"/>
          <w:marRight w:val="0"/>
          <w:marTop w:val="0"/>
          <w:marBottom w:val="0"/>
          <w:divBdr>
            <w:top w:val="none" w:sz="0" w:space="0" w:color="auto"/>
            <w:left w:val="none" w:sz="0" w:space="0" w:color="auto"/>
            <w:bottom w:val="none" w:sz="0" w:space="0" w:color="auto"/>
            <w:right w:val="none" w:sz="0" w:space="0" w:color="auto"/>
          </w:divBdr>
        </w:div>
        <w:div w:id="14111911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munitydance.org.uk/about-us-2"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www.sadlerswells.com/take-part/making-moves/"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nusearch.nottingham.ac.uk/primo-explore/fulldisplay?docid=TN_cdi_openaire_primary_doi_617bc20fa3131f642c0dbe1d26a4f0c7&amp;context=PC&amp;vid=44NOTUK&amp;lang=en_US&amp;search_scope=44NOTUK_COMPLETE&amp;adaptor=primo_central_multiple_fe&amp;tab=44notuk_complete&amp;query=any%2Ccontains%2CKamila%20shamsie&amp;facet=rtype%2Cexclude%2Creviews%2Clk&amp;offset=0" TargetMode="External"/><Relationship Id="rId11" Type="http://schemas.openxmlformats.org/officeDocument/2006/relationships/customXml" Target="../customXml/item1.xml"/><Relationship Id="rId5" Type="http://schemas.openxmlformats.org/officeDocument/2006/relationships/hyperlink" Target="https://doi-org.nottingham.idm.oclc.org/10.1080/13556509.2019.1680075"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15" ma:contentTypeDescription="Create a new document." ma:contentTypeScope="" ma:versionID="8c03b99c73b16f796524696e9e50629c">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d861c0adfd8138b108b3d5950233f7ba" ns2:_="" ns3:_="">
    <xsd:import namespace="1c984a37-fa25-486b-abe3-8c50415064c9"/>
    <xsd:import namespace="68eb6231-397a-455f-92e3-fa2b1e295c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6624216-d583-4636-a04d-17921d6eaf6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f39a7a7c-c610-4416-b2f7-29adde991805}" ma:internalName="TaxCatchAll" ma:showField="CatchAllData" ma:web="68eb6231-397a-455f-92e3-fa2b1e295cc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8eb6231-397a-455f-92e3-fa2b1e295cc4" xsi:nil="true"/>
    <lcf76f155ced4ddcb4097134ff3c332f xmlns="1c984a37-fa25-486b-abe3-8c50415064c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7137B09-4810-4A7B-9E95-68C069FE0D7D}"/>
</file>

<file path=customXml/itemProps2.xml><?xml version="1.0" encoding="utf-8"?>
<ds:datastoreItem xmlns:ds="http://schemas.openxmlformats.org/officeDocument/2006/customXml" ds:itemID="{6B84A88D-7C54-4124-827A-36CC827FBB64}"/>
</file>

<file path=customXml/itemProps3.xml><?xml version="1.0" encoding="utf-8"?>
<ds:datastoreItem xmlns:ds="http://schemas.openxmlformats.org/officeDocument/2006/customXml" ds:itemID="{9B67A4E1-5B5B-400B-BA8E-F8DE7379C96E}"/>
</file>

<file path=docProps/app.xml><?xml version="1.0" encoding="utf-8"?>
<Properties xmlns="http://schemas.openxmlformats.org/officeDocument/2006/extended-properties" xmlns:vt="http://schemas.openxmlformats.org/officeDocument/2006/docPropsVTypes">
  <Template>Normal.dotm</Template>
  <TotalTime>339</TotalTime>
  <Pages>7</Pages>
  <Words>3201</Words>
  <Characters>18248</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Royan (staff)</dc:creator>
  <cp:keywords/>
  <dc:description/>
  <cp:lastModifiedBy>Nicola Royan (staff)</cp:lastModifiedBy>
  <cp:revision>211</cp:revision>
  <dcterms:created xsi:type="dcterms:W3CDTF">2024-01-15T12:18:00Z</dcterms:created>
  <dcterms:modified xsi:type="dcterms:W3CDTF">2024-01-21T15:34:00Z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0x010100FE83848AB3E27441A746D47ECED563B0</vt:lpwstr>
  </property>
</Properties>
</file>