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96EB81" w14:textId="1B0E95E2" w:rsidR="009D0E3A" w:rsidRDefault="002778E2" w:rsidP="002778E2">
      <w:pPr>
        <w:jc w:val="center"/>
        <w:rPr>
          <w:rFonts w:ascii="Garamond" w:hAnsi="Garamond"/>
          <w:b/>
          <w:bCs/>
          <w:sz w:val="25"/>
          <w:szCs w:val="25"/>
        </w:rPr>
      </w:pPr>
      <w:r w:rsidRPr="002778E2">
        <w:rPr>
          <w:rFonts w:ascii="Garamond" w:hAnsi="Garamond"/>
          <w:b/>
          <w:bCs/>
          <w:sz w:val="25"/>
          <w:szCs w:val="25"/>
        </w:rPr>
        <w:t>HI115 Latin America: Themes and Problems</w:t>
      </w:r>
    </w:p>
    <w:p w14:paraId="51CE3161" w14:textId="13C96215" w:rsidR="00D4014A" w:rsidRDefault="00D4014A" w:rsidP="00D4014A">
      <w:pPr>
        <w:jc w:val="center"/>
        <w:rPr>
          <w:rFonts w:ascii="Garamond" w:hAnsi="Garamond"/>
          <w:b/>
          <w:bCs/>
          <w:sz w:val="25"/>
          <w:szCs w:val="25"/>
        </w:rPr>
      </w:pPr>
      <w:r>
        <w:rPr>
          <w:rFonts w:ascii="Garamond" w:hAnsi="Garamond"/>
          <w:b/>
          <w:bCs/>
          <w:sz w:val="25"/>
          <w:szCs w:val="25"/>
        </w:rPr>
        <w:t>1,000-word Essay Plans: Some Useful Tips</w:t>
      </w:r>
      <w:r>
        <w:rPr>
          <w:rFonts w:ascii="Garamond" w:hAnsi="Garamond"/>
          <w:b/>
          <w:bCs/>
          <w:sz w:val="25"/>
          <w:szCs w:val="25"/>
        </w:rPr>
        <w:t xml:space="preserve"> </w:t>
      </w:r>
    </w:p>
    <w:p w14:paraId="1998C04B" w14:textId="6E493026" w:rsidR="00D4014A" w:rsidRDefault="00D4014A" w:rsidP="002778E2">
      <w:pPr>
        <w:jc w:val="center"/>
        <w:rPr>
          <w:rFonts w:ascii="Garamond" w:hAnsi="Garamond"/>
          <w:b/>
          <w:bCs/>
          <w:sz w:val="25"/>
          <w:szCs w:val="25"/>
        </w:rPr>
      </w:pPr>
    </w:p>
    <w:p w14:paraId="148E9D9C" w14:textId="6E3D2231" w:rsidR="002778E2" w:rsidRDefault="002778E2" w:rsidP="002778E2">
      <w:pPr>
        <w:jc w:val="both"/>
        <w:rPr>
          <w:rFonts w:ascii="Garamond" w:hAnsi="Garamond"/>
          <w:b/>
          <w:bCs/>
          <w:i/>
          <w:iCs/>
          <w:sz w:val="25"/>
          <w:szCs w:val="25"/>
        </w:rPr>
      </w:pPr>
      <w:r>
        <w:rPr>
          <w:rFonts w:ascii="Garamond" w:hAnsi="Garamond"/>
          <w:b/>
          <w:bCs/>
          <w:i/>
          <w:iCs/>
          <w:sz w:val="25"/>
          <w:szCs w:val="25"/>
        </w:rPr>
        <w:t>Why do an essay plan?</w:t>
      </w:r>
    </w:p>
    <w:p w14:paraId="3A559A1A" w14:textId="55B31DF0" w:rsidR="002778E2" w:rsidRDefault="002778E2" w:rsidP="002778E2">
      <w:pPr>
        <w:jc w:val="both"/>
        <w:rPr>
          <w:rFonts w:ascii="Garamond" w:hAnsi="Garamond"/>
          <w:sz w:val="25"/>
          <w:szCs w:val="25"/>
        </w:rPr>
      </w:pPr>
      <w:r>
        <w:rPr>
          <w:rFonts w:ascii="Garamond" w:hAnsi="Garamond"/>
          <w:sz w:val="25"/>
          <w:szCs w:val="25"/>
        </w:rPr>
        <w:t xml:space="preserve">This is a great exercise to get you used to writing essays at Warwick. You will get some early feedback on a longer essay that you’ll produce later in the course. You get a chance to try out your ideas and have your tutor’s input. </w:t>
      </w:r>
    </w:p>
    <w:p w14:paraId="5390595A" w14:textId="727D3507" w:rsidR="002778E2" w:rsidRDefault="002778E2" w:rsidP="002778E2">
      <w:pPr>
        <w:jc w:val="both"/>
        <w:rPr>
          <w:rFonts w:ascii="Garamond" w:hAnsi="Garamond"/>
          <w:b/>
          <w:bCs/>
          <w:i/>
          <w:iCs/>
          <w:sz w:val="25"/>
          <w:szCs w:val="25"/>
        </w:rPr>
      </w:pPr>
      <w:r>
        <w:rPr>
          <w:rFonts w:ascii="Garamond" w:hAnsi="Garamond"/>
          <w:b/>
          <w:bCs/>
          <w:i/>
          <w:iCs/>
          <w:sz w:val="25"/>
          <w:szCs w:val="25"/>
        </w:rPr>
        <w:t>Is it assessed?</w:t>
      </w:r>
    </w:p>
    <w:p w14:paraId="48684354" w14:textId="2956D8DC" w:rsidR="002778E2" w:rsidRDefault="002778E2" w:rsidP="002778E2">
      <w:pPr>
        <w:jc w:val="both"/>
        <w:rPr>
          <w:rFonts w:ascii="Garamond" w:hAnsi="Garamond"/>
          <w:sz w:val="25"/>
          <w:szCs w:val="25"/>
        </w:rPr>
      </w:pPr>
      <w:r>
        <w:rPr>
          <w:rFonts w:ascii="Garamond" w:hAnsi="Garamond"/>
          <w:sz w:val="25"/>
          <w:szCs w:val="25"/>
        </w:rPr>
        <w:t xml:space="preserve">Yes – it counts for 10% of your module mark. </w:t>
      </w:r>
      <w:r w:rsidR="00D4014A">
        <w:rPr>
          <w:rFonts w:ascii="Garamond" w:hAnsi="Garamond"/>
          <w:sz w:val="25"/>
          <w:szCs w:val="25"/>
        </w:rPr>
        <w:t xml:space="preserve">See the Assessment page of the module webpages: </w:t>
      </w:r>
      <w:hyperlink r:id="rId5" w:history="1">
        <w:r w:rsidR="00D4014A" w:rsidRPr="00B81C62">
          <w:rPr>
            <w:rStyle w:val="Hyperlink"/>
            <w:rFonts w:ascii="Garamond" w:hAnsi="Garamond"/>
            <w:sz w:val="25"/>
            <w:szCs w:val="25"/>
          </w:rPr>
          <w:t>https://warwick.ac.uk/fac/arts/history/students/modules/hi115/details/</w:t>
        </w:r>
      </w:hyperlink>
      <w:r w:rsidR="00D4014A">
        <w:rPr>
          <w:rFonts w:ascii="Garamond" w:hAnsi="Garamond"/>
          <w:sz w:val="25"/>
          <w:szCs w:val="25"/>
        </w:rPr>
        <w:t xml:space="preserve"> </w:t>
      </w:r>
    </w:p>
    <w:p w14:paraId="5037DA12" w14:textId="4F094A42" w:rsidR="002778E2" w:rsidRDefault="002778E2" w:rsidP="002778E2">
      <w:pPr>
        <w:jc w:val="both"/>
        <w:rPr>
          <w:rFonts w:ascii="Garamond" w:hAnsi="Garamond"/>
          <w:b/>
          <w:bCs/>
          <w:i/>
          <w:iCs/>
          <w:sz w:val="25"/>
          <w:szCs w:val="25"/>
        </w:rPr>
      </w:pPr>
      <w:r>
        <w:rPr>
          <w:rFonts w:ascii="Garamond" w:hAnsi="Garamond"/>
          <w:b/>
          <w:bCs/>
          <w:i/>
          <w:iCs/>
          <w:sz w:val="25"/>
          <w:szCs w:val="25"/>
        </w:rPr>
        <w:t>What essay question should I be asking?</w:t>
      </w:r>
    </w:p>
    <w:p w14:paraId="3272A510" w14:textId="3FD2B7EC" w:rsidR="002778E2" w:rsidRDefault="002778E2" w:rsidP="002778E2">
      <w:pPr>
        <w:jc w:val="both"/>
        <w:rPr>
          <w:rFonts w:ascii="Garamond" w:hAnsi="Garamond"/>
          <w:sz w:val="25"/>
          <w:szCs w:val="25"/>
        </w:rPr>
      </w:pPr>
      <w:r>
        <w:rPr>
          <w:rFonts w:ascii="Garamond" w:hAnsi="Garamond"/>
          <w:sz w:val="25"/>
          <w:szCs w:val="25"/>
        </w:rPr>
        <w:t>Please choose one of the questions listed on the module website under Essay Questions. If you want to choose your own question, it is fine but please consult your tutor about it before going ahead (send a brief email or ask after class).</w:t>
      </w:r>
    </w:p>
    <w:p w14:paraId="11E6B473" w14:textId="1A19EEC4" w:rsidR="002778E2" w:rsidRDefault="002778E2" w:rsidP="002778E2">
      <w:pPr>
        <w:jc w:val="both"/>
        <w:rPr>
          <w:rFonts w:ascii="Garamond" w:hAnsi="Garamond"/>
          <w:b/>
          <w:bCs/>
          <w:i/>
          <w:iCs/>
          <w:sz w:val="25"/>
          <w:szCs w:val="25"/>
        </w:rPr>
      </w:pPr>
      <w:r>
        <w:rPr>
          <w:rFonts w:ascii="Garamond" w:hAnsi="Garamond"/>
          <w:b/>
          <w:bCs/>
          <w:i/>
          <w:iCs/>
          <w:sz w:val="25"/>
          <w:szCs w:val="25"/>
        </w:rPr>
        <w:t>Is this the plan for the longer essay I will write later on the course?</w:t>
      </w:r>
    </w:p>
    <w:p w14:paraId="6FE9866E" w14:textId="5727CCFC" w:rsidR="002778E2" w:rsidRDefault="002778E2" w:rsidP="002778E2">
      <w:pPr>
        <w:jc w:val="both"/>
        <w:rPr>
          <w:rFonts w:ascii="Garamond" w:hAnsi="Garamond"/>
          <w:sz w:val="25"/>
          <w:szCs w:val="25"/>
        </w:rPr>
      </w:pPr>
      <w:r>
        <w:rPr>
          <w:rFonts w:ascii="Garamond" w:hAnsi="Garamond"/>
          <w:sz w:val="25"/>
          <w:szCs w:val="25"/>
        </w:rPr>
        <w:t xml:space="preserve">Yes, that it is the idea – this plan will help you produce that longer, first essay. But if you particularly want to do a completely new essay later, that is OK too. </w:t>
      </w:r>
    </w:p>
    <w:p w14:paraId="2CEFB4F7" w14:textId="41A45258" w:rsidR="002778E2" w:rsidRDefault="002778E2" w:rsidP="002778E2">
      <w:pPr>
        <w:jc w:val="both"/>
        <w:rPr>
          <w:rFonts w:ascii="Garamond" w:hAnsi="Garamond"/>
          <w:b/>
          <w:bCs/>
          <w:i/>
          <w:iCs/>
          <w:sz w:val="25"/>
          <w:szCs w:val="25"/>
        </w:rPr>
      </w:pPr>
      <w:r>
        <w:rPr>
          <w:rFonts w:ascii="Garamond" w:hAnsi="Garamond"/>
          <w:b/>
          <w:bCs/>
          <w:i/>
          <w:iCs/>
          <w:sz w:val="25"/>
          <w:szCs w:val="25"/>
        </w:rPr>
        <w:t>Can I pick a question that doesn’t relate to topics we’ve already covered on the course?</w:t>
      </w:r>
    </w:p>
    <w:p w14:paraId="57F7C319" w14:textId="44EC61E5" w:rsidR="002778E2" w:rsidRPr="002778E2" w:rsidRDefault="002778E2" w:rsidP="002778E2">
      <w:pPr>
        <w:jc w:val="both"/>
        <w:rPr>
          <w:rFonts w:ascii="Garamond" w:hAnsi="Garamond"/>
          <w:sz w:val="25"/>
          <w:szCs w:val="25"/>
        </w:rPr>
      </w:pPr>
      <w:r>
        <w:rPr>
          <w:rFonts w:ascii="Garamond" w:hAnsi="Garamond"/>
          <w:sz w:val="25"/>
          <w:szCs w:val="25"/>
        </w:rPr>
        <w:t xml:space="preserve">Yes. It’s up to you. If you do that, you’ll need to read ahead a bit more, using your text coursebook, the reading list and the seminar reading assigned for the week of the topic that you choose. </w:t>
      </w:r>
    </w:p>
    <w:p w14:paraId="5869C8E9" w14:textId="20010A60" w:rsidR="002778E2" w:rsidRDefault="002778E2" w:rsidP="002778E2">
      <w:pPr>
        <w:jc w:val="both"/>
        <w:rPr>
          <w:rFonts w:ascii="Garamond" w:hAnsi="Garamond"/>
          <w:b/>
          <w:bCs/>
          <w:i/>
          <w:iCs/>
          <w:sz w:val="25"/>
          <w:szCs w:val="25"/>
        </w:rPr>
      </w:pPr>
      <w:r>
        <w:rPr>
          <w:rFonts w:ascii="Garamond" w:hAnsi="Garamond"/>
          <w:b/>
          <w:bCs/>
          <w:i/>
          <w:iCs/>
          <w:sz w:val="25"/>
          <w:szCs w:val="25"/>
        </w:rPr>
        <w:t>What format should the plan take?</w:t>
      </w:r>
    </w:p>
    <w:p w14:paraId="1AC751B1" w14:textId="3D6F3106" w:rsidR="002778E2" w:rsidRDefault="002778E2" w:rsidP="002778E2">
      <w:pPr>
        <w:jc w:val="both"/>
        <w:rPr>
          <w:rFonts w:ascii="Garamond" w:hAnsi="Garamond"/>
          <w:sz w:val="25"/>
          <w:szCs w:val="25"/>
        </w:rPr>
      </w:pPr>
      <w:r>
        <w:rPr>
          <w:rFonts w:ascii="Garamond" w:hAnsi="Garamond"/>
          <w:sz w:val="25"/>
          <w:szCs w:val="25"/>
        </w:rPr>
        <w:t>There is no set rule, but as a guide, try to include:</w:t>
      </w:r>
    </w:p>
    <w:p w14:paraId="1942F05C" w14:textId="01C309A7" w:rsidR="002778E2" w:rsidRDefault="002778E2" w:rsidP="002778E2">
      <w:pPr>
        <w:pStyle w:val="ListParagraph"/>
        <w:numPr>
          <w:ilvl w:val="0"/>
          <w:numId w:val="1"/>
        </w:numPr>
        <w:jc w:val="both"/>
        <w:rPr>
          <w:rFonts w:ascii="Garamond" w:hAnsi="Garamond"/>
          <w:sz w:val="25"/>
          <w:szCs w:val="25"/>
        </w:rPr>
      </w:pPr>
      <w:r>
        <w:rPr>
          <w:rFonts w:ascii="Garamond" w:hAnsi="Garamond"/>
          <w:sz w:val="25"/>
          <w:szCs w:val="25"/>
        </w:rPr>
        <w:t xml:space="preserve">An overall statement of what </w:t>
      </w:r>
      <w:r>
        <w:rPr>
          <w:rFonts w:ascii="Garamond" w:hAnsi="Garamond"/>
          <w:b/>
          <w:bCs/>
          <w:sz w:val="25"/>
          <w:szCs w:val="25"/>
        </w:rPr>
        <w:t xml:space="preserve">answer to the question </w:t>
      </w:r>
      <w:r>
        <w:rPr>
          <w:rFonts w:ascii="Garamond" w:hAnsi="Garamond"/>
          <w:sz w:val="25"/>
          <w:szCs w:val="25"/>
        </w:rPr>
        <w:t xml:space="preserve">you are going to offer. </w:t>
      </w:r>
      <w:r w:rsidR="000456BF">
        <w:rPr>
          <w:rFonts w:ascii="Garamond" w:hAnsi="Garamond"/>
          <w:sz w:val="25"/>
          <w:szCs w:val="25"/>
        </w:rPr>
        <w:t xml:space="preserve">This is the most important thing to get straight in your mind. Everything in the essay should be tailored towards </w:t>
      </w:r>
      <w:r w:rsidR="000456BF">
        <w:rPr>
          <w:rFonts w:ascii="Garamond" w:hAnsi="Garamond"/>
          <w:b/>
          <w:bCs/>
          <w:sz w:val="25"/>
          <w:szCs w:val="25"/>
        </w:rPr>
        <w:t xml:space="preserve">answering the question. </w:t>
      </w:r>
    </w:p>
    <w:p w14:paraId="3195FF24" w14:textId="231076B4" w:rsidR="002778E2" w:rsidRDefault="000456BF" w:rsidP="002778E2">
      <w:pPr>
        <w:pStyle w:val="ListParagraph"/>
        <w:numPr>
          <w:ilvl w:val="0"/>
          <w:numId w:val="1"/>
        </w:numPr>
        <w:jc w:val="both"/>
        <w:rPr>
          <w:rFonts w:ascii="Garamond" w:hAnsi="Garamond"/>
          <w:sz w:val="25"/>
          <w:szCs w:val="25"/>
        </w:rPr>
      </w:pPr>
      <w:r>
        <w:rPr>
          <w:rFonts w:ascii="Garamond" w:hAnsi="Garamond"/>
          <w:sz w:val="25"/>
          <w:szCs w:val="25"/>
        </w:rPr>
        <w:t>P</w:t>
      </w:r>
      <w:r w:rsidR="002778E2">
        <w:rPr>
          <w:rFonts w:ascii="Garamond" w:hAnsi="Garamond"/>
          <w:sz w:val="25"/>
          <w:szCs w:val="25"/>
        </w:rPr>
        <w:t>lan</w:t>
      </w:r>
      <w:r>
        <w:rPr>
          <w:rFonts w:ascii="Garamond" w:hAnsi="Garamond"/>
          <w:sz w:val="25"/>
          <w:szCs w:val="25"/>
        </w:rPr>
        <w:t xml:space="preserve"> out</w:t>
      </w:r>
      <w:r w:rsidR="002778E2">
        <w:rPr>
          <w:rFonts w:ascii="Garamond" w:hAnsi="Garamond"/>
          <w:sz w:val="25"/>
          <w:szCs w:val="25"/>
        </w:rPr>
        <w:t xml:space="preserve"> the content of the essay in the form of </w:t>
      </w:r>
      <w:r w:rsidR="002778E2" w:rsidRPr="000456BF">
        <w:rPr>
          <w:rFonts w:ascii="Garamond" w:hAnsi="Garamond"/>
          <w:b/>
          <w:bCs/>
          <w:sz w:val="25"/>
          <w:szCs w:val="25"/>
        </w:rPr>
        <w:t>bullet points,</w:t>
      </w:r>
      <w:r w:rsidR="002778E2">
        <w:rPr>
          <w:rFonts w:ascii="Garamond" w:hAnsi="Garamond"/>
          <w:sz w:val="25"/>
          <w:szCs w:val="25"/>
        </w:rPr>
        <w:t xml:space="preserve"> each of which covers a specific aspect of what you plan to talk about</w:t>
      </w:r>
      <w:r>
        <w:rPr>
          <w:rFonts w:ascii="Garamond" w:hAnsi="Garamond"/>
          <w:sz w:val="25"/>
          <w:szCs w:val="25"/>
        </w:rPr>
        <w:t xml:space="preserve">. For each point, state: what the argument being made is; </w:t>
      </w:r>
      <w:r w:rsidR="002778E2">
        <w:rPr>
          <w:rFonts w:ascii="Garamond" w:hAnsi="Garamond"/>
          <w:sz w:val="25"/>
          <w:szCs w:val="25"/>
        </w:rPr>
        <w:t>why it’s important, what e</w:t>
      </w:r>
      <w:r w:rsidR="002778E2" w:rsidRPr="000456BF">
        <w:rPr>
          <w:rFonts w:ascii="Garamond" w:hAnsi="Garamond"/>
          <w:b/>
          <w:bCs/>
          <w:sz w:val="25"/>
          <w:szCs w:val="25"/>
        </w:rPr>
        <w:t xml:space="preserve">vidence </w:t>
      </w:r>
      <w:r w:rsidR="002778E2">
        <w:rPr>
          <w:rFonts w:ascii="Garamond" w:hAnsi="Garamond"/>
          <w:sz w:val="25"/>
          <w:szCs w:val="25"/>
        </w:rPr>
        <w:t>you will offer.</w:t>
      </w:r>
    </w:p>
    <w:p w14:paraId="1CB326DC" w14:textId="77777777" w:rsidR="000456BF" w:rsidRPr="000456BF" w:rsidRDefault="002778E2" w:rsidP="002778E2">
      <w:pPr>
        <w:pStyle w:val="ListParagraph"/>
        <w:numPr>
          <w:ilvl w:val="0"/>
          <w:numId w:val="1"/>
        </w:numPr>
        <w:jc w:val="both"/>
        <w:rPr>
          <w:rFonts w:ascii="Garamond" w:hAnsi="Garamond"/>
          <w:sz w:val="25"/>
          <w:szCs w:val="25"/>
        </w:rPr>
      </w:pPr>
      <w:r>
        <w:rPr>
          <w:rFonts w:ascii="Garamond" w:hAnsi="Garamond"/>
          <w:sz w:val="25"/>
          <w:szCs w:val="25"/>
        </w:rPr>
        <w:t xml:space="preserve">Plan out your </w:t>
      </w:r>
      <w:r w:rsidRPr="000456BF">
        <w:rPr>
          <w:rFonts w:ascii="Garamond" w:hAnsi="Garamond"/>
          <w:b/>
          <w:bCs/>
          <w:sz w:val="25"/>
          <w:szCs w:val="25"/>
        </w:rPr>
        <w:t>introduction and conclusion</w:t>
      </w:r>
      <w:r w:rsidR="000456BF">
        <w:rPr>
          <w:rFonts w:ascii="Garamond" w:hAnsi="Garamond"/>
          <w:b/>
          <w:bCs/>
          <w:sz w:val="25"/>
          <w:szCs w:val="25"/>
        </w:rPr>
        <w:t>.</w:t>
      </w:r>
    </w:p>
    <w:p w14:paraId="1BF868E4" w14:textId="563B21A0" w:rsidR="002778E2" w:rsidRDefault="000456BF" w:rsidP="000456BF">
      <w:pPr>
        <w:pStyle w:val="ListParagraph"/>
        <w:numPr>
          <w:ilvl w:val="0"/>
          <w:numId w:val="1"/>
        </w:numPr>
        <w:jc w:val="both"/>
        <w:rPr>
          <w:rFonts w:ascii="Garamond" w:hAnsi="Garamond"/>
          <w:sz w:val="25"/>
          <w:szCs w:val="25"/>
        </w:rPr>
      </w:pPr>
      <w:r>
        <w:rPr>
          <w:rFonts w:ascii="Garamond" w:hAnsi="Garamond"/>
          <w:sz w:val="25"/>
          <w:szCs w:val="25"/>
        </w:rPr>
        <w:t xml:space="preserve">You can then select some sections of the essay to draft as actual paragraphs, up to about the 1000 word limit. Many students will choose to draft the introduction and /or conclusion, but it’s up to you. </w:t>
      </w:r>
      <w:r w:rsidR="002778E2" w:rsidRPr="000456BF">
        <w:rPr>
          <w:rFonts w:ascii="Garamond" w:hAnsi="Garamond"/>
          <w:sz w:val="25"/>
          <w:szCs w:val="25"/>
        </w:rPr>
        <w:t xml:space="preserve">A good rule is to pay more attention to the parts you are </w:t>
      </w:r>
      <w:r w:rsidR="002778E2" w:rsidRPr="000456BF">
        <w:rPr>
          <w:rFonts w:ascii="Garamond" w:hAnsi="Garamond"/>
          <w:i/>
          <w:iCs/>
          <w:sz w:val="25"/>
          <w:szCs w:val="25"/>
        </w:rPr>
        <w:t xml:space="preserve">not </w:t>
      </w:r>
      <w:r w:rsidR="002778E2" w:rsidRPr="000456BF">
        <w:rPr>
          <w:rFonts w:ascii="Garamond" w:hAnsi="Garamond"/>
          <w:sz w:val="25"/>
          <w:szCs w:val="25"/>
        </w:rPr>
        <w:t xml:space="preserve">sure about. This gives tutors a chance to give you feedback on these before you write the full essay. </w:t>
      </w:r>
    </w:p>
    <w:p w14:paraId="3AD4D827" w14:textId="7D303971" w:rsidR="000456BF" w:rsidRDefault="000456BF" w:rsidP="000456BF">
      <w:pPr>
        <w:pStyle w:val="ListParagraph"/>
        <w:numPr>
          <w:ilvl w:val="0"/>
          <w:numId w:val="1"/>
        </w:numPr>
        <w:jc w:val="both"/>
        <w:rPr>
          <w:rFonts w:ascii="Garamond" w:hAnsi="Garamond"/>
          <w:sz w:val="25"/>
          <w:szCs w:val="25"/>
        </w:rPr>
      </w:pPr>
      <w:r>
        <w:rPr>
          <w:rFonts w:ascii="Garamond" w:hAnsi="Garamond"/>
          <w:sz w:val="25"/>
          <w:szCs w:val="25"/>
        </w:rPr>
        <w:t xml:space="preserve">Include a </w:t>
      </w:r>
      <w:r>
        <w:rPr>
          <w:rFonts w:ascii="Garamond" w:hAnsi="Garamond"/>
          <w:b/>
          <w:bCs/>
          <w:sz w:val="25"/>
          <w:szCs w:val="25"/>
        </w:rPr>
        <w:t xml:space="preserve">bibliography </w:t>
      </w:r>
      <w:r>
        <w:rPr>
          <w:rFonts w:ascii="Garamond" w:hAnsi="Garamond"/>
          <w:sz w:val="25"/>
          <w:szCs w:val="25"/>
        </w:rPr>
        <w:t xml:space="preserve">so we can get a sense of what you’re reading (or what you plan to read – you obviously haven’t read all of it yet which is fine!) </w:t>
      </w:r>
      <w:r>
        <w:rPr>
          <w:rFonts w:ascii="Garamond" w:hAnsi="Garamond"/>
          <w:b/>
          <w:bCs/>
          <w:sz w:val="25"/>
          <w:szCs w:val="25"/>
        </w:rPr>
        <w:t xml:space="preserve">The bibliography does not count towards the word count. </w:t>
      </w:r>
    </w:p>
    <w:p w14:paraId="3E18B09E" w14:textId="739A05F1" w:rsidR="000456BF" w:rsidRDefault="000456BF" w:rsidP="000456BF">
      <w:pPr>
        <w:jc w:val="both"/>
        <w:rPr>
          <w:rFonts w:ascii="Garamond" w:hAnsi="Garamond"/>
          <w:sz w:val="25"/>
          <w:szCs w:val="25"/>
        </w:rPr>
      </w:pPr>
    </w:p>
    <w:p w14:paraId="76E2EADB" w14:textId="7FAB9097" w:rsidR="000456BF" w:rsidRDefault="000456BF" w:rsidP="000456BF">
      <w:pPr>
        <w:jc w:val="both"/>
        <w:rPr>
          <w:rFonts w:ascii="Garamond" w:hAnsi="Garamond"/>
          <w:b/>
          <w:bCs/>
          <w:i/>
          <w:iCs/>
          <w:sz w:val="25"/>
          <w:szCs w:val="25"/>
        </w:rPr>
      </w:pPr>
      <w:r>
        <w:rPr>
          <w:rFonts w:ascii="Garamond" w:hAnsi="Garamond"/>
          <w:b/>
          <w:bCs/>
          <w:i/>
          <w:iCs/>
          <w:sz w:val="25"/>
          <w:szCs w:val="25"/>
        </w:rPr>
        <w:t>What do you mean by evidence?</w:t>
      </w:r>
    </w:p>
    <w:p w14:paraId="73D6E990" w14:textId="008463D8" w:rsidR="000456BF" w:rsidRDefault="000456BF" w:rsidP="000456BF">
      <w:pPr>
        <w:jc w:val="both"/>
        <w:rPr>
          <w:rFonts w:ascii="Garamond" w:hAnsi="Garamond"/>
          <w:b/>
          <w:bCs/>
          <w:sz w:val="25"/>
          <w:szCs w:val="25"/>
        </w:rPr>
      </w:pPr>
      <w:r>
        <w:rPr>
          <w:rFonts w:ascii="Garamond" w:hAnsi="Garamond"/>
          <w:sz w:val="25"/>
          <w:szCs w:val="25"/>
        </w:rPr>
        <w:t xml:space="preserve">Something that </w:t>
      </w:r>
      <w:r>
        <w:rPr>
          <w:rFonts w:ascii="Garamond" w:hAnsi="Garamond"/>
          <w:i/>
          <w:iCs/>
          <w:sz w:val="25"/>
          <w:szCs w:val="25"/>
        </w:rPr>
        <w:t xml:space="preserve">demonstrates </w:t>
      </w:r>
      <w:r>
        <w:rPr>
          <w:rFonts w:ascii="Garamond" w:hAnsi="Garamond"/>
          <w:sz w:val="25"/>
          <w:szCs w:val="25"/>
        </w:rPr>
        <w:t xml:space="preserve">why you think what you think. For example: a telling statistic; a discussion of a </w:t>
      </w:r>
      <w:r>
        <w:rPr>
          <w:rFonts w:ascii="Garamond" w:hAnsi="Garamond"/>
          <w:b/>
          <w:bCs/>
          <w:sz w:val="25"/>
          <w:szCs w:val="25"/>
        </w:rPr>
        <w:t xml:space="preserve">primary source </w:t>
      </w:r>
      <w:r>
        <w:rPr>
          <w:rFonts w:ascii="Garamond" w:hAnsi="Garamond"/>
          <w:sz w:val="25"/>
          <w:szCs w:val="25"/>
        </w:rPr>
        <w:t xml:space="preserve">that you think backs up what you are saying. </w:t>
      </w:r>
      <w:r>
        <w:rPr>
          <w:rFonts w:ascii="Garamond" w:hAnsi="Garamond"/>
          <w:b/>
          <w:bCs/>
          <w:sz w:val="25"/>
          <w:szCs w:val="25"/>
        </w:rPr>
        <w:t xml:space="preserve">Historians’ opinions don’t in themselves count as evidence! </w:t>
      </w:r>
    </w:p>
    <w:p w14:paraId="71F7183A" w14:textId="240DF3DD" w:rsidR="000456BF" w:rsidRDefault="000456BF" w:rsidP="000456BF">
      <w:pPr>
        <w:jc w:val="both"/>
        <w:rPr>
          <w:rFonts w:ascii="Garamond" w:hAnsi="Garamond"/>
          <w:b/>
          <w:bCs/>
          <w:i/>
          <w:iCs/>
          <w:sz w:val="25"/>
          <w:szCs w:val="25"/>
        </w:rPr>
      </w:pPr>
      <w:r>
        <w:rPr>
          <w:rFonts w:ascii="Garamond" w:hAnsi="Garamond"/>
          <w:b/>
          <w:bCs/>
          <w:i/>
          <w:iCs/>
          <w:sz w:val="25"/>
          <w:szCs w:val="25"/>
        </w:rPr>
        <w:t xml:space="preserve">What about a discussion of the historiography? </w:t>
      </w:r>
    </w:p>
    <w:p w14:paraId="27F563E6" w14:textId="77777777" w:rsidR="000456BF" w:rsidRDefault="000456BF" w:rsidP="000456BF">
      <w:pPr>
        <w:jc w:val="both"/>
        <w:rPr>
          <w:rFonts w:ascii="Garamond" w:hAnsi="Garamond"/>
          <w:sz w:val="25"/>
          <w:szCs w:val="25"/>
        </w:rPr>
      </w:pPr>
      <w:r>
        <w:rPr>
          <w:rFonts w:ascii="Garamond" w:hAnsi="Garamond"/>
          <w:sz w:val="25"/>
          <w:szCs w:val="25"/>
        </w:rPr>
        <w:t>It’s great to engage with the different interpretations that historians have offered regarding a particular problem, and you’ll be expected as a History student to do this more as time goes by. HOWEVER, your OWN ARGUMENT, BACKED UP BY EVIDENCE (see above) is still the most important element of any essay.</w:t>
      </w:r>
    </w:p>
    <w:p w14:paraId="4651384E" w14:textId="4E85ECF3" w:rsidR="000456BF" w:rsidRDefault="000456BF" w:rsidP="000456BF">
      <w:pPr>
        <w:jc w:val="both"/>
        <w:rPr>
          <w:rFonts w:ascii="Garamond" w:hAnsi="Garamond"/>
          <w:b/>
          <w:bCs/>
          <w:sz w:val="25"/>
          <w:szCs w:val="25"/>
        </w:rPr>
      </w:pPr>
      <w:r>
        <w:rPr>
          <w:rFonts w:ascii="Garamond" w:hAnsi="Garamond"/>
          <w:b/>
          <w:bCs/>
          <w:sz w:val="25"/>
          <w:szCs w:val="25"/>
        </w:rPr>
        <w:t xml:space="preserve">For marking criteria, assessment deadlines and submission instructions, </w:t>
      </w:r>
      <w:r w:rsidR="00D4014A">
        <w:rPr>
          <w:rFonts w:ascii="Garamond" w:hAnsi="Garamond"/>
          <w:b/>
          <w:bCs/>
          <w:sz w:val="25"/>
          <w:szCs w:val="25"/>
        </w:rPr>
        <w:t xml:space="preserve">and </w:t>
      </w:r>
      <w:r>
        <w:rPr>
          <w:rFonts w:ascii="Garamond" w:hAnsi="Garamond"/>
          <w:b/>
          <w:bCs/>
          <w:sz w:val="25"/>
          <w:szCs w:val="25"/>
        </w:rPr>
        <w:t>advice for avoiding plagiarism</w:t>
      </w:r>
      <w:r w:rsidR="00D4014A">
        <w:rPr>
          <w:rFonts w:ascii="Garamond" w:hAnsi="Garamond"/>
          <w:b/>
          <w:bCs/>
          <w:sz w:val="25"/>
          <w:szCs w:val="25"/>
        </w:rPr>
        <w:t xml:space="preserve">, please see the History Undergraduate Handbook: </w:t>
      </w:r>
    </w:p>
    <w:p w14:paraId="210B389D" w14:textId="69B04811" w:rsidR="00D4014A" w:rsidRPr="000456BF" w:rsidRDefault="00D4014A" w:rsidP="000456BF">
      <w:pPr>
        <w:jc w:val="both"/>
        <w:rPr>
          <w:rFonts w:ascii="Garamond" w:hAnsi="Garamond"/>
          <w:sz w:val="25"/>
          <w:szCs w:val="25"/>
        </w:rPr>
      </w:pPr>
      <w:hyperlink r:id="rId6" w:history="1">
        <w:r w:rsidRPr="00B81C62">
          <w:rPr>
            <w:rStyle w:val="Hyperlink"/>
            <w:rFonts w:ascii="Garamond" w:hAnsi="Garamond"/>
            <w:sz w:val="25"/>
            <w:szCs w:val="25"/>
          </w:rPr>
          <w:t>https://warwick.ac.uk/fac/arts/history/students/undergraduate</w:t>
        </w:r>
      </w:hyperlink>
      <w:r>
        <w:rPr>
          <w:rFonts w:ascii="Garamond" w:hAnsi="Garamond"/>
          <w:sz w:val="25"/>
          <w:szCs w:val="25"/>
        </w:rPr>
        <w:t xml:space="preserve"> </w:t>
      </w:r>
    </w:p>
    <w:p w14:paraId="778F5696" w14:textId="77777777" w:rsidR="000456BF" w:rsidRPr="000456BF" w:rsidRDefault="000456BF" w:rsidP="000456BF">
      <w:pPr>
        <w:jc w:val="both"/>
        <w:rPr>
          <w:rFonts w:ascii="Garamond" w:hAnsi="Garamond"/>
          <w:sz w:val="25"/>
          <w:szCs w:val="25"/>
        </w:rPr>
      </w:pPr>
    </w:p>
    <w:p w14:paraId="1D7F5E54" w14:textId="77777777" w:rsidR="000456BF" w:rsidRPr="000456BF" w:rsidRDefault="000456BF" w:rsidP="000456BF">
      <w:pPr>
        <w:jc w:val="both"/>
        <w:rPr>
          <w:rFonts w:ascii="Garamond" w:hAnsi="Garamond"/>
          <w:sz w:val="25"/>
          <w:szCs w:val="25"/>
        </w:rPr>
      </w:pPr>
    </w:p>
    <w:p w14:paraId="77402A0C" w14:textId="77777777" w:rsidR="000456BF" w:rsidRPr="000456BF" w:rsidRDefault="000456BF" w:rsidP="000456BF">
      <w:pPr>
        <w:jc w:val="both"/>
        <w:rPr>
          <w:rFonts w:ascii="Garamond" w:hAnsi="Garamond"/>
          <w:sz w:val="25"/>
          <w:szCs w:val="25"/>
        </w:rPr>
      </w:pPr>
    </w:p>
    <w:p w14:paraId="54347B52" w14:textId="77777777" w:rsidR="002778E2" w:rsidRPr="002778E2" w:rsidRDefault="002778E2" w:rsidP="002778E2">
      <w:pPr>
        <w:pStyle w:val="ListParagraph"/>
        <w:numPr>
          <w:ilvl w:val="0"/>
          <w:numId w:val="1"/>
        </w:numPr>
        <w:jc w:val="both"/>
        <w:rPr>
          <w:rFonts w:ascii="Garamond" w:hAnsi="Garamond"/>
          <w:sz w:val="25"/>
          <w:szCs w:val="25"/>
        </w:rPr>
      </w:pPr>
    </w:p>
    <w:sectPr w:rsidR="002778E2" w:rsidRPr="002778E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E840C4F"/>
    <w:multiLevelType w:val="hybridMultilevel"/>
    <w:tmpl w:val="176273E0"/>
    <w:lvl w:ilvl="0" w:tplc="0F163246">
      <w:numFmt w:val="bullet"/>
      <w:lvlText w:val="-"/>
      <w:lvlJc w:val="left"/>
      <w:pPr>
        <w:ind w:left="720" w:hanging="360"/>
      </w:pPr>
      <w:rPr>
        <w:rFonts w:ascii="Garamond" w:eastAsiaTheme="minorHAnsi" w:hAnsi="Garamond"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86219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6AB5"/>
    <w:rsid w:val="000456BF"/>
    <w:rsid w:val="000D73D9"/>
    <w:rsid w:val="002778E2"/>
    <w:rsid w:val="005A5687"/>
    <w:rsid w:val="00742E9B"/>
    <w:rsid w:val="00A768E8"/>
    <w:rsid w:val="00CA18A9"/>
    <w:rsid w:val="00D4014A"/>
    <w:rsid w:val="00D46AB5"/>
    <w:rsid w:val="00E801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0C2C7"/>
  <w15:chartTrackingRefBased/>
  <w15:docId w15:val="{A806A000-9B8B-4049-BEF8-905AF8EB07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778E2"/>
    <w:pPr>
      <w:ind w:left="720"/>
      <w:contextualSpacing/>
    </w:pPr>
  </w:style>
  <w:style w:type="character" w:styleId="Hyperlink">
    <w:name w:val="Hyperlink"/>
    <w:basedOn w:val="DefaultParagraphFont"/>
    <w:uiPriority w:val="99"/>
    <w:unhideWhenUsed/>
    <w:rsid w:val="00D4014A"/>
    <w:rPr>
      <w:color w:val="0563C1" w:themeColor="hyperlink"/>
      <w:u w:val="single"/>
    </w:rPr>
  </w:style>
  <w:style w:type="character" w:styleId="UnresolvedMention">
    <w:name w:val="Unresolved Mention"/>
    <w:basedOn w:val="DefaultParagraphFont"/>
    <w:uiPriority w:val="99"/>
    <w:semiHidden/>
    <w:unhideWhenUsed/>
    <w:rsid w:val="00D401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fac/arts/history/students/undergraduate" TargetMode="External"/><Relationship Id="rId5" Type="http://schemas.openxmlformats.org/officeDocument/2006/relationships/hyperlink" Target="https://warwick.ac.uk/fac/arts/history/students/modules/hi115/detail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2</Pages>
  <Words>521</Words>
  <Characters>2970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camillia Cowling</dc:creator>
  <cp:keywords/>
  <dc:description/>
  <cp:lastModifiedBy>camillia Cowling</cp:lastModifiedBy>
  <cp:revision>2</cp:revision>
  <dcterms:created xsi:type="dcterms:W3CDTF">2022-10-26T12:19:00Z</dcterms:created>
  <dcterms:modified xsi:type="dcterms:W3CDTF">2022-10-26T12:47:00Z</dcterms:modified>
</cp:coreProperties>
</file>