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A23" w:rsidRPr="00536453" w:rsidRDefault="007457BF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  <w:r>
        <w:rPr>
          <w:rFonts w:ascii="Garamond" w:hAnsi="Garamond"/>
          <w:b/>
          <w:sz w:val="26"/>
          <w:szCs w:val="26"/>
        </w:rPr>
        <w:t xml:space="preserve">Conclusions: </w:t>
      </w:r>
      <w:r w:rsidR="00004A23" w:rsidRPr="00536453">
        <w:rPr>
          <w:rFonts w:ascii="Garamond" w:hAnsi="Garamond"/>
          <w:b/>
          <w:sz w:val="26"/>
          <w:szCs w:val="26"/>
        </w:rPr>
        <w:t>“Backward Look</w:t>
      </w:r>
      <w:r>
        <w:rPr>
          <w:rFonts w:ascii="Garamond" w:hAnsi="Garamond"/>
          <w:b/>
          <w:sz w:val="26"/>
          <w:szCs w:val="26"/>
        </w:rPr>
        <w:t>s and Forward Glances”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>Questions:</w:t>
      </w:r>
    </w:p>
    <w:p w:rsidR="00004A23" w:rsidRPr="00536453" w:rsidRDefault="00004A23" w:rsidP="00004A23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sz w:val="26"/>
          <w:szCs w:val="26"/>
        </w:rPr>
        <w:t>What themes are specific to “Latin American” history? Do they really apply to all the countries and areas in the region? Is there such a thing as “Latin America”?</w:t>
      </w:r>
    </w:p>
    <w:p w:rsidR="00004A23" w:rsidRPr="00536453" w:rsidRDefault="00004A23" w:rsidP="00004A23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sz w:val="26"/>
          <w:szCs w:val="26"/>
        </w:rPr>
        <w:t>What have been the broad historical problems the continent has faced? How have they affected the lives of individual people living in the reg</w:t>
      </w:r>
      <w:bookmarkStart w:id="0" w:name="_GoBack"/>
      <w:bookmarkEnd w:id="0"/>
      <w:r w:rsidRPr="00536453">
        <w:rPr>
          <w:rFonts w:ascii="Garamond" w:hAnsi="Garamond"/>
          <w:sz w:val="26"/>
          <w:szCs w:val="26"/>
        </w:rPr>
        <w:t>ion?</w:t>
      </w: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>Required reading: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sz w:val="26"/>
          <w:szCs w:val="26"/>
        </w:rPr>
      </w:pPr>
      <w:proofErr w:type="spellStart"/>
      <w:r w:rsidRPr="00536453">
        <w:rPr>
          <w:rFonts w:ascii="Garamond" w:hAnsi="Garamond"/>
          <w:sz w:val="26"/>
          <w:szCs w:val="26"/>
        </w:rPr>
        <w:t>Tulio</w:t>
      </w:r>
      <w:proofErr w:type="spellEnd"/>
      <w:r w:rsidRPr="00536453">
        <w:rPr>
          <w:rFonts w:ascii="Garamond" w:hAnsi="Garamond"/>
          <w:sz w:val="26"/>
          <w:szCs w:val="26"/>
        </w:rPr>
        <w:t xml:space="preserve"> </w:t>
      </w:r>
      <w:proofErr w:type="spellStart"/>
      <w:r w:rsidRPr="00536453">
        <w:rPr>
          <w:rFonts w:ascii="Garamond" w:hAnsi="Garamond"/>
          <w:sz w:val="26"/>
          <w:szCs w:val="26"/>
        </w:rPr>
        <w:t>Halperín</w:t>
      </w:r>
      <w:proofErr w:type="spellEnd"/>
      <w:r w:rsidRPr="00536453">
        <w:rPr>
          <w:rFonts w:ascii="Garamond" w:hAnsi="Garamond"/>
          <w:sz w:val="26"/>
          <w:szCs w:val="26"/>
        </w:rPr>
        <w:t xml:space="preserve"> </w:t>
      </w:r>
      <w:proofErr w:type="spellStart"/>
      <w:r w:rsidRPr="00536453">
        <w:rPr>
          <w:rFonts w:ascii="Garamond" w:hAnsi="Garamond"/>
          <w:sz w:val="26"/>
          <w:szCs w:val="26"/>
        </w:rPr>
        <w:t>Donghi</w:t>
      </w:r>
      <w:proofErr w:type="spellEnd"/>
      <w:r w:rsidRPr="00536453">
        <w:rPr>
          <w:rFonts w:ascii="Garamond" w:hAnsi="Garamond"/>
          <w:sz w:val="26"/>
          <w:szCs w:val="26"/>
        </w:rPr>
        <w:t xml:space="preserve">, “Backward Looks and Forward Glimpses from a </w:t>
      </w:r>
      <w:proofErr w:type="spellStart"/>
      <w:r w:rsidRPr="00536453">
        <w:rPr>
          <w:rFonts w:ascii="Garamond" w:hAnsi="Garamond"/>
          <w:sz w:val="26"/>
          <w:szCs w:val="26"/>
        </w:rPr>
        <w:t>Quincentennial</w:t>
      </w:r>
      <w:proofErr w:type="spellEnd"/>
      <w:r w:rsidRPr="00536453">
        <w:rPr>
          <w:rFonts w:ascii="Garamond" w:hAnsi="Garamond"/>
          <w:sz w:val="26"/>
          <w:szCs w:val="26"/>
        </w:rPr>
        <w:t xml:space="preserve"> Vantage Point,” </w:t>
      </w:r>
      <w:r w:rsidRPr="00536453">
        <w:rPr>
          <w:rFonts w:ascii="Garamond" w:hAnsi="Garamond"/>
          <w:i/>
          <w:sz w:val="26"/>
          <w:szCs w:val="26"/>
        </w:rPr>
        <w:t xml:space="preserve">Journal of Latin American Studies, </w:t>
      </w:r>
      <w:r w:rsidRPr="00536453">
        <w:rPr>
          <w:rFonts w:ascii="Garamond" w:hAnsi="Garamond"/>
          <w:sz w:val="26"/>
          <w:szCs w:val="26"/>
        </w:rPr>
        <w:t>special supplement for 1992 commemorations, 1992, pp. 219-34.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In addition, please read ONE of the following: 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politics and “order”: </w:t>
      </w:r>
      <w:r w:rsidRPr="00536453">
        <w:rPr>
          <w:rFonts w:ascii="Garamond" w:hAnsi="Garamond"/>
          <w:sz w:val="26"/>
          <w:szCs w:val="26"/>
        </w:rPr>
        <w:t xml:space="preserve">Frank Safford, “The Problem of Political Order in Early Republican Spanish America.” </w:t>
      </w:r>
      <w:r w:rsidRPr="00536453">
        <w:rPr>
          <w:rFonts w:ascii="Garamond" w:hAnsi="Garamond"/>
          <w:i/>
          <w:sz w:val="26"/>
          <w:szCs w:val="26"/>
        </w:rPr>
        <w:t>Journal of Latin American Studies</w:t>
      </w:r>
      <w:r w:rsidRPr="00536453">
        <w:rPr>
          <w:rFonts w:ascii="Garamond" w:hAnsi="Garamond"/>
          <w:sz w:val="26"/>
          <w:szCs w:val="26"/>
        </w:rPr>
        <w:t xml:space="preserve">, 24, </w:t>
      </w:r>
      <w:proofErr w:type="spellStart"/>
      <w:r w:rsidRPr="00536453">
        <w:rPr>
          <w:rFonts w:ascii="Garamond" w:hAnsi="Garamond"/>
          <w:sz w:val="26"/>
          <w:szCs w:val="26"/>
        </w:rPr>
        <w:t>Quincentenary</w:t>
      </w:r>
      <w:proofErr w:type="spellEnd"/>
      <w:r w:rsidRPr="00536453">
        <w:rPr>
          <w:rFonts w:ascii="Garamond" w:hAnsi="Garamond"/>
          <w:sz w:val="26"/>
          <w:szCs w:val="26"/>
        </w:rPr>
        <w:t xml:space="preserve"> Supplement, 1992, 83-97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sz w:val="26"/>
          <w:szCs w:val="26"/>
        </w:rPr>
      </w:pP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</w:t>
      </w:r>
      <w:r w:rsidRPr="00536453">
        <w:rPr>
          <w:rFonts w:ascii="Garamond" w:hAnsi="Garamond"/>
          <w:b/>
          <w:i/>
          <w:sz w:val="26"/>
          <w:szCs w:val="26"/>
        </w:rPr>
        <w:t>caudillos</w:t>
      </w:r>
      <w:r w:rsidRPr="00536453">
        <w:rPr>
          <w:rFonts w:ascii="Garamond" w:hAnsi="Garamond"/>
          <w:b/>
          <w:sz w:val="26"/>
          <w:szCs w:val="26"/>
        </w:rPr>
        <w:t xml:space="preserve">, Liberals and Conservatives: </w:t>
      </w:r>
      <w:r w:rsidRPr="00536453">
        <w:rPr>
          <w:rFonts w:ascii="Garamond" w:hAnsi="Garamond"/>
          <w:sz w:val="26"/>
          <w:szCs w:val="26"/>
        </w:rPr>
        <w:t xml:space="preserve">Benjamin 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Keen, ed., </w:t>
      </w:r>
      <w:r w:rsidRPr="00536453">
        <w:rPr>
          <w:rFonts w:ascii="Garamond" w:eastAsia="Times New Roman" w:hAnsi="Garamond" w:cs="Times New Roman"/>
          <w:i/>
          <w:iCs/>
          <w:sz w:val="26"/>
          <w:szCs w:val="26"/>
        </w:rPr>
        <w:t>Latin American Civilization: History and Society, 1492 to the Present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, Westview Press (Boulder, 1996), 6th edition, </w:t>
      </w:r>
      <w:proofErr w:type="spellStart"/>
      <w:r w:rsidRPr="00536453">
        <w:rPr>
          <w:rFonts w:ascii="Garamond" w:hAnsi="Garamond"/>
          <w:sz w:val="26"/>
          <w:szCs w:val="26"/>
        </w:rPr>
        <w:t>ch.</w:t>
      </w:r>
      <w:proofErr w:type="spellEnd"/>
      <w:r w:rsidRPr="00536453">
        <w:rPr>
          <w:rFonts w:ascii="Garamond" w:hAnsi="Garamond"/>
          <w:sz w:val="26"/>
          <w:szCs w:val="26"/>
        </w:rPr>
        <w:t xml:space="preserve"> 15, “Dictators and Revolutions,” pp. 262-286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Mexico and the Revolution: 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Keen, Benjamin, ed., </w:t>
      </w:r>
      <w:r w:rsidRPr="00536453">
        <w:rPr>
          <w:rFonts w:ascii="Garamond" w:eastAsia="Times New Roman" w:hAnsi="Garamond" w:cs="Times New Roman"/>
          <w:i/>
          <w:iCs/>
          <w:sz w:val="26"/>
          <w:szCs w:val="26"/>
        </w:rPr>
        <w:t>Latin American Civilization: History and Society, 1492 to the Present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, Westview Press (Boulder, 1996), 6th edition, </w:t>
      </w:r>
      <w:r w:rsidRPr="00536453">
        <w:rPr>
          <w:rFonts w:ascii="Garamond" w:hAnsi="Garamond"/>
          <w:sz w:val="26"/>
          <w:szCs w:val="26"/>
        </w:rPr>
        <w:t xml:space="preserve">chapter 17 “The Mexican Revolution,” from p. 315 </w:t>
      </w:r>
      <w:proofErr w:type="spellStart"/>
      <w:r w:rsidRPr="00536453">
        <w:rPr>
          <w:rFonts w:ascii="Garamond" w:hAnsi="Garamond"/>
          <w:sz w:val="26"/>
          <w:szCs w:val="26"/>
        </w:rPr>
        <w:t>to p</w:t>
      </w:r>
      <w:proofErr w:type="spellEnd"/>
      <w:r w:rsidRPr="00536453">
        <w:rPr>
          <w:rFonts w:ascii="Garamond" w:hAnsi="Garamond"/>
          <w:sz w:val="26"/>
          <w:szCs w:val="26"/>
        </w:rPr>
        <w:t>. 337</w:t>
      </w:r>
    </w:p>
    <w:p w:rsidR="00004A23" w:rsidRPr="00536453" w:rsidRDefault="00004A23" w:rsidP="00004A23">
      <w:pPr>
        <w:spacing w:after="0" w:line="240" w:lineRule="auto"/>
        <w:ind w:left="426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spacing w:after="0" w:line="240" w:lineRule="auto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Argentina: </w:t>
      </w:r>
      <w:r w:rsidRPr="00536453">
        <w:rPr>
          <w:rFonts w:ascii="Garamond" w:hAnsi="Garamond"/>
          <w:sz w:val="26"/>
          <w:szCs w:val="26"/>
        </w:rPr>
        <w:t xml:space="preserve">“Argentina: The Struggle for Democracy, 1890-1990,” in 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Keen, Benjamin, </w:t>
      </w:r>
      <w:r w:rsidRPr="00536453">
        <w:rPr>
          <w:rFonts w:ascii="Garamond" w:eastAsia="Times New Roman" w:hAnsi="Garamond" w:cs="Times New Roman"/>
          <w:i/>
          <w:iCs/>
          <w:sz w:val="26"/>
          <w:szCs w:val="26"/>
        </w:rPr>
        <w:t>Latin American Civilization: History and Society, 1492 to the Present</w:t>
      </w:r>
      <w:r w:rsidRPr="00536453">
        <w:rPr>
          <w:rFonts w:ascii="Garamond" w:eastAsia="Times New Roman" w:hAnsi="Garamond" w:cs="Times New Roman"/>
          <w:sz w:val="26"/>
          <w:szCs w:val="26"/>
        </w:rPr>
        <w:t xml:space="preserve">, Westview Press (Boulder, 1996), 6th </w:t>
      </w:r>
      <w:proofErr w:type="gramStart"/>
      <w:r w:rsidRPr="00536453">
        <w:rPr>
          <w:rFonts w:ascii="Garamond" w:eastAsia="Times New Roman" w:hAnsi="Garamond" w:cs="Times New Roman"/>
          <w:sz w:val="26"/>
          <w:szCs w:val="26"/>
        </w:rPr>
        <w:t>edition,</w:t>
      </w:r>
      <w:r w:rsidRPr="00536453">
        <w:rPr>
          <w:rFonts w:ascii="Garamond" w:hAnsi="Garamond"/>
          <w:sz w:val="26"/>
          <w:szCs w:val="26"/>
        </w:rPr>
        <w:t>,</w:t>
      </w:r>
      <w:proofErr w:type="gramEnd"/>
      <w:r w:rsidRPr="00536453">
        <w:rPr>
          <w:rFonts w:ascii="Garamond" w:hAnsi="Garamond"/>
          <w:sz w:val="26"/>
          <w:szCs w:val="26"/>
        </w:rPr>
        <w:t xml:space="preserve"> </w:t>
      </w:r>
      <w:proofErr w:type="spellStart"/>
      <w:r w:rsidRPr="00536453">
        <w:rPr>
          <w:rFonts w:ascii="Garamond" w:hAnsi="Garamond"/>
          <w:sz w:val="26"/>
          <w:szCs w:val="26"/>
        </w:rPr>
        <w:t>ch</w:t>
      </w:r>
      <w:proofErr w:type="spellEnd"/>
      <w:r w:rsidRPr="00536453">
        <w:rPr>
          <w:rFonts w:ascii="Garamond" w:hAnsi="Garamond"/>
          <w:sz w:val="26"/>
          <w:szCs w:val="26"/>
        </w:rPr>
        <w:t xml:space="preserve"> 18, pp. 348-365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sz w:val="26"/>
          <w:szCs w:val="26"/>
        </w:rPr>
      </w:pP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Cuba: </w:t>
      </w:r>
      <w:r w:rsidRPr="00536453">
        <w:rPr>
          <w:rFonts w:ascii="Garamond" w:hAnsi="Garamond"/>
          <w:sz w:val="26"/>
          <w:szCs w:val="26"/>
        </w:rPr>
        <w:t>“</w:t>
      </w:r>
      <w:proofErr w:type="spellStart"/>
      <w:r w:rsidRPr="00536453">
        <w:rPr>
          <w:rFonts w:ascii="Garamond" w:hAnsi="Garamond"/>
          <w:sz w:val="26"/>
          <w:szCs w:val="26"/>
        </w:rPr>
        <w:t>Ángel</w:t>
      </w:r>
      <w:proofErr w:type="spellEnd"/>
      <w:r w:rsidRPr="00536453">
        <w:rPr>
          <w:rFonts w:ascii="Garamond" w:hAnsi="Garamond"/>
          <w:sz w:val="26"/>
          <w:szCs w:val="26"/>
        </w:rPr>
        <w:t xml:space="preserve"> Santana Suárez, Cuban Sugar Worker,” in </w:t>
      </w:r>
      <w:r w:rsidRPr="00536453">
        <w:rPr>
          <w:rFonts w:ascii="Garamond" w:hAnsi="Garamond"/>
          <w:i/>
          <w:sz w:val="26"/>
          <w:szCs w:val="26"/>
        </w:rPr>
        <w:t>The Human Tradition in Latin America</w:t>
      </w:r>
      <w:r w:rsidRPr="00536453">
        <w:rPr>
          <w:rFonts w:ascii="Garamond" w:hAnsi="Garamond"/>
          <w:sz w:val="26"/>
          <w:szCs w:val="26"/>
        </w:rPr>
        <w:t xml:space="preserve">, ed. Kenneth </w:t>
      </w:r>
      <w:proofErr w:type="spellStart"/>
      <w:r w:rsidRPr="00536453">
        <w:rPr>
          <w:rFonts w:ascii="Garamond" w:hAnsi="Garamond"/>
          <w:sz w:val="26"/>
          <w:szCs w:val="26"/>
        </w:rPr>
        <w:t>Andrien</w:t>
      </w:r>
      <w:proofErr w:type="spellEnd"/>
      <w:r w:rsidRPr="00536453">
        <w:rPr>
          <w:rFonts w:ascii="Garamond" w:hAnsi="Garamond"/>
          <w:sz w:val="26"/>
          <w:szCs w:val="26"/>
        </w:rPr>
        <w:t xml:space="preserve"> (Wilmington: Scholarly Resources, 2002), pp. 75-88 (on short loan)</w:t>
      </w: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land (peasants, indigenous, and land reform): </w:t>
      </w:r>
      <w:r w:rsidRPr="00536453">
        <w:rPr>
          <w:rFonts w:ascii="Garamond" w:hAnsi="Garamond"/>
          <w:sz w:val="26"/>
          <w:szCs w:val="26"/>
        </w:rPr>
        <w:t xml:space="preserve">Miguel </w:t>
      </w:r>
      <w:proofErr w:type="spellStart"/>
      <w:r w:rsidRPr="00536453">
        <w:rPr>
          <w:rFonts w:ascii="Garamond" w:hAnsi="Garamond"/>
          <w:sz w:val="26"/>
          <w:szCs w:val="26"/>
        </w:rPr>
        <w:t>Teubal</w:t>
      </w:r>
      <w:proofErr w:type="spellEnd"/>
      <w:r w:rsidRPr="00536453">
        <w:rPr>
          <w:rFonts w:ascii="Garamond" w:hAnsi="Garamond"/>
          <w:sz w:val="26"/>
          <w:szCs w:val="26"/>
        </w:rPr>
        <w:t xml:space="preserve"> and Mariana Ortega </w:t>
      </w:r>
      <w:proofErr w:type="spellStart"/>
      <w:r w:rsidRPr="00536453">
        <w:rPr>
          <w:rFonts w:ascii="Garamond" w:hAnsi="Garamond"/>
          <w:sz w:val="26"/>
          <w:szCs w:val="26"/>
        </w:rPr>
        <w:t>Breña</w:t>
      </w:r>
      <w:proofErr w:type="spellEnd"/>
      <w:r w:rsidRPr="00536453">
        <w:rPr>
          <w:rFonts w:ascii="Garamond" w:hAnsi="Garamond"/>
          <w:sz w:val="26"/>
          <w:szCs w:val="26"/>
        </w:rPr>
        <w:t xml:space="preserve">, “Agrarian reform and social movements in an age of globalisation: Latin America at the dawn of the twenty-first century,” </w:t>
      </w:r>
      <w:r w:rsidRPr="00536453">
        <w:rPr>
          <w:rFonts w:ascii="Garamond" w:hAnsi="Garamond"/>
          <w:i/>
          <w:sz w:val="26"/>
          <w:szCs w:val="26"/>
        </w:rPr>
        <w:t>Latin American Perspectives</w:t>
      </w:r>
      <w:r w:rsidRPr="00536453">
        <w:rPr>
          <w:rFonts w:ascii="Garamond" w:hAnsi="Garamond"/>
          <w:sz w:val="26"/>
          <w:szCs w:val="26"/>
        </w:rPr>
        <w:t>, 36:4 (July 2009): 9-20.</w:t>
      </w: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b/>
          <w:sz w:val="26"/>
          <w:szCs w:val="26"/>
        </w:rPr>
      </w:pPr>
    </w:p>
    <w:p w:rsidR="00004A23" w:rsidRPr="00536453" w:rsidRDefault="00004A23" w:rsidP="00004A23">
      <w:pPr>
        <w:pStyle w:val="ListParagraph"/>
        <w:spacing w:after="0" w:line="240" w:lineRule="auto"/>
        <w:ind w:left="0"/>
        <w:rPr>
          <w:rFonts w:ascii="Garamond" w:hAnsi="Garamond"/>
          <w:sz w:val="26"/>
          <w:szCs w:val="26"/>
        </w:rPr>
      </w:pPr>
      <w:r w:rsidRPr="00536453">
        <w:rPr>
          <w:rFonts w:ascii="Garamond" w:hAnsi="Garamond"/>
          <w:b/>
          <w:sz w:val="26"/>
          <w:szCs w:val="26"/>
        </w:rPr>
        <w:t xml:space="preserve">On the military and dictatorship: </w:t>
      </w:r>
      <w:r w:rsidRPr="00536453">
        <w:rPr>
          <w:rFonts w:ascii="Garamond" w:hAnsi="Garamond"/>
          <w:sz w:val="26"/>
          <w:szCs w:val="26"/>
        </w:rPr>
        <w:t xml:space="preserve">“Irma Muller” [on the Pinochet dictatorship], in </w:t>
      </w:r>
      <w:r w:rsidRPr="00536453">
        <w:rPr>
          <w:rFonts w:ascii="Garamond" w:hAnsi="Garamond"/>
          <w:i/>
          <w:sz w:val="26"/>
          <w:szCs w:val="26"/>
        </w:rPr>
        <w:t>The Human Tradition in Colonial Latin America</w:t>
      </w:r>
      <w:r w:rsidRPr="00536453">
        <w:rPr>
          <w:rFonts w:ascii="Garamond" w:hAnsi="Garamond"/>
          <w:sz w:val="26"/>
          <w:szCs w:val="26"/>
        </w:rPr>
        <w:t>,</w:t>
      </w:r>
      <w:r w:rsidRPr="00536453">
        <w:rPr>
          <w:rFonts w:ascii="Garamond" w:hAnsi="Garamond"/>
          <w:i/>
          <w:sz w:val="26"/>
          <w:szCs w:val="26"/>
        </w:rPr>
        <w:t xml:space="preserve"> </w:t>
      </w:r>
      <w:r w:rsidRPr="00536453">
        <w:rPr>
          <w:rFonts w:ascii="Garamond" w:hAnsi="Garamond"/>
          <w:sz w:val="26"/>
          <w:szCs w:val="26"/>
        </w:rPr>
        <w:t xml:space="preserve">ed. Kenneth </w:t>
      </w:r>
      <w:proofErr w:type="spellStart"/>
      <w:r w:rsidRPr="00536453">
        <w:rPr>
          <w:rFonts w:ascii="Garamond" w:hAnsi="Garamond"/>
          <w:sz w:val="26"/>
          <w:szCs w:val="26"/>
        </w:rPr>
        <w:t>Andrien</w:t>
      </w:r>
      <w:proofErr w:type="spellEnd"/>
      <w:r w:rsidRPr="00536453">
        <w:rPr>
          <w:rFonts w:ascii="Garamond" w:hAnsi="Garamond"/>
          <w:sz w:val="26"/>
          <w:szCs w:val="26"/>
        </w:rPr>
        <w:t xml:space="preserve"> (Wilmington: Scholarly Resources, 2002), pp. 207-218</w:t>
      </w:r>
    </w:p>
    <w:p w:rsidR="00004A23" w:rsidRPr="00536453" w:rsidRDefault="00004A23" w:rsidP="00004A23">
      <w:pPr>
        <w:spacing w:after="0" w:line="240" w:lineRule="auto"/>
        <w:rPr>
          <w:rFonts w:ascii="Garamond" w:hAnsi="Garamond"/>
          <w:b/>
          <w:sz w:val="26"/>
          <w:szCs w:val="26"/>
        </w:rPr>
      </w:pPr>
    </w:p>
    <w:p w:rsidR="00A7156B" w:rsidRDefault="00A7156B"/>
    <w:sectPr w:rsidR="00A715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8D5F06"/>
    <w:multiLevelType w:val="hybridMultilevel"/>
    <w:tmpl w:val="308850DA"/>
    <w:lvl w:ilvl="0" w:tplc="51C43FB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007"/>
    <w:rsid w:val="00004A23"/>
    <w:rsid w:val="007457BF"/>
    <w:rsid w:val="008F44F0"/>
    <w:rsid w:val="00A7156B"/>
    <w:rsid w:val="00CF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7BDC9D"/>
  <w15:chartTrackingRefBased/>
  <w15:docId w15:val="{DF6629FA-D424-4F8C-998B-CA784DEAA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004A2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4A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</cp:lastModifiedBy>
  <cp:revision>3</cp:revision>
  <dcterms:created xsi:type="dcterms:W3CDTF">2014-04-22T20:05:00Z</dcterms:created>
  <dcterms:modified xsi:type="dcterms:W3CDTF">2017-05-08T11:47:00Z</dcterms:modified>
</cp:coreProperties>
</file>