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6154" w:rsidRPr="004C325D" w:rsidRDefault="00366154" w:rsidP="004C325D">
      <w:pPr>
        <w:jc w:val="center"/>
        <w:rPr>
          <w:rFonts w:ascii="Arabic Typesetting" w:hAnsi="Arabic Typesetting" w:cs="Arabic Typesetting"/>
          <w:sz w:val="48"/>
          <w:szCs w:val="48"/>
        </w:rPr>
      </w:pPr>
      <w:r w:rsidRPr="004C325D">
        <w:rPr>
          <w:rFonts w:ascii="Arabic Typesetting" w:hAnsi="Arabic Typesetting" w:cs="Arabic Typesetting"/>
          <w:sz w:val="48"/>
          <w:szCs w:val="48"/>
        </w:rPr>
        <w:t>Department of Classics and Ancient History Summer Colloquium</w:t>
      </w:r>
    </w:p>
    <w:p w:rsidR="00366154" w:rsidRPr="004C325D" w:rsidRDefault="004C325D" w:rsidP="004C325D">
      <w:pPr>
        <w:jc w:val="center"/>
        <w:rPr>
          <w:rFonts w:ascii="Arabic Typesetting" w:hAnsi="Arabic Typesetting" w:cs="Arabic Typesetting"/>
          <w:b/>
          <w:sz w:val="48"/>
          <w:szCs w:val="48"/>
        </w:rPr>
      </w:pPr>
      <w:r w:rsidRPr="004C325D">
        <w:rPr>
          <w:rFonts w:ascii="Arabic Typesetting" w:hAnsi="Arabic Typesetting" w:cs="Arabic Typesetting"/>
          <w:b/>
          <w:sz w:val="48"/>
          <w:szCs w:val="48"/>
        </w:rPr>
        <w:t xml:space="preserve">‘Communicating </w:t>
      </w:r>
      <w:r w:rsidR="00366154" w:rsidRPr="004C325D">
        <w:rPr>
          <w:rFonts w:ascii="Arabic Typesetting" w:hAnsi="Arabic Typesetting" w:cs="Arabic Typesetting"/>
          <w:b/>
          <w:sz w:val="48"/>
          <w:szCs w:val="48"/>
        </w:rPr>
        <w:t>Classics</w:t>
      </w:r>
      <w:r w:rsidRPr="004C325D">
        <w:rPr>
          <w:rFonts w:ascii="Arabic Typesetting" w:hAnsi="Arabic Typesetting" w:cs="Arabic Typesetting"/>
          <w:b/>
          <w:sz w:val="48"/>
          <w:szCs w:val="48"/>
        </w:rPr>
        <w:t>’</w:t>
      </w:r>
    </w:p>
    <w:p w:rsidR="00366154" w:rsidRPr="004C325D" w:rsidRDefault="004C325D" w:rsidP="004C325D">
      <w:pPr>
        <w:jc w:val="center"/>
        <w:rPr>
          <w:rFonts w:ascii="Arabic Typesetting" w:hAnsi="Arabic Typesetting" w:cs="Arabic Typesetting"/>
          <w:sz w:val="36"/>
          <w:szCs w:val="36"/>
        </w:rPr>
      </w:pPr>
      <w:r w:rsidRPr="004C325D">
        <w:rPr>
          <w:rFonts w:ascii="Arabic Typesetting" w:hAnsi="Arabic Typesetting" w:cs="Arabic Typesetting"/>
          <w:sz w:val="36"/>
          <w:szCs w:val="36"/>
        </w:rPr>
        <w:t>Wednesday 27</w:t>
      </w:r>
      <w:r w:rsidRPr="004C325D">
        <w:rPr>
          <w:rFonts w:ascii="Arabic Typesetting" w:hAnsi="Arabic Typesetting" w:cs="Arabic Typesetting"/>
          <w:sz w:val="36"/>
          <w:szCs w:val="36"/>
          <w:vertAlign w:val="superscript"/>
        </w:rPr>
        <w:t>th</w:t>
      </w:r>
      <w:r w:rsidRPr="004C325D">
        <w:rPr>
          <w:rFonts w:ascii="Arabic Typesetting" w:hAnsi="Arabic Typesetting" w:cs="Arabic Typesetting"/>
          <w:sz w:val="36"/>
          <w:szCs w:val="36"/>
        </w:rPr>
        <w:t xml:space="preserve"> May 2015</w:t>
      </w:r>
    </w:p>
    <w:p w:rsidR="004C325D" w:rsidRPr="004C325D" w:rsidRDefault="004C325D" w:rsidP="001203BD">
      <w:pPr>
        <w:rPr>
          <w:rFonts w:ascii="Arabic Typesetting" w:hAnsi="Arabic Typesetting" w:cs="Arabic Typesetting"/>
          <w:b/>
          <w:sz w:val="32"/>
          <w:szCs w:val="32"/>
        </w:rPr>
      </w:pPr>
    </w:p>
    <w:p w:rsidR="00680135" w:rsidRPr="00D512BE" w:rsidRDefault="00680135" w:rsidP="00D512BE">
      <w:pPr>
        <w:jc w:val="center"/>
        <w:rPr>
          <w:rFonts w:ascii="Arabic Typesetting" w:hAnsi="Arabic Typesetting" w:cs="Arabic Typesetting"/>
          <w:b/>
          <w:sz w:val="48"/>
          <w:szCs w:val="48"/>
        </w:rPr>
      </w:pPr>
      <w:r w:rsidRPr="00D512BE">
        <w:rPr>
          <w:rFonts w:ascii="Arabic Typesetting" w:hAnsi="Arabic Typesetting" w:cs="Arabic Typesetting"/>
          <w:b/>
          <w:sz w:val="48"/>
          <w:szCs w:val="48"/>
        </w:rPr>
        <w:t>Abstracts</w:t>
      </w:r>
    </w:p>
    <w:p w:rsidR="00680135" w:rsidRDefault="00680135" w:rsidP="00680135">
      <w:pPr>
        <w:rPr>
          <w:rFonts w:ascii="Arabic Typesetting" w:hAnsi="Arabic Typesetting" w:cs="Arabic Typesetting"/>
          <w:sz w:val="32"/>
          <w:szCs w:val="32"/>
        </w:rPr>
      </w:pPr>
      <w:r w:rsidRPr="004C325D">
        <w:rPr>
          <w:rFonts w:ascii="Arabic Typesetting" w:hAnsi="Arabic Typesetting" w:cs="Arabic Typesetting"/>
          <w:sz w:val="32"/>
          <w:szCs w:val="32"/>
        </w:rPr>
        <w:t xml:space="preserve">Desiree </w:t>
      </w:r>
      <w:proofErr w:type="spellStart"/>
      <w:r w:rsidRPr="004C325D">
        <w:rPr>
          <w:rFonts w:ascii="Arabic Typesetting" w:hAnsi="Arabic Typesetting" w:cs="Arabic Typesetting"/>
          <w:sz w:val="32"/>
          <w:szCs w:val="32"/>
        </w:rPr>
        <w:t>Arbo</w:t>
      </w:r>
      <w:proofErr w:type="spellEnd"/>
    </w:p>
    <w:p w:rsidR="00680135" w:rsidRPr="004C325D" w:rsidRDefault="00680135" w:rsidP="00680135">
      <w:pPr>
        <w:rPr>
          <w:rFonts w:ascii="Arabic Typesetting" w:hAnsi="Arabic Typesetting" w:cs="Arabic Typesetting"/>
          <w:sz w:val="32"/>
          <w:szCs w:val="32"/>
          <w:u w:val="single"/>
        </w:rPr>
      </w:pPr>
      <w:r w:rsidRPr="004C325D">
        <w:rPr>
          <w:rFonts w:ascii="Arabic Typesetting" w:hAnsi="Arabic Typesetting" w:cs="Arabic Typesetting"/>
          <w:sz w:val="32"/>
          <w:szCs w:val="32"/>
          <w:u w:val="single"/>
        </w:rPr>
        <w:t xml:space="preserve">Questions of Genre and Reception: The case of José Manuel </w:t>
      </w:r>
      <w:proofErr w:type="spellStart"/>
      <w:r w:rsidRPr="004C325D">
        <w:rPr>
          <w:rFonts w:ascii="Arabic Typesetting" w:hAnsi="Arabic Typesetting" w:cs="Arabic Typesetting"/>
          <w:sz w:val="32"/>
          <w:szCs w:val="32"/>
          <w:u w:val="single"/>
        </w:rPr>
        <w:t>Peramás</w:t>
      </w:r>
      <w:proofErr w:type="spellEnd"/>
      <w:r w:rsidRPr="004C325D">
        <w:rPr>
          <w:rFonts w:ascii="Arabic Typesetting" w:hAnsi="Arabic Typesetting" w:cs="Arabic Typesetting"/>
          <w:sz w:val="32"/>
          <w:szCs w:val="32"/>
          <w:u w:val="single"/>
        </w:rPr>
        <w:t xml:space="preserve">’ </w:t>
      </w:r>
      <w:proofErr w:type="spellStart"/>
      <w:r w:rsidRPr="004C325D">
        <w:rPr>
          <w:rFonts w:ascii="Arabic Typesetting" w:hAnsi="Arabic Typesetting" w:cs="Arabic Typesetting"/>
          <w:sz w:val="32"/>
          <w:szCs w:val="32"/>
          <w:u w:val="single"/>
        </w:rPr>
        <w:t>Laudationes</w:t>
      </w:r>
      <w:proofErr w:type="spellEnd"/>
      <w:r w:rsidRPr="004C325D">
        <w:rPr>
          <w:rFonts w:ascii="Arabic Typesetting" w:hAnsi="Arabic Typesetting" w:cs="Arabic Typesetting"/>
          <w:sz w:val="32"/>
          <w:szCs w:val="32"/>
          <w:u w:val="single"/>
        </w:rPr>
        <w:t xml:space="preserve"> </w:t>
      </w:r>
      <w:proofErr w:type="spellStart"/>
      <w:r w:rsidRPr="004C325D">
        <w:rPr>
          <w:rFonts w:ascii="Arabic Typesetting" w:hAnsi="Arabic Typesetting" w:cs="Arabic Typesetting"/>
          <w:sz w:val="32"/>
          <w:szCs w:val="32"/>
          <w:u w:val="single"/>
        </w:rPr>
        <w:t>Quinque</w:t>
      </w:r>
      <w:proofErr w:type="spellEnd"/>
      <w:r w:rsidRPr="004C325D">
        <w:rPr>
          <w:rFonts w:ascii="Arabic Typesetting" w:hAnsi="Arabic Typesetting" w:cs="Arabic Typesetting"/>
          <w:sz w:val="32"/>
          <w:szCs w:val="32"/>
          <w:u w:val="single"/>
        </w:rPr>
        <w:t xml:space="preserve"> (1766)</w:t>
      </w:r>
    </w:p>
    <w:p w:rsidR="00680135" w:rsidRPr="004C325D" w:rsidRDefault="00680135" w:rsidP="00680135">
      <w:pPr>
        <w:rPr>
          <w:rFonts w:ascii="Arabic Typesetting" w:hAnsi="Arabic Typesetting" w:cs="Arabic Typesetting"/>
          <w:sz w:val="32"/>
          <w:szCs w:val="32"/>
        </w:rPr>
      </w:pPr>
      <w:r w:rsidRPr="004C325D">
        <w:rPr>
          <w:rFonts w:ascii="Arabic Typesetting" w:hAnsi="Arabic Typesetting" w:cs="Arabic Typesetting"/>
          <w:sz w:val="32"/>
          <w:szCs w:val="32"/>
        </w:rPr>
        <w:t xml:space="preserve">From their arrival in the late sixteenth century until their expulsion from America in 1767 members of the Jesuit Order acted as missionaries, confessors and educators in the New World. Their networks of colleges functioned as the main sites of creation and dissemination of knowledge about the Americas, and Latin continued to be the academic language for the creoles or American-born descendants of Spaniards. The Jesuits cultivated a variety of genres, including the funeral oration. A year before the expulsion, the new printing press of the University of Córdoba published five Latin orations in honour of its founder Ignacio Duarte y </w:t>
      </w:r>
      <w:proofErr w:type="spellStart"/>
      <w:r w:rsidRPr="004C325D">
        <w:rPr>
          <w:rFonts w:ascii="Arabic Typesetting" w:hAnsi="Arabic Typesetting" w:cs="Arabic Typesetting"/>
          <w:sz w:val="32"/>
          <w:szCs w:val="32"/>
        </w:rPr>
        <w:t>Quirós</w:t>
      </w:r>
      <w:proofErr w:type="spellEnd"/>
      <w:r w:rsidRPr="004C325D">
        <w:rPr>
          <w:rFonts w:ascii="Arabic Typesetting" w:hAnsi="Arabic Typesetting" w:cs="Arabic Typesetting"/>
          <w:sz w:val="32"/>
          <w:szCs w:val="32"/>
        </w:rPr>
        <w:t xml:space="preserve">. This paper examines questions of genre and performance of </w:t>
      </w:r>
      <w:proofErr w:type="spellStart"/>
      <w:r w:rsidRPr="004C325D">
        <w:rPr>
          <w:rFonts w:ascii="Arabic Typesetting" w:hAnsi="Arabic Typesetting" w:cs="Arabic Typesetting"/>
          <w:sz w:val="32"/>
          <w:szCs w:val="32"/>
        </w:rPr>
        <w:t>Peramás</w:t>
      </w:r>
      <w:proofErr w:type="spellEnd"/>
      <w:r w:rsidRPr="004C325D">
        <w:rPr>
          <w:rFonts w:ascii="Arabic Typesetting" w:hAnsi="Arabic Typesetting" w:cs="Arabic Typesetting"/>
          <w:sz w:val="32"/>
          <w:szCs w:val="32"/>
        </w:rPr>
        <w:t xml:space="preserve">’ funeral orations as a way to explore wider issues of the reception of classical texts and classical learning in Spanish America. Genres are determined by context, provenance and content as well as by form. In previous papers I have discussed the provenance and content of the speeches at length – </w:t>
      </w:r>
      <w:proofErr w:type="spellStart"/>
      <w:r w:rsidRPr="004C325D">
        <w:rPr>
          <w:rFonts w:ascii="Arabic Typesetting" w:hAnsi="Arabic Typesetting" w:cs="Arabic Typesetting"/>
          <w:sz w:val="32"/>
          <w:szCs w:val="32"/>
        </w:rPr>
        <w:t>Peramás</w:t>
      </w:r>
      <w:proofErr w:type="spellEnd"/>
      <w:r w:rsidRPr="004C325D">
        <w:rPr>
          <w:rFonts w:ascii="Arabic Typesetting" w:hAnsi="Arabic Typesetting" w:cs="Arabic Typesetting"/>
          <w:sz w:val="32"/>
          <w:szCs w:val="32"/>
        </w:rPr>
        <w:t xml:space="preserve">’ agenda, as it were. But who was the audience? In what kind of environment were the speeches performed? Was </w:t>
      </w:r>
      <w:proofErr w:type="spellStart"/>
      <w:r w:rsidRPr="004C325D">
        <w:rPr>
          <w:rFonts w:ascii="Arabic Typesetting" w:hAnsi="Arabic Typesetting" w:cs="Arabic Typesetting"/>
          <w:sz w:val="32"/>
          <w:szCs w:val="32"/>
        </w:rPr>
        <w:t>Peramás</w:t>
      </w:r>
      <w:proofErr w:type="spellEnd"/>
      <w:r w:rsidRPr="004C325D">
        <w:rPr>
          <w:rFonts w:ascii="Arabic Typesetting" w:hAnsi="Arabic Typesetting" w:cs="Arabic Typesetting"/>
          <w:sz w:val="32"/>
          <w:szCs w:val="32"/>
        </w:rPr>
        <w:t xml:space="preserve"> trying to persuade his audience, or did he tell them what they already believed? </w:t>
      </w:r>
    </w:p>
    <w:p w:rsidR="00E838C9" w:rsidRDefault="00E838C9" w:rsidP="00680135">
      <w:pPr>
        <w:rPr>
          <w:rFonts w:ascii="Arabic Typesetting" w:hAnsi="Arabic Typesetting" w:cs="Arabic Typesetting"/>
          <w:i/>
          <w:sz w:val="32"/>
          <w:szCs w:val="32"/>
        </w:rPr>
      </w:pPr>
    </w:p>
    <w:p w:rsidR="00680135" w:rsidRPr="004C325D" w:rsidRDefault="00D512BE" w:rsidP="00680135">
      <w:pPr>
        <w:rPr>
          <w:rFonts w:ascii="Arabic Typesetting" w:hAnsi="Arabic Typesetting" w:cs="Arabic Typesetting"/>
          <w:i/>
          <w:sz w:val="32"/>
          <w:szCs w:val="32"/>
        </w:rPr>
      </w:pPr>
      <w:r>
        <w:rPr>
          <w:rFonts w:ascii="Arabic Typesetting" w:hAnsi="Arabic Typesetting" w:cs="Arabic Typesetting"/>
          <w:i/>
          <w:sz w:val="32"/>
          <w:szCs w:val="32"/>
        </w:rPr>
        <w:t xml:space="preserve">Desiree is </w:t>
      </w:r>
      <w:r w:rsidR="00680135" w:rsidRPr="004C325D">
        <w:rPr>
          <w:rFonts w:ascii="Arabic Typesetting" w:hAnsi="Arabic Typesetting" w:cs="Arabic Typesetting"/>
          <w:i/>
          <w:sz w:val="32"/>
          <w:szCs w:val="32"/>
        </w:rPr>
        <w:t xml:space="preserve">a third-year PhD student at Warwick co-supervised by Classics and History. </w:t>
      </w:r>
      <w:r>
        <w:rPr>
          <w:rFonts w:ascii="Arabic Typesetting" w:hAnsi="Arabic Typesetting" w:cs="Arabic Typesetting"/>
          <w:i/>
          <w:sz w:val="32"/>
          <w:szCs w:val="32"/>
        </w:rPr>
        <w:t xml:space="preserve">Her </w:t>
      </w:r>
      <w:r w:rsidR="00680135" w:rsidRPr="004C325D">
        <w:rPr>
          <w:rFonts w:ascii="Arabic Typesetting" w:hAnsi="Arabic Typesetting" w:cs="Arabic Typesetting"/>
          <w:i/>
          <w:sz w:val="32"/>
          <w:szCs w:val="32"/>
        </w:rPr>
        <w:t>research project explores the reception of classical texts and classical learning in eighteenth-century Par</w:t>
      </w:r>
      <w:r>
        <w:rPr>
          <w:rFonts w:ascii="Arabic Typesetting" w:hAnsi="Arabic Typesetting" w:cs="Arabic Typesetting"/>
          <w:i/>
          <w:sz w:val="32"/>
          <w:szCs w:val="32"/>
        </w:rPr>
        <w:t xml:space="preserve">aguay and the Rio de la Plata. She is </w:t>
      </w:r>
      <w:r w:rsidR="00680135" w:rsidRPr="004C325D">
        <w:rPr>
          <w:rFonts w:ascii="Arabic Typesetting" w:hAnsi="Arabic Typesetting" w:cs="Arabic Typesetting"/>
          <w:i/>
          <w:sz w:val="32"/>
          <w:szCs w:val="32"/>
        </w:rPr>
        <w:t>interested in reception and histories of classical traditions, as well as the history of education, intellectual history and what is broadly known as ‘Jesuit Studies’.</w:t>
      </w:r>
    </w:p>
    <w:p w:rsidR="00680135" w:rsidRDefault="00680135" w:rsidP="00680135">
      <w:pPr>
        <w:rPr>
          <w:rFonts w:ascii="Arabic Typesetting" w:hAnsi="Arabic Typesetting" w:cs="Arabic Typesetting"/>
          <w:sz w:val="32"/>
          <w:szCs w:val="32"/>
        </w:rPr>
      </w:pPr>
    </w:p>
    <w:p w:rsidR="00680135" w:rsidRPr="004C325D" w:rsidRDefault="00680135" w:rsidP="00680135">
      <w:pPr>
        <w:rPr>
          <w:rFonts w:ascii="Arabic Typesetting" w:hAnsi="Arabic Typesetting" w:cs="Arabic Typesetting"/>
          <w:sz w:val="32"/>
          <w:szCs w:val="32"/>
        </w:rPr>
      </w:pPr>
      <w:r w:rsidRPr="004C325D">
        <w:rPr>
          <w:rFonts w:ascii="Arabic Typesetting" w:hAnsi="Arabic Typesetting" w:cs="Arabic Typesetting"/>
          <w:sz w:val="32"/>
          <w:szCs w:val="32"/>
        </w:rPr>
        <w:t xml:space="preserve">Marta </w:t>
      </w:r>
      <w:proofErr w:type="spellStart"/>
      <w:r w:rsidRPr="004C325D">
        <w:rPr>
          <w:rFonts w:ascii="Arabic Typesetting" w:hAnsi="Arabic Typesetting" w:cs="Arabic Typesetting"/>
          <w:sz w:val="32"/>
          <w:szCs w:val="32"/>
        </w:rPr>
        <w:t>Barbato</w:t>
      </w:r>
      <w:proofErr w:type="spellEnd"/>
    </w:p>
    <w:p w:rsidR="00680135" w:rsidRPr="004C325D" w:rsidRDefault="00680135" w:rsidP="00680135">
      <w:pPr>
        <w:rPr>
          <w:rFonts w:ascii="Arabic Typesetting" w:hAnsi="Arabic Typesetting" w:cs="Arabic Typesetting"/>
          <w:sz w:val="32"/>
          <w:szCs w:val="32"/>
          <w:u w:val="single"/>
        </w:rPr>
      </w:pPr>
      <w:r w:rsidRPr="004C325D">
        <w:rPr>
          <w:rFonts w:ascii="Arabic Typesetting" w:hAnsi="Arabic Typesetting" w:cs="Arabic Typesetting"/>
          <w:sz w:val="32"/>
          <w:szCs w:val="32"/>
          <w:u w:val="single"/>
        </w:rPr>
        <w:t>Imitations in the monetary pool of the late Roman Republic</w:t>
      </w:r>
    </w:p>
    <w:p w:rsidR="00680135" w:rsidRPr="004C325D" w:rsidRDefault="00680135" w:rsidP="00680135">
      <w:pPr>
        <w:rPr>
          <w:rFonts w:ascii="Arabic Typesetting" w:hAnsi="Arabic Typesetting" w:cs="Arabic Typesetting"/>
          <w:sz w:val="32"/>
          <w:szCs w:val="32"/>
        </w:rPr>
      </w:pPr>
      <w:r w:rsidRPr="004C325D">
        <w:rPr>
          <w:rFonts w:ascii="Arabic Typesetting" w:hAnsi="Arabic Typesetting" w:cs="Arabic Typesetting"/>
          <w:sz w:val="32"/>
          <w:szCs w:val="32"/>
        </w:rPr>
        <w:t xml:space="preserve">Increased attention has recently been given to the imitation phenomenon of both Roman Republican bronze coins as well as other ‘foreign’ coins, which were in circulation in Italy during the last two centuries of the Republic. This research has illuminated two important aspects of the circulation of small foreign bronze from Italian contexts: pseudo-mints and the imitation of Roman bronzes, namely </w:t>
      </w:r>
      <w:proofErr w:type="spellStart"/>
      <w:r w:rsidRPr="004C325D">
        <w:rPr>
          <w:rFonts w:ascii="Arabic Typesetting" w:hAnsi="Arabic Typesetting" w:cs="Arabic Typesetting"/>
          <w:sz w:val="32"/>
          <w:szCs w:val="32"/>
        </w:rPr>
        <w:t>semisses</w:t>
      </w:r>
      <w:proofErr w:type="spellEnd"/>
      <w:r w:rsidRPr="004C325D">
        <w:rPr>
          <w:rFonts w:ascii="Arabic Typesetting" w:hAnsi="Arabic Typesetting" w:cs="Arabic Typesetting"/>
          <w:sz w:val="32"/>
          <w:szCs w:val="32"/>
        </w:rPr>
        <w:t xml:space="preserve"> and </w:t>
      </w:r>
      <w:proofErr w:type="spellStart"/>
      <w:r w:rsidRPr="004C325D">
        <w:rPr>
          <w:rFonts w:ascii="Arabic Typesetting" w:hAnsi="Arabic Typesetting" w:cs="Arabic Typesetting"/>
          <w:sz w:val="32"/>
          <w:szCs w:val="32"/>
        </w:rPr>
        <w:t>quadrantes</w:t>
      </w:r>
      <w:proofErr w:type="spellEnd"/>
      <w:r w:rsidRPr="004C325D">
        <w:rPr>
          <w:rFonts w:ascii="Arabic Typesetting" w:hAnsi="Arabic Typesetting" w:cs="Arabic Typesetting"/>
          <w:sz w:val="32"/>
          <w:szCs w:val="32"/>
        </w:rPr>
        <w:t>. Both phenomena can be detected and analysed in the so called ‘</w:t>
      </w:r>
      <w:proofErr w:type="spellStart"/>
      <w:r w:rsidRPr="004C325D">
        <w:rPr>
          <w:rFonts w:ascii="Arabic Typesetting" w:hAnsi="Arabic Typesetting" w:cs="Arabic Typesetting"/>
          <w:sz w:val="32"/>
          <w:szCs w:val="32"/>
        </w:rPr>
        <w:t>sottosuolo</w:t>
      </w:r>
      <w:proofErr w:type="spellEnd"/>
      <w:r w:rsidRPr="004C325D">
        <w:rPr>
          <w:rFonts w:ascii="Arabic Typesetting" w:hAnsi="Arabic Typesetting" w:cs="Arabic Typesetting"/>
          <w:sz w:val="32"/>
          <w:szCs w:val="32"/>
        </w:rPr>
        <w:t xml:space="preserve"> </w:t>
      </w:r>
      <w:proofErr w:type="spellStart"/>
      <w:r w:rsidRPr="004C325D">
        <w:rPr>
          <w:rFonts w:ascii="Arabic Typesetting" w:hAnsi="Arabic Typesetting" w:cs="Arabic Typesetting"/>
          <w:sz w:val="32"/>
          <w:szCs w:val="32"/>
        </w:rPr>
        <w:t>urbano</w:t>
      </w:r>
      <w:proofErr w:type="spellEnd"/>
      <w:r w:rsidRPr="004C325D">
        <w:rPr>
          <w:rFonts w:ascii="Arabic Typesetting" w:hAnsi="Arabic Typesetting" w:cs="Arabic Typesetting"/>
          <w:sz w:val="32"/>
          <w:szCs w:val="32"/>
        </w:rPr>
        <w:t xml:space="preserve"> 2’ assemblage of coins from Rome. </w:t>
      </w:r>
    </w:p>
    <w:p w:rsidR="00680135" w:rsidRPr="004C325D" w:rsidRDefault="00680135" w:rsidP="00680135">
      <w:pPr>
        <w:rPr>
          <w:rFonts w:ascii="Arabic Typesetting" w:hAnsi="Arabic Typesetting" w:cs="Arabic Typesetting"/>
          <w:sz w:val="32"/>
          <w:szCs w:val="32"/>
        </w:rPr>
      </w:pPr>
      <w:r w:rsidRPr="004C325D">
        <w:rPr>
          <w:rFonts w:ascii="Arabic Typesetting" w:hAnsi="Arabic Typesetting" w:cs="Arabic Typesetting"/>
          <w:sz w:val="32"/>
          <w:szCs w:val="32"/>
        </w:rPr>
        <w:t xml:space="preserve">Consisting of c. 2300 bronze coins in circulation during the last two centuries of the Republic provides, the assemblage provides a reliable picture of the circulating monetary pool which was in use on a daily basis. </w:t>
      </w:r>
    </w:p>
    <w:p w:rsidR="00680135" w:rsidRPr="004C325D" w:rsidRDefault="00680135" w:rsidP="00680135">
      <w:pPr>
        <w:rPr>
          <w:rFonts w:ascii="Arabic Typesetting" w:hAnsi="Arabic Typesetting" w:cs="Arabic Typesetting"/>
          <w:sz w:val="32"/>
          <w:szCs w:val="32"/>
        </w:rPr>
      </w:pPr>
      <w:r w:rsidRPr="004C325D">
        <w:rPr>
          <w:rFonts w:ascii="Arabic Typesetting" w:hAnsi="Arabic Typesetting" w:cs="Arabic Typesetting"/>
          <w:sz w:val="32"/>
          <w:szCs w:val="32"/>
        </w:rPr>
        <w:t>One phenomenon often detectable in the coins is the imitation of specific ‘foreign’ issues, which circulated at the turn of the first century in Italy. While the Pseudo-</w:t>
      </w:r>
      <w:proofErr w:type="spellStart"/>
      <w:r w:rsidRPr="004C325D">
        <w:rPr>
          <w:rFonts w:ascii="Arabic Typesetting" w:hAnsi="Arabic Typesetting" w:cs="Arabic Typesetting"/>
          <w:sz w:val="32"/>
          <w:szCs w:val="32"/>
        </w:rPr>
        <w:t>Panormos</w:t>
      </w:r>
      <w:proofErr w:type="spellEnd"/>
      <w:r w:rsidRPr="004C325D">
        <w:rPr>
          <w:rFonts w:ascii="Arabic Typesetting" w:hAnsi="Arabic Typesetting" w:cs="Arabic Typesetting"/>
          <w:sz w:val="32"/>
          <w:szCs w:val="32"/>
        </w:rPr>
        <w:t xml:space="preserve"> group series with the standing warrior reverse are relatively common, the </w:t>
      </w:r>
      <w:proofErr w:type="spellStart"/>
      <w:r w:rsidRPr="004C325D">
        <w:rPr>
          <w:rFonts w:ascii="Arabic Typesetting" w:hAnsi="Arabic Typesetting" w:cs="Arabic Typesetting"/>
          <w:sz w:val="32"/>
          <w:szCs w:val="32"/>
        </w:rPr>
        <w:t>Ebusan</w:t>
      </w:r>
      <w:proofErr w:type="spellEnd"/>
      <w:r w:rsidRPr="004C325D">
        <w:rPr>
          <w:rFonts w:ascii="Arabic Typesetting" w:hAnsi="Arabic Typesetting" w:cs="Arabic Typesetting"/>
          <w:sz w:val="32"/>
          <w:szCs w:val="32"/>
        </w:rPr>
        <w:t>/Pseudo-</w:t>
      </w:r>
      <w:proofErr w:type="spellStart"/>
      <w:r w:rsidRPr="004C325D">
        <w:rPr>
          <w:rFonts w:ascii="Arabic Typesetting" w:hAnsi="Arabic Typesetting" w:cs="Arabic Typesetting"/>
          <w:sz w:val="32"/>
          <w:szCs w:val="32"/>
        </w:rPr>
        <w:t>Ebusan</w:t>
      </w:r>
      <w:proofErr w:type="spellEnd"/>
      <w:r w:rsidRPr="004C325D">
        <w:rPr>
          <w:rFonts w:ascii="Arabic Typesetting" w:hAnsi="Arabic Typesetting" w:cs="Arabic Typesetting"/>
          <w:sz w:val="32"/>
          <w:szCs w:val="32"/>
        </w:rPr>
        <w:t>/</w:t>
      </w:r>
      <w:proofErr w:type="spellStart"/>
      <w:r w:rsidRPr="004C325D">
        <w:rPr>
          <w:rFonts w:ascii="Arabic Typesetting" w:hAnsi="Arabic Typesetting" w:cs="Arabic Typesetting"/>
          <w:sz w:val="32"/>
          <w:szCs w:val="32"/>
        </w:rPr>
        <w:t>Massaliot</w:t>
      </w:r>
      <w:proofErr w:type="spellEnd"/>
      <w:r w:rsidRPr="004C325D">
        <w:rPr>
          <w:rFonts w:ascii="Arabic Typesetting" w:hAnsi="Arabic Typesetting" w:cs="Arabic Typesetting"/>
          <w:sz w:val="32"/>
          <w:szCs w:val="32"/>
        </w:rPr>
        <w:t xml:space="preserve"> imitations are, at this stage, not.</w:t>
      </w:r>
    </w:p>
    <w:p w:rsidR="00680135" w:rsidRPr="004C325D" w:rsidRDefault="00680135" w:rsidP="00680135">
      <w:pPr>
        <w:rPr>
          <w:rFonts w:ascii="Arabic Typesetting" w:hAnsi="Arabic Typesetting" w:cs="Arabic Typesetting"/>
          <w:sz w:val="32"/>
          <w:szCs w:val="32"/>
        </w:rPr>
      </w:pPr>
      <w:r w:rsidRPr="004C325D">
        <w:rPr>
          <w:rFonts w:ascii="Arabic Typesetting" w:hAnsi="Arabic Typesetting" w:cs="Arabic Typesetting"/>
          <w:sz w:val="32"/>
          <w:szCs w:val="32"/>
        </w:rPr>
        <w:t>The unofficial imitation (both in good or coarse style) of late Republican bronzes (1st cent. BC) is another aspect deserving of further examination because large assemblages of these coins from site-finds have never been published. These small imitative bronzes raise the question of whether or not they were ever officially integrated in the monetary pool during last two centuries of the Republic.</w:t>
      </w:r>
    </w:p>
    <w:p w:rsidR="00E838C9" w:rsidRDefault="00E838C9" w:rsidP="00680135">
      <w:pPr>
        <w:rPr>
          <w:rFonts w:ascii="Arabic Typesetting" w:hAnsi="Arabic Typesetting" w:cs="Arabic Typesetting"/>
          <w:i/>
          <w:sz w:val="32"/>
          <w:szCs w:val="32"/>
        </w:rPr>
      </w:pPr>
    </w:p>
    <w:p w:rsidR="00680135" w:rsidRPr="004C325D" w:rsidRDefault="00680135" w:rsidP="00680135">
      <w:pPr>
        <w:rPr>
          <w:rFonts w:ascii="Arabic Typesetting" w:hAnsi="Arabic Typesetting" w:cs="Arabic Typesetting"/>
          <w:i/>
          <w:sz w:val="32"/>
          <w:szCs w:val="32"/>
        </w:rPr>
      </w:pPr>
      <w:r w:rsidRPr="004C325D">
        <w:rPr>
          <w:rFonts w:ascii="Arabic Typesetting" w:hAnsi="Arabic Typesetting" w:cs="Arabic Typesetting"/>
          <w:i/>
          <w:sz w:val="32"/>
          <w:szCs w:val="32"/>
        </w:rPr>
        <w:t>Biography</w:t>
      </w:r>
    </w:p>
    <w:p w:rsidR="005D05B4" w:rsidRPr="004C325D" w:rsidRDefault="005D05B4" w:rsidP="009D6242">
      <w:pPr>
        <w:rPr>
          <w:rFonts w:ascii="Arabic Typesetting" w:hAnsi="Arabic Typesetting" w:cs="Arabic Typesetting"/>
          <w:sz w:val="32"/>
          <w:szCs w:val="32"/>
        </w:rPr>
      </w:pPr>
    </w:p>
    <w:p w:rsidR="00680135" w:rsidRDefault="00680135" w:rsidP="009D6242">
      <w:pPr>
        <w:rPr>
          <w:rFonts w:ascii="Arabic Typesetting" w:hAnsi="Arabic Typesetting" w:cs="Arabic Typesetting"/>
          <w:sz w:val="32"/>
          <w:szCs w:val="32"/>
        </w:rPr>
      </w:pPr>
    </w:p>
    <w:p w:rsidR="00680135" w:rsidRDefault="00680135" w:rsidP="009D6242">
      <w:pPr>
        <w:rPr>
          <w:rFonts w:ascii="Arabic Typesetting" w:hAnsi="Arabic Typesetting" w:cs="Arabic Typesetting"/>
          <w:sz w:val="32"/>
          <w:szCs w:val="32"/>
        </w:rPr>
      </w:pPr>
    </w:p>
    <w:p w:rsidR="00680135" w:rsidRDefault="00680135" w:rsidP="009D6242">
      <w:pPr>
        <w:rPr>
          <w:rFonts w:ascii="Arabic Typesetting" w:hAnsi="Arabic Typesetting" w:cs="Arabic Typesetting"/>
          <w:sz w:val="32"/>
          <w:szCs w:val="32"/>
        </w:rPr>
      </w:pPr>
    </w:p>
    <w:p w:rsidR="00680135" w:rsidRDefault="00680135" w:rsidP="009D6242">
      <w:pPr>
        <w:rPr>
          <w:rFonts w:ascii="Arabic Typesetting" w:hAnsi="Arabic Typesetting" w:cs="Arabic Typesetting"/>
          <w:sz w:val="32"/>
          <w:szCs w:val="32"/>
        </w:rPr>
      </w:pPr>
    </w:p>
    <w:p w:rsidR="00680135" w:rsidRDefault="00680135" w:rsidP="009D6242">
      <w:pPr>
        <w:rPr>
          <w:rFonts w:ascii="Arabic Typesetting" w:hAnsi="Arabic Typesetting" w:cs="Arabic Typesetting"/>
          <w:sz w:val="32"/>
          <w:szCs w:val="32"/>
        </w:rPr>
      </w:pPr>
    </w:p>
    <w:p w:rsidR="009D6242" w:rsidRPr="004C325D" w:rsidRDefault="005D05B4" w:rsidP="009D6242">
      <w:pPr>
        <w:rPr>
          <w:rFonts w:ascii="Arabic Typesetting" w:hAnsi="Arabic Typesetting" w:cs="Arabic Typesetting"/>
          <w:sz w:val="32"/>
          <w:szCs w:val="32"/>
        </w:rPr>
      </w:pPr>
      <w:r w:rsidRPr="004C325D">
        <w:rPr>
          <w:rFonts w:ascii="Arabic Typesetting" w:hAnsi="Arabic Typesetting" w:cs="Arabic Typesetting"/>
          <w:sz w:val="32"/>
          <w:szCs w:val="32"/>
        </w:rPr>
        <w:t>Paul Grigsby</w:t>
      </w:r>
    </w:p>
    <w:p w:rsidR="00AA7B25" w:rsidRPr="004C325D" w:rsidRDefault="00AA7B25" w:rsidP="00AA7B25">
      <w:pPr>
        <w:rPr>
          <w:rFonts w:ascii="Arabic Typesetting" w:hAnsi="Arabic Typesetting" w:cs="Arabic Typesetting"/>
          <w:sz w:val="32"/>
          <w:szCs w:val="32"/>
          <w:u w:val="single"/>
        </w:rPr>
      </w:pPr>
      <w:r w:rsidRPr="004C325D">
        <w:rPr>
          <w:rFonts w:ascii="Arabic Typesetting" w:hAnsi="Arabic Typesetting" w:cs="Arabic Typesetting"/>
          <w:sz w:val="32"/>
          <w:szCs w:val="32"/>
          <w:u w:val="single"/>
        </w:rPr>
        <w:t xml:space="preserve">The </w:t>
      </w:r>
      <w:r w:rsidR="00DA3F8B">
        <w:rPr>
          <w:rFonts w:ascii="Arabic Typesetting" w:hAnsi="Arabic Typesetting" w:cs="Arabic Typesetting"/>
          <w:sz w:val="32"/>
          <w:szCs w:val="32"/>
          <w:u w:val="single"/>
        </w:rPr>
        <w:t xml:space="preserve">Festival of the </w:t>
      </w:r>
      <w:r w:rsidRPr="004C325D">
        <w:rPr>
          <w:rFonts w:ascii="Arabic Typesetting" w:hAnsi="Arabic Typesetting" w:cs="Arabic Typesetting"/>
          <w:sz w:val="32"/>
          <w:szCs w:val="32"/>
          <w:u w:val="single"/>
        </w:rPr>
        <w:t xml:space="preserve">Daidala </w:t>
      </w:r>
      <w:r w:rsidR="00343A73">
        <w:rPr>
          <w:rFonts w:ascii="Arabic Typesetting" w:hAnsi="Arabic Typesetting" w:cs="Arabic Typesetting"/>
          <w:sz w:val="32"/>
          <w:szCs w:val="32"/>
          <w:u w:val="single"/>
        </w:rPr>
        <w:t>at Plataia</w:t>
      </w:r>
      <w:r w:rsidRPr="004C325D">
        <w:rPr>
          <w:rFonts w:ascii="Arabic Typesetting" w:hAnsi="Arabic Typesetting" w:cs="Arabic Typesetting"/>
          <w:sz w:val="32"/>
          <w:szCs w:val="32"/>
          <w:u w:val="single"/>
        </w:rPr>
        <w:t xml:space="preserve">: A </w:t>
      </w:r>
      <w:r w:rsidR="00343A73">
        <w:rPr>
          <w:rFonts w:ascii="Arabic Typesetting" w:hAnsi="Arabic Typesetting" w:cs="Arabic Typesetting"/>
          <w:sz w:val="32"/>
          <w:szCs w:val="32"/>
          <w:u w:val="single"/>
        </w:rPr>
        <w:t>Classical Conundrum</w:t>
      </w:r>
    </w:p>
    <w:p w:rsidR="00AA7B25" w:rsidRPr="004C325D" w:rsidRDefault="00AA7B25" w:rsidP="00AA7B25">
      <w:pPr>
        <w:rPr>
          <w:rFonts w:ascii="Arabic Typesetting" w:hAnsi="Arabic Typesetting" w:cs="Arabic Typesetting"/>
          <w:sz w:val="32"/>
          <w:szCs w:val="32"/>
        </w:rPr>
      </w:pPr>
      <w:r w:rsidRPr="004C325D">
        <w:rPr>
          <w:rFonts w:ascii="Arabic Typesetting" w:hAnsi="Arabic Typesetting" w:cs="Arabic Typesetting"/>
          <w:sz w:val="32"/>
          <w:szCs w:val="32"/>
        </w:rPr>
        <w:t xml:space="preserve">Every fifty-nine or sixty years at the city of Plataia in Boiotia, the combined Boiotians celebrated a festival called the Great Daidala. Fourteen wooden images - one chosen as the ‘bride’ of Zeus – were driven upon carts to the top of Mt Kithairon and burnt in a fire visible even in the Peloponnese, each of these images having been crafted at a celebration of the Small Daidala, a Plataian-only festival which occurred every six years. According to Pausanias, the Great Daidala celebrated the reconciliation of the ever-quarrelling Zeus and Hera, but its internal organization and the mathematics of its periodicity were linked specifically to a more humdrum reconciliation, that of the exiled Plataians with their fellow Boiotians. </w:t>
      </w:r>
    </w:p>
    <w:p w:rsidR="00AA7B25" w:rsidRPr="004C325D" w:rsidRDefault="00AA7B25" w:rsidP="00AA7B25">
      <w:pPr>
        <w:rPr>
          <w:rFonts w:ascii="Arabic Typesetting" w:hAnsi="Arabic Typesetting" w:cs="Arabic Typesetting"/>
          <w:sz w:val="32"/>
          <w:szCs w:val="32"/>
        </w:rPr>
      </w:pPr>
      <w:r w:rsidRPr="004C325D">
        <w:rPr>
          <w:rFonts w:ascii="Arabic Typesetting" w:hAnsi="Arabic Typesetting" w:cs="Arabic Typesetting"/>
          <w:sz w:val="32"/>
          <w:szCs w:val="32"/>
        </w:rPr>
        <w:t xml:space="preserve">Much of the work on the Daidala has focussed on uncovering the original rite (or rites) onto which the </w:t>
      </w:r>
      <w:r w:rsidRPr="004C325D">
        <w:rPr>
          <w:rFonts w:ascii="Arabic Typesetting" w:hAnsi="Arabic Typesetting" w:cs="Arabic Typesetting"/>
          <w:i/>
          <w:sz w:val="32"/>
          <w:szCs w:val="32"/>
        </w:rPr>
        <w:t>aition</w:t>
      </w:r>
      <w:r w:rsidRPr="004C325D">
        <w:rPr>
          <w:rFonts w:ascii="Arabic Typesetting" w:hAnsi="Arabic Typesetting" w:cs="Arabic Typesetting"/>
          <w:sz w:val="32"/>
          <w:szCs w:val="32"/>
        </w:rPr>
        <w:t xml:space="preserve"> of Boiotian unity was later grafted, the complexity of the festival allowing numerous contradictory conclusions. </w:t>
      </w:r>
      <w:r w:rsidR="00343A73">
        <w:rPr>
          <w:rFonts w:ascii="Arabic Typesetting" w:hAnsi="Arabic Typesetting" w:cs="Arabic Typesetting"/>
          <w:sz w:val="32"/>
          <w:szCs w:val="32"/>
        </w:rPr>
        <w:t>But with the original meaning eclipsed by the later political one, this paper will examine instead the s</w:t>
      </w:r>
      <w:r w:rsidR="00BB6B33">
        <w:rPr>
          <w:rFonts w:ascii="Arabic Typesetting" w:hAnsi="Arabic Typesetting" w:cs="Arabic Typesetting"/>
          <w:sz w:val="32"/>
          <w:szCs w:val="32"/>
        </w:rPr>
        <w:t xml:space="preserve">tructure and </w:t>
      </w:r>
      <w:r w:rsidR="00343A73">
        <w:rPr>
          <w:rFonts w:ascii="Arabic Typesetting" w:hAnsi="Arabic Typesetting" w:cs="Arabic Typesetting"/>
          <w:sz w:val="32"/>
          <w:szCs w:val="32"/>
        </w:rPr>
        <w:t xml:space="preserve">periodicity of the festival as described by Pausanias, linking the numbers </w:t>
      </w:r>
      <w:r w:rsidR="00BB6B33">
        <w:rPr>
          <w:rFonts w:ascii="Arabic Typesetting" w:hAnsi="Arabic Typesetting" w:cs="Arabic Typesetting"/>
          <w:sz w:val="32"/>
          <w:szCs w:val="32"/>
        </w:rPr>
        <w:t xml:space="preserve">he gives </w:t>
      </w:r>
      <w:r w:rsidRPr="004C325D">
        <w:rPr>
          <w:rFonts w:ascii="Arabic Typesetting" w:hAnsi="Arabic Typesetting" w:cs="Arabic Typesetting"/>
          <w:sz w:val="32"/>
          <w:szCs w:val="32"/>
        </w:rPr>
        <w:t>– 14, 6 and 59 – to Boiotian history and political make-up</w:t>
      </w:r>
      <w:r w:rsidR="00BB6B33">
        <w:rPr>
          <w:rFonts w:ascii="Arabic Typesetting" w:hAnsi="Arabic Typesetting" w:cs="Arabic Typesetting"/>
          <w:sz w:val="32"/>
          <w:szCs w:val="32"/>
        </w:rPr>
        <w:t>, and ad</w:t>
      </w:r>
      <w:r w:rsidRPr="004C325D">
        <w:rPr>
          <w:rFonts w:ascii="Arabic Typesetting" w:hAnsi="Arabic Typesetting" w:cs="Arabic Typesetting"/>
          <w:sz w:val="32"/>
          <w:szCs w:val="32"/>
        </w:rPr>
        <w:t>dressing the puzzle which plagued Pausanias almost two thousand years ago</w:t>
      </w:r>
      <w:r w:rsidR="00BB6B33">
        <w:rPr>
          <w:rFonts w:ascii="Arabic Typesetting" w:hAnsi="Arabic Typesetting" w:cs="Arabic Typesetting"/>
          <w:sz w:val="32"/>
          <w:szCs w:val="32"/>
        </w:rPr>
        <w:t xml:space="preserve">: </w:t>
      </w:r>
      <w:r w:rsidRPr="004C325D">
        <w:rPr>
          <w:rFonts w:ascii="Arabic Typesetting" w:hAnsi="Arabic Typesetting" w:cs="Arabic Typesetting"/>
          <w:sz w:val="32"/>
          <w:szCs w:val="32"/>
        </w:rPr>
        <w:t>the unfortunate fact that fourteen times six does not</w:t>
      </w:r>
      <w:r w:rsidR="00BB6B33">
        <w:rPr>
          <w:rFonts w:ascii="Arabic Typesetting" w:hAnsi="Arabic Typesetting" w:cs="Arabic Typesetting"/>
          <w:sz w:val="32"/>
          <w:szCs w:val="32"/>
        </w:rPr>
        <w:t xml:space="preserve"> - </w:t>
      </w:r>
      <w:r w:rsidRPr="004C325D">
        <w:rPr>
          <w:rFonts w:ascii="Arabic Typesetting" w:hAnsi="Arabic Typesetting" w:cs="Arabic Typesetting"/>
          <w:sz w:val="32"/>
          <w:szCs w:val="32"/>
        </w:rPr>
        <w:t>and never did</w:t>
      </w:r>
      <w:r w:rsidR="00BB6B33">
        <w:rPr>
          <w:rFonts w:ascii="Arabic Typesetting" w:hAnsi="Arabic Typesetting" w:cs="Arabic Typesetting"/>
          <w:sz w:val="32"/>
          <w:szCs w:val="32"/>
        </w:rPr>
        <w:t xml:space="preserve"> - </w:t>
      </w:r>
      <w:r w:rsidRPr="004C325D">
        <w:rPr>
          <w:rFonts w:ascii="Arabic Typesetting" w:hAnsi="Arabic Typesetting" w:cs="Arabic Typesetting"/>
          <w:sz w:val="32"/>
          <w:szCs w:val="32"/>
        </w:rPr>
        <w:t xml:space="preserve">equal sixty. </w:t>
      </w:r>
    </w:p>
    <w:p w:rsidR="00E838C9" w:rsidRDefault="00E838C9" w:rsidP="001203BD">
      <w:pPr>
        <w:rPr>
          <w:rFonts w:ascii="Arabic Typesetting" w:hAnsi="Arabic Typesetting" w:cs="Arabic Typesetting"/>
          <w:i/>
          <w:sz w:val="32"/>
          <w:szCs w:val="32"/>
        </w:rPr>
      </w:pPr>
    </w:p>
    <w:p w:rsidR="005D05B4" w:rsidRPr="004C325D" w:rsidRDefault="00D512BE" w:rsidP="001203BD">
      <w:pPr>
        <w:rPr>
          <w:rFonts w:ascii="Arabic Typesetting" w:hAnsi="Arabic Typesetting" w:cs="Arabic Typesetting"/>
          <w:i/>
          <w:sz w:val="32"/>
          <w:szCs w:val="32"/>
        </w:rPr>
      </w:pPr>
      <w:r>
        <w:rPr>
          <w:rFonts w:ascii="Arabic Typesetting" w:hAnsi="Arabic Typesetting" w:cs="Arabic Typesetting"/>
          <w:i/>
          <w:sz w:val="32"/>
          <w:szCs w:val="32"/>
        </w:rPr>
        <w:t xml:space="preserve">Paul is a second year PhD student </w:t>
      </w:r>
      <w:r w:rsidR="00E838C9">
        <w:rPr>
          <w:rFonts w:ascii="Arabic Typesetting" w:hAnsi="Arabic Typesetting" w:cs="Arabic Typesetting"/>
          <w:i/>
          <w:sz w:val="32"/>
          <w:szCs w:val="32"/>
        </w:rPr>
        <w:t xml:space="preserve">at Warwick based within </w:t>
      </w:r>
      <w:r>
        <w:rPr>
          <w:rFonts w:ascii="Arabic Typesetting" w:hAnsi="Arabic Typesetting" w:cs="Arabic Typesetting"/>
          <w:i/>
          <w:sz w:val="32"/>
          <w:szCs w:val="32"/>
        </w:rPr>
        <w:t xml:space="preserve">the Department of Classics and Ancient History. His thesis </w:t>
      </w:r>
      <w:r w:rsidR="00E838C9">
        <w:rPr>
          <w:rFonts w:ascii="Arabic Typesetting" w:hAnsi="Arabic Typesetting" w:cs="Arabic Typesetting"/>
          <w:i/>
          <w:sz w:val="32"/>
          <w:szCs w:val="32"/>
        </w:rPr>
        <w:t>explores the development of Boiotian Identity especially as revealed through the medium of shared religious cult. His main interests are in Greek religion, mythology, and identity.</w:t>
      </w: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BB6B33" w:rsidRDefault="00BB6B33" w:rsidP="00680135">
      <w:pPr>
        <w:rPr>
          <w:rFonts w:ascii="Arabic Typesetting" w:hAnsi="Arabic Typesetting" w:cs="Arabic Typesetting"/>
          <w:sz w:val="32"/>
          <w:szCs w:val="32"/>
        </w:rPr>
      </w:pPr>
    </w:p>
    <w:p w:rsidR="00680135" w:rsidRPr="004C325D" w:rsidRDefault="00680135" w:rsidP="00680135">
      <w:pPr>
        <w:rPr>
          <w:rFonts w:ascii="Arabic Typesetting" w:hAnsi="Arabic Typesetting" w:cs="Arabic Typesetting"/>
          <w:sz w:val="32"/>
          <w:szCs w:val="32"/>
        </w:rPr>
      </w:pPr>
      <w:r w:rsidRPr="004C325D">
        <w:rPr>
          <w:rFonts w:ascii="Arabic Typesetting" w:hAnsi="Arabic Typesetting" w:cs="Arabic Typesetting"/>
          <w:sz w:val="32"/>
          <w:szCs w:val="32"/>
        </w:rPr>
        <w:t>Miriam Hay</w:t>
      </w:r>
    </w:p>
    <w:p w:rsidR="00680135" w:rsidRPr="004C325D" w:rsidRDefault="00680135" w:rsidP="00680135">
      <w:pPr>
        <w:rPr>
          <w:rFonts w:ascii="Arabic Typesetting" w:hAnsi="Arabic Typesetting" w:cs="Arabic Typesetting"/>
          <w:sz w:val="32"/>
          <w:szCs w:val="32"/>
          <w:u w:val="single"/>
        </w:rPr>
      </w:pPr>
      <w:r w:rsidRPr="004C325D">
        <w:rPr>
          <w:rFonts w:ascii="Arabic Typesetting" w:hAnsi="Arabic Typesetting" w:cs="Arabic Typesetting"/>
          <w:sz w:val="32"/>
          <w:szCs w:val="32"/>
          <w:u w:val="single"/>
        </w:rPr>
        <w:t>Reading Early Christian sarcophagi as monuments of paideia</w:t>
      </w:r>
    </w:p>
    <w:p w:rsidR="00680135" w:rsidRPr="004C325D" w:rsidRDefault="00680135" w:rsidP="00680135">
      <w:pPr>
        <w:rPr>
          <w:rFonts w:ascii="Arabic Typesetting" w:hAnsi="Arabic Typesetting" w:cs="Arabic Typesetting"/>
          <w:sz w:val="32"/>
          <w:szCs w:val="32"/>
        </w:rPr>
      </w:pPr>
      <w:r w:rsidRPr="004C325D">
        <w:rPr>
          <w:rFonts w:ascii="Arabic Typesetting" w:hAnsi="Arabic Typesetting" w:cs="Arabic Typesetting"/>
          <w:sz w:val="32"/>
          <w:szCs w:val="32"/>
        </w:rPr>
        <w:t xml:space="preserve">The concept of </w:t>
      </w:r>
      <w:r w:rsidRPr="004C325D">
        <w:rPr>
          <w:rFonts w:ascii="Arabic Typesetting" w:hAnsi="Arabic Typesetting" w:cs="Arabic Typesetting"/>
          <w:i/>
          <w:sz w:val="32"/>
          <w:szCs w:val="32"/>
        </w:rPr>
        <w:t>paideia</w:t>
      </w:r>
      <w:r w:rsidRPr="004C325D">
        <w:rPr>
          <w:rFonts w:ascii="Arabic Typesetting" w:hAnsi="Arabic Typesetting" w:cs="Arabic Typesetting"/>
          <w:sz w:val="32"/>
          <w:szCs w:val="32"/>
        </w:rPr>
        <w:t xml:space="preserve">, or classical education and intellectual culture, has been proven to be a useful tool for understanding the reception of the classical past in Late Antique and Early Christian literature, but has only fairly recently started to be applied to art. Yet Early Christian art had first been born within the context of this existing </w:t>
      </w:r>
      <w:proofErr w:type="spellStart"/>
      <w:r w:rsidRPr="004C325D">
        <w:rPr>
          <w:rFonts w:ascii="Arabic Typesetting" w:hAnsi="Arabic Typesetting" w:cs="Arabic Typesetting"/>
          <w:sz w:val="32"/>
          <w:szCs w:val="32"/>
        </w:rPr>
        <w:t>Graeco</w:t>
      </w:r>
      <w:proofErr w:type="spellEnd"/>
      <w:r w:rsidRPr="004C325D">
        <w:rPr>
          <w:rFonts w:ascii="Arabic Typesetting" w:hAnsi="Arabic Typesetting" w:cs="Arabic Typesetting"/>
          <w:sz w:val="32"/>
          <w:szCs w:val="32"/>
        </w:rPr>
        <w:t xml:space="preserve">-Roman elite culture, at a time when the display of this traditional </w:t>
      </w:r>
      <w:r w:rsidRPr="004C325D">
        <w:rPr>
          <w:rFonts w:ascii="Arabic Typesetting" w:hAnsi="Arabic Typesetting" w:cs="Arabic Typesetting"/>
          <w:i/>
          <w:sz w:val="32"/>
          <w:szCs w:val="32"/>
        </w:rPr>
        <w:t>paideia</w:t>
      </w:r>
      <w:r w:rsidRPr="004C325D">
        <w:rPr>
          <w:rFonts w:ascii="Arabic Typesetting" w:hAnsi="Arabic Typesetting" w:cs="Arabic Typesetting"/>
          <w:sz w:val="32"/>
          <w:szCs w:val="32"/>
        </w:rPr>
        <w:t xml:space="preserve"> was arguably becoming more valued as a symbol of status and stability in a rapidly changing society.</w:t>
      </w:r>
    </w:p>
    <w:p w:rsidR="00680135" w:rsidRPr="004C325D" w:rsidRDefault="00680135" w:rsidP="00680135">
      <w:pPr>
        <w:rPr>
          <w:rFonts w:ascii="Arabic Typesetting" w:hAnsi="Arabic Typesetting" w:cs="Arabic Typesetting"/>
          <w:sz w:val="32"/>
          <w:szCs w:val="32"/>
        </w:rPr>
      </w:pPr>
      <w:r w:rsidRPr="004C325D">
        <w:rPr>
          <w:rFonts w:ascii="Arabic Typesetting" w:hAnsi="Arabic Typesetting" w:cs="Arabic Typesetting"/>
          <w:sz w:val="32"/>
          <w:szCs w:val="32"/>
        </w:rPr>
        <w:t>This paper will consider the case of Early Christian funerary monuments, as an example of how classical frameworks of both form and thought could shape how Christian content was read and understood in the visual sphere. Although the art of the Christian elite developed a distinctive system of interpretation in the form of typology, it can be demonstrated to continue to rely on the ways of viewing and ideals of competitive display inherited from classical culture, as shaped by traditional education. Art and text work together to present the case of the Early Christian elite for a Christianity that demanded not just to be included within the classical tradition, but celebrated as its culmination.</w:t>
      </w:r>
    </w:p>
    <w:p w:rsidR="00E838C9" w:rsidRDefault="00E838C9" w:rsidP="00680135">
      <w:pPr>
        <w:rPr>
          <w:rFonts w:ascii="Arabic Typesetting" w:hAnsi="Arabic Typesetting" w:cs="Arabic Typesetting"/>
          <w:i/>
          <w:sz w:val="32"/>
          <w:szCs w:val="32"/>
        </w:rPr>
      </w:pPr>
    </w:p>
    <w:p w:rsidR="00680135" w:rsidRPr="004C325D" w:rsidRDefault="00680135" w:rsidP="00680135">
      <w:pPr>
        <w:rPr>
          <w:rFonts w:ascii="Arabic Typesetting" w:hAnsi="Arabic Typesetting" w:cs="Arabic Typesetting"/>
          <w:i/>
          <w:sz w:val="32"/>
          <w:szCs w:val="32"/>
        </w:rPr>
      </w:pPr>
      <w:r w:rsidRPr="004C325D">
        <w:rPr>
          <w:rFonts w:ascii="Arabic Typesetting" w:hAnsi="Arabic Typesetting" w:cs="Arabic Typesetting"/>
          <w:i/>
          <w:sz w:val="32"/>
          <w:szCs w:val="32"/>
        </w:rPr>
        <w:t>Miriam Hay is in the first year of her PhD in Late Antique and Early Christian aesthetics in art and text. Her main interests are the intellectual culture of the late Roman Empire, the reception of classical art and literature, and pagan and Christian identities.</w:t>
      </w:r>
    </w:p>
    <w:p w:rsidR="00680135" w:rsidRPr="004C325D"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Pr="004C325D" w:rsidRDefault="00680135" w:rsidP="00680135">
      <w:pPr>
        <w:rPr>
          <w:rFonts w:ascii="Arabic Typesetting" w:hAnsi="Arabic Typesetting" w:cs="Arabic Typesetting"/>
          <w:sz w:val="32"/>
          <w:szCs w:val="32"/>
        </w:rPr>
      </w:pPr>
      <w:r w:rsidRPr="004C325D">
        <w:rPr>
          <w:rFonts w:ascii="Arabic Typesetting" w:hAnsi="Arabic Typesetting" w:cs="Arabic Typesetting"/>
          <w:sz w:val="32"/>
          <w:szCs w:val="32"/>
        </w:rPr>
        <w:t>Vicky Jewell</w:t>
      </w:r>
    </w:p>
    <w:p w:rsidR="00680135" w:rsidRPr="004C325D" w:rsidRDefault="00680135" w:rsidP="00680135">
      <w:pPr>
        <w:pStyle w:val="NormalWeb"/>
        <w:rPr>
          <w:rFonts w:ascii="Arabic Typesetting" w:hAnsi="Arabic Typesetting" w:cs="Arabic Typesetting"/>
          <w:color w:val="000000"/>
          <w:sz w:val="32"/>
          <w:szCs w:val="32"/>
          <w:u w:val="single"/>
        </w:rPr>
      </w:pPr>
      <w:r w:rsidRPr="004C325D">
        <w:rPr>
          <w:rFonts w:ascii="Arabic Typesetting" w:hAnsi="Arabic Typesetting" w:cs="Arabic Typesetting"/>
          <w:color w:val="000000"/>
          <w:sz w:val="32"/>
          <w:szCs w:val="32"/>
          <w:u w:val="single"/>
        </w:rPr>
        <w:t xml:space="preserve">Shades of Meaning: Ambiguity in Colour </w:t>
      </w:r>
    </w:p>
    <w:p w:rsidR="00680135" w:rsidRPr="004C325D" w:rsidRDefault="00680135" w:rsidP="00680135">
      <w:pPr>
        <w:pStyle w:val="NormalWeb"/>
        <w:rPr>
          <w:rFonts w:ascii="Arabic Typesetting" w:hAnsi="Arabic Typesetting" w:cs="Arabic Typesetting"/>
          <w:color w:val="000000"/>
          <w:sz w:val="32"/>
          <w:szCs w:val="32"/>
        </w:rPr>
      </w:pPr>
      <w:r w:rsidRPr="004C325D">
        <w:rPr>
          <w:rFonts w:ascii="Arabic Typesetting" w:hAnsi="Arabic Typesetting" w:cs="Arabic Typesetting"/>
          <w:color w:val="000000"/>
          <w:sz w:val="32"/>
          <w:szCs w:val="32"/>
        </w:rPr>
        <w:t>The study of colour is a natural partner to the discussion of ambiguity. With an infinite capacity for personal interpretation, cultural classification and social definition, colour provides another layer of communication through which to express ambiguity.</w:t>
      </w:r>
    </w:p>
    <w:p w:rsidR="00680135" w:rsidRPr="004C325D" w:rsidRDefault="00680135" w:rsidP="00680135">
      <w:pPr>
        <w:pStyle w:val="NormalWeb"/>
        <w:rPr>
          <w:rFonts w:ascii="Arabic Typesetting" w:hAnsi="Arabic Typesetting" w:cs="Arabic Typesetting"/>
          <w:color w:val="000000"/>
          <w:sz w:val="32"/>
          <w:szCs w:val="32"/>
        </w:rPr>
      </w:pPr>
      <w:r w:rsidRPr="004C325D">
        <w:rPr>
          <w:rFonts w:ascii="Arabic Typesetting" w:hAnsi="Arabic Typesetting" w:cs="Arabic Typesetting"/>
          <w:color w:val="000000"/>
          <w:sz w:val="32"/>
          <w:szCs w:val="32"/>
        </w:rPr>
        <w:t>The understanding and use of polychrome has been investigated by several different disciplines, both as a philosophical and scientific phenomenon. Within classics, it has faced a cycle of rediscovery and re-evaluation, with previous scholarship either establishing its existence in visual art or establishing the relationships between hues within a single culture. Others address the linguistic challenges inherent in discussion of colour, as much present in contemporary society as it was in the ancient. How do we define one shade across multiple languages? How do we translate a fundamentally different approach to the qualification of colour? These colour associations are dependent upon which social milieu one is situated within, and this cultural mask is amplified when we explore the nexus of ancient societies.</w:t>
      </w:r>
    </w:p>
    <w:p w:rsidR="00680135" w:rsidRPr="004C325D" w:rsidRDefault="00680135" w:rsidP="00680135">
      <w:pPr>
        <w:pStyle w:val="NormalWeb"/>
        <w:rPr>
          <w:rFonts w:ascii="Arabic Typesetting" w:hAnsi="Arabic Typesetting" w:cs="Arabic Typesetting"/>
          <w:color w:val="000000"/>
          <w:sz w:val="32"/>
          <w:szCs w:val="32"/>
        </w:rPr>
      </w:pPr>
      <w:r w:rsidRPr="004C325D">
        <w:rPr>
          <w:rFonts w:ascii="Arabic Typesetting" w:hAnsi="Arabic Typesetting" w:cs="Arabic Typesetting"/>
          <w:color w:val="000000"/>
          <w:sz w:val="32"/>
          <w:szCs w:val="32"/>
        </w:rPr>
        <w:t>This paper will address, through the viewfinder of specific examples of material culture, how an ancient traveller would have interpreted or misunderstood the messages created in the colour associations of an indigenous culture. Did the hue allow the ambiguity of the object to crystallise into a form that he understood, or did it reveal the conflicting cultural values attached to the artwork? This paper will draw on interdisciplinary research to illustrate and examine how colour in visual and material culture created both a common dialogue and a vessel for further ambiguity.</w:t>
      </w:r>
    </w:p>
    <w:p w:rsidR="00E838C9" w:rsidRDefault="00E838C9" w:rsidP="00680135">
      <w:pPr>
        <w:rPr>
          <w:rFonts w:ascii="Arabic Typesetting" w:hAnsi="Arabic Typesetting" w:cs="Arabic Typesetting"/>
          <w:i/>
          <w:sz w:val="32"/>
          <w:szCs w:val="32"/>
        </w:rPr>
      </w:pPr>
    </w:p>
    <w:p w:rsidR="00680135" w:rsidRPr="004C325D" w:rsidRDefault="00680135" w:rsidP="00680135">
      <w:pPr>
        <w:rPr>
          <w:rFonts w:ascii="Arabic Typesetting" w:hAnsi="Arabic Typesetting" w:cs="Arabic Typesetting"/>
          <w:i/>
          <w:sz w:val="32"/>
          <w:szCs w:val="32"/>
        </w:rPr>
      </w:pPr>
      <w:r w:rsidRPr="004C325D">
        <w:rPr>
          <w:rFonts w:ascii="Arabic Typesetting" w:hAnsi="Arabic Typesetting" w:cs="Arabic Typesetting"/>
          <w:i/>
          <w:sz w:val="32"/>
          <w:szCs w:val="32"/>
        </w:rPr>
        <w:t>Biography</w:t>
      </w:r>
    </w:p>
    <w:p w:rsidR="00680135" w:rsidRPr="004C325D" w:rsidRDefault="00680135" w:rsidP="00680135">
      <w:pPr>
        <w:rPr>
          <w:rFonts w:ascii="Arabic Typesetting" w:hAnsi="Arabic Typesetting" w:cs="Arabic Typesetting"/>
          <w:sz w:val="32"/>
          <w:szCs w:val="32"/>
        </w:rPr>
      </w:pPr>
    </w:p>
    <w:p w:rsidR="003A56B0" w:rsidRPr="004C325D" w:rsidRDefault="003A56B0" w:rsidP="001203BD">
      <w:pPr>
        <w:rPr>
          <w:rFonts w:ascii="Arabic Typesetting" w:hAnsi="Arabic Typesetting" w:cs="Arabic Typesetting"/>
          <w:sz w:val="32"/>
          <w:szCs w:val="32"/>
        </w:rPr>
      </w:pPr>
    </w:p>
    <w:p w:rsidR="003A56B0" w:rsidRPr="004C325D" w:rsidRDefault="003A56B0" w:rsidP="001203BD">
      <w:pPr>
        <w:rPr>
          <w:rFonts w:ascii="Arabic Typesetting" w:hAnsi="Arabic Typesetting" w:cs="Arabic Typesetting"/>
          <w:sz w:val="32"/>
          <w:szCs w:val="32"/>
        </w:rPr>
      </w:pPr>
    </w:p>
    <w:p w:rsidR="00680135" w:rsidRDefault="00680135" w:rsidP="009D6242">
      <w:pPr>
        <w:rPr>
          <w:rFonts w:ascii="Arabic Typesetting" w:hAnsi="Arabic Typesetting" w:cs="Arabic Typesetting"/>
          <w:sz w:val="32"/>
          <w:szCs w:val="32"/>
        </w:rPr>
      </w:pPr>
    </w:p>
    <w:p w:rsidR="00680135" w:rsidRDefault="00680135" w:rsidP="009D6242">
      <w:pPr>
        <w:rPr>
          <w:rFonts w:ascii="Arabic Typesetting" w:hAnsi="Arabic Typesetting" w:cs="Arabic Typesetting"/>
          <w:sz w:val="32"/>
          <w:szCs w:val="32"/>
        </w:rPr>
      </w:pPr>
    </w:p>
    <w:p w:rsidR="00680135" w:rsidRDefault="00680135" w:rsidP="009D6242">
      <w:pPr>
        <w:rPr>
          <w:rFonts w:ascii="Arabic Typesetting" w:hAnsi="Arabic Typesetting" w:cs="Arabic Typesetting"/>
          <w:sz w:val="32"/>
          <w:szCs w:val="32"/>
        </w:rPr>
      </w:pPr>
    </w:p>
    <w:p w:rsidR="009D6242" w:rsidRPr="004C325D" w:rsidRDefault="009D6242" w:rsidP="009D6242">
      <w:pPr>
        <w:rPr>
          <w:rFonts w:ascii="Arabic Typesetting" w:hAnsi="Arabic Typesetting" w:cs="Arabic Typesetting"/>
          <w:sz w:val="32"/>
          <w:szCs w:val="32"/>
        </w:rPr>
      </w:pPr>
      <w:r w:rsidRPr="004C325D">
        <w:rPr>
          <w:rFonts w:ascii="Arabic Typesetting" w:hAnsi="Arabic Typesetting" w:cs="Arabic Typesetting"/>
          <w:sz w:val="32"/>
          <w:szCs w:val="32"/>
        </w:rPr>
        <w:t>Joanna</w:t>
      </w:r>
      <w:r w:rsidR="005914E5" w:rsidRPr="004C325D">
        <w:rPr>
          <w:rFonts w:ascii="Arabic Typesetting" w:hAnsi="Arabic Typesetting" w:cs="Arabic Typesetting"/>
          <w:sz w:val="32"/>
          <w:szCs w:val="32"/>
        </w:rPr>
        <w:t xml:space="preserve"> Kemp</w:t>
      </w:r>
    </w:p>
    <w:p w:rsidR="005914E5" w:rsidRPr="004C325D" w:rsidRDefault="005914E5" w:rsidP="005914E5">
      <w:pPr>
        <w:rPr>
          <w:rFonts w:ascii="Arabic Typesetting" w:hAnsi="Arabic Typesetting" w:cs="Arabic Typesetting"/>
          <w:sz w:val="32"/>
          <w:szCs w:val="32"/>
          <w:u w:val="single"/>
        </w:rPr>
      </w:pPr>
      <w:r w:rsidRPr="004C325D">
        <w:rPr>
          <w:rFonts w:ascii="Arabic Typesetting" w:hAnsi="Arabic Typesetting" w:cs="Arabic Typesetting"/>
          <w:sz w:val="32"/>
          <w:szCs w:val="32"/>
          <w:u w:val="single"/>
        </w:rPr>
        <w:t xml:space="preserve">Views of Empire in the </w:t>
      </w:r>
      <w:proofErr w:type="spellStart"/>
      <w:r w:rsidRPr="004C325D">
        <w:rPr>
          <w:rFonts w:ascii="Arabic Typesetting" w:hAnsi="Arabic Typesetting" w:cs="Arabic Typesetting"/>
          <w:sz w:val="32"/>
          <w:szCs w:val="32"/>
          <w:u w:val="single"/>
        </w:rPr>
        <w:t>Antonine</w:t>
      </w:r>
      <w:proofErr w:type="spellEnd"/>
      <w:r w:rsidRPr="004C325D">
        <w:rPr>
          <w:rFonts w:ascii="Arabic Typesetting" w:hAnsi="Arabic Typesetting" w:cs="Arabic Typesetting"/>
          <w:sz w:val="32"/>
          <w:szCs w:val="32"/>
          <w:u w:val="single"/>
        </w:rPr>
        <w:t xml:space="preserve"> Period: The </w:t>
      </w:r>
      <w:proofErr w:type="spellStart"/>
      <w:r w:rsidRPr="004C325D">
        <w:rPr>
          <w:rFonts w:ascii="Arabic Typesetting" w:hAnsi="Arabic Typesetting" w:cs="Arabic Typesetting"/>
          <w:sz w:val="32"/>
          <w:szCs w:val="32"/>
          <w:u w:val="single"/>
        </w:rPr>
        <w:t>Hadrianeum</w:t>
      </w:r>
      <w:proofErr w:type="spellEnd"/>
      <w:r w:rsidRPr="004C325D">
        <w:rPr>
          <w:rFonts w:ascii="Arabic Typesetting" w:hAnsi="Arabic Typesetting" w:cs="Arabic Typesetting"/>
          <w:sz w:val="32"/>
          <w:szCs w:val="32"/>
          <w:u w:val="single"/>
        </w:rPr>
        <w:t xml:space="preserve"> in Rome and the Parthian Monument in Ephesus</w:t>
      </w:r>
    </w:p>
    <w:p w:rsidR="005914E5" w:rsidRPr="004C325D" w:rsidRDefault="005914E5" w:rsidP="005914E5">
      <w:pPr>
        <w:rPr>
          <w:rFonts w:ascii="Arabic Typesetting" w:hAnsi="Arabic Typesetting" w:cs="Arabic Typesetting"/>
          <w:sz w:val="32"/>
          <w:szCs w:val="32"/>
        </w:rPr>
      </w:pPr>
      <w:r w:rsidRPr="004C325D">
        <w:rPr>
          <w:rFonts w:ascii="Arabic Typesetting" w:hAnsi="Arabic Typesetting" w:cs="Arabic Typesetting"/>
          <w:sz w:val="32"/>
          <w:szCs w:val="32"/>
        </w:rPr>
        <w:t xml:space="preserve">Throughout the first two centuries of the Roman Empire there were plenty of depictions of barbarian peoples and female allegorical representations of foreign nations taking part in empire. Sometimes these were shown in submissive stances and sometimes they were shown to partake willingly. Claude Nicolet (c.1991) demonstrated how geography and the extent of the world was used for political ends under Augustus. This paper compares two later monuments that contain allegorical personifications: the </w:t>
      </w:r>
      <w:proofErr w:type="spellStart"/>
      <w:r w:rsidRPr="004C325D">
        <w:rPr>
          <w:rFonts w:ascii="Arabic Typesetting" w:hAnsi="Arabic Typesetting" w:cs="Arabic Typesetting"/>
          <w:sz w:val="32"/>
          <w:szCs w:val="32"/>
        </w:rPr>
        <w:t>Hadrianeum</w:t>
      </w:r>
      <w:proofErr w:type="spellEnd"/>
      <w:r w:rsidRPr="004C325D">
        <w:rPr>
          <w:rFonts w:ascii="Arabic Typesetting" w:hAnsi="Arabic Typesetting" w:cs="Arabic Typesetting"/>
          <w:sz w:val="32"/>
          <w:szCs w:val="32"/>
        </w:rPr>
        <w:t xml:space="preserve"> at Rome and the so-called Parthian monument at Ephesus, and examines how the world was presented the </w:t>
      </w:r>
      <w:proofErr w:type="spellStart"/>
      <w:r w:rsidRPr="004C325D">
        <w:rPr>
          <w:rFonts w:ascii="Arabic Typesetting" w:hAnsi="Arabic Typesetting" w:cs="Arabic Typesetting"/>
          <w:sz w:val="32"/>
          <w:szCs w:val="32"/>
        </w:rPr>
        <w:t>Antonine</w:t>
      </w:r>
      <w:proofErr w:type="spellEnd"/>
      <w:r w:rsidRPr="004C325D">
        <w:rPr>
          <w:rFonts w:ascii="Arabic Typesetting" w:hAnsi="Arabic Typesetting" w:cs="Arabic Typesetting"/>
          <w:sz w:val="32"/>
          <w:szCs w:val="32"/>
        </w:rPr>
        <w:t xml:space="preserve"> period. Were these conquered nations or willing participants of the Roman Empire? What can these monuments tell us about notions of Roman imperium </w:t>
      </w:r>
      <w:r w:rsidRPr="004C325D">
        <w:rPr>
          <w:rFonts w:ascii="Arabic Typesetting" w:hAnsi="Arabic Typesetting" w:cs="Arabic Typesetting"/>
          <w:i/>
          <w:sz w:val="32"/>
          <w:szCs w:val="32"/>
        </w:rPr>
        <w:t>sine fine</w:t>
      </w:r>
      <w:r w:rsidRPr="004C325D">
        <w:rPr>
          <w:rFonts w:ascii="Arabic Typesetting" w:hAnsi="Arabic Typesetting" w:cs="Arabic Typesetting"/>
          <w:sz w:val="32"/>
          <w:szCs w:val="32"/>
        </w:rPr>
        <w:t xml:space="preserve"> or the </w:t>
      </w:r>
      <w:proofErr w:type="spellStart"/>
      <w:r w:rsidRPr="004C325D">
        <w:rPr>
          <w:rFonts w:ascii="Arabic Typesetting" w:hAnsi="Arabic Typesetting" w:cs="Arabic Typesetting"/>
          <w:i/>
          <w:sz w:val="32"/>
          <w:szCs w:val="32"/>
        </w:rPr>
        <w:t>oikoumene</w:t>
      </w:r>
      <w:proofErr w:type="spellEnd"/>
      <w:r w:rsidRPr="004C325D">
        <w:rPr>
          <w:rFonts w:ascii="Arabic Typesetting" w:hAnsi="Arabic Typesetting" w:cs="Arabic Typesetting"/>
          <w:sz w:val="32"/>
          <w:szCs w:val="32"/>
        </w:rPr>
        <w:t xml:space="preserve">? The personifications of the peoples of the empire are diverse, with many different attributes, creating the idea of a far-reaching empire incorporating many different nations. There are questions of the role of the Roman army in securing the </w:t>
      </w:r>
      <w:proofErr w:type="spellStart"/>
      <w:r w:rsidRPr="004C325D">
        <w:rPr>
          <w:rFonts w:ascii="Arabic Typesetting" w:hAnsi="Arabic Typesetting" w:cs="Arabic Typesetting"/>
          <w:sz w:val="32"/>
          <w:szCs w:val="32"/>
        </w:rPr>
        <w:t>pax</w:t>
      </w:r>
      <w:proofErr w:type="spellEnd"/>
      <w:r w:rsidRPr="004C325D">
        <w:rPr>
          <w:rFonts w:ascii="Arabic Typesetting" w:hAnsi="Arabic Typesetting" w:cs="Arabic Typesetting"/>
          <w:sz w:val="32"/>
          <w:szCs w:val="32"/>
        </w:rPr>
        <w:t xml:space="preserve"> </w:t>
      </w:r>
      <w:proofErr w:type="spellStart"/>
      <w:r w:rsidRPr="004C325D">
        <w:rPr>
          <w:rFonts w:ascii="Arabic Typesetting" w:hAnsi="Arabic Typesetting" w:cs="Arabic Typesetting"/>
          <w:sz w:val="32"/>
          <w:szCs w:val="32"/>
        </w:rPr>
        <w:t>Romana</w:t>
      </w:r>
      <w:proofErr w:type="spellEnd"/>
      <w:r w:rsidRPr="004C325D">
        <w:rPr>
          <w:rFonts w:ascii="Arabic Typesetting" w:hAnsi="Arabic Typesetting" w:cs="Arabic Typesetting"/>
          <w:sz w:val="32"/>
          <w:szCs w:val="32"/>
        </w:rPr>
        <w:t xml:space="preserve"> since in both monuments the idea of Roman military strength is also apparent; notions that peace was secured through Roman arms was still evidently a prominent one. Therefore these monuments show that geography was still used for political or ideological ends after the Augustan age. </w:t>
      </w:r>
    </w:p>
    <w:p w:rsidR="005914E5" w:rsidRPr="004C325D" w:rsidRDefault="005914E5" w:rsidP="005914E5">
      <w:pPr>
        <w:rPr>
          <w:rFonts w:ascii="Arabic Typesetting" w:hAnsi="Arabic Typesetting" w:cs="Arabic Typesetting"/>
          <w:sz w:val="32"/>
          <w:szCs w:val="32"/>
        </w:rPr>
      </w:pPr>
    </w:p>
    <w:p w:rsidR="00680135" w:rsidRDefault="005914E5" w:rsidP="00680135">
      <w:pPr>
        <w:rPr>
          <w:rFonts w:ascii="Arabic Typesetting" w:hAnsi="Arabic Typesetting" w:cs="Arabic Typesetting"/>
          <w:i/>
          <w:sz w:val="32"/>
          <w:szCs w:val="32"/>
        </w:rPr>
      </w:pPr>
      <w:r w:rsidRPr="004C325D">
        <w:rPr>
          <w:rFonts w:ascii="Arabic Typesetting" w:hAnsi="Arabic Typesetting" w:cs="Arabic Typesetting"/>
          <w:i/>
          <w:sz w:val="32"/>
          <w:szCs w:val="32"/>
        </w:rPr>
        <w:t>Joanna is a second year part-time PhD student. Her research focuses on Roman views of and interaction with the northern frontiers of the empire. She examines how views of these barbarian nations to the north changed over time and also what caused such changes.</w:t>
      </w:r>
    </w:p>
    <w:p w:rsidR="00680135" w:rsidRDefault="00680135" w:rsidP="00680135">
      <w:pPr>
        <w:rPr>
          <w:rFonts w:ascii="Arabic Typesetting" w:hAnsi="Arabic Typesetting" w:cs="Arabic Typesetting"/>
          <w:i/>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Pr="00680135" w:rsidRDefault="00680135" w:rsidP="00680135">
      <w:pPr>
        <w:rPr>
          <w:rFonts w:ascii="Arabic Typesetting" w:hAnsi="Arabic Typesetting" w:cs="Arabic Typesetting"/>
          <w:i/>
          <w:sz w:val="32"/>
          <w:szCs w:val="32"/>
        </w:rPr>
      </w:pPr>
      <w:r w:rsidRPr="004C325D">
        <w:rPr>
          <w:rFonts w:ascii="Arabic Typesetting" w:hAnsi="Arabic Typesetting" w:cs="Arabic Typesetting"/>
          <w:sz w:val="32"/>
          <w:szCs w:val="32"/>
        </w:rPr>
        <w:t>Stephanie Lane</w:t>
      </w:r>
    </w:p>
    <w:p w:rsidR="00FF42DD" w:rsidRPr="00FF42DD" w:rsidRDefault="00FF42DD" w:rsidP="00FF42DD">
      <w:pPr>
        <w:rPr>
          <w:rFonts w:ascii="Arabic Typesetting" w:hAnsi="Arabic Typesetting" w:cs="Arabic Typesetting"/>
          <w:sz w:val="32"/>
          <w:szCs w:val="32"/>
          <w:u w:val="single"/>
        </w:rPr>
      </w:pPr>
      <w:r w:rsidRPr="00FF42DD">
        <w:rPr>
          <w:rFonts w:ascii="Arabic Typesetting" w:hAnsi="Arabic Typesetting" w:cs="Arabic Typesetting"/>
          <w:sz w:val="32"/>
          <w:szCs w:val="32"/>
          <w:u w:val="single"/>
        </w:rPr>
        <w:t>Style or substance: the use of language on items for personal use in Roman Britain</w:t>
      </w:r>
    </w:p>
    <w:p w:rsidR="00FF42DD" w:rsidRPr="00FF42DD" w:rsidRDefault="00FF42DD" w:rsidP="00FF42DD">
      <w:pPr>
        <w:rPr>
          <w:rFonts w:ascii="Arabic Typesetting" w:hAnsi="Arabic Typesetting" w:cs="Arabic Typesetting"/>
          <w:sz w:val="32"/>
          <w:szCs w:val="32"/>
        </w:rPr>
      </w:pPr>
      <w:r w:rsidRPr="00FF42DD">
        <w:rPr>
          <w:rFonts w:ascii="Arabic Typesetting" w:hAnsi="Arabic Typesetting" w:cs="Arabic Typesetting"/>
          <w:sz w:val="32"/>
          <w:szCs w:val="32"/>
        </w:rPr>
        <w:t>The choice of jewellery or other items for personal wear is a highly individual one, affected by the wider cultural milieu and by particular affiliations as well as the item’s decorative qualities. There are a range of personal ornaments from Roman Britain that carry an open verbal message, the majority of which are rings, but also including brooches, belts and military fitments. Their presence and use may help to illuminate the contexts in which Romano-British society used literacy and how widely the literate message was appreciated.</w:t>
      </w:r>
    </w:p>
    <w:p w:rsidR="00FF42DD" w:rsidRPr="00FF42DD" w:rsidRDefault="00FF42DD" w:rsidP="00FF42DD">
      <w:pPr>
        <w:rPr>
          <w:rFonts w:ascii="Arabic Typesetting" w:hAnsi="Arabic Typesetting" w:cs="Arabic Typesetting"/>
          <w:sz w:val="32"/>
          <w:szCs w:val="32"/>
        </w:rPr>
      </w:pPr>
    </w:p>
    <w:p w:rsidR="00FF42DD" w:rsidRPr="00FF42DD" w:rsidRDefault="00FF42DD" w:rsidP="00FF42DD">
      <w:pPr>
        <w:rPr>
          <w:rFonts w:ascii="Arabic Typesetting" w:hAnsi="Arabic Typesetting" w:cs="Arabic Typesetting"/>
          <w:sz w:val="32"/>
          <w:szCs w:val="32"/>
        </w:rPr>
      </w:pPr>
      <w:r w:rsidRPr="00FF42DD">
        <w:rPr>
          <w:rFonts w:ascii="Arabic Typesetting" w:hAnsi="Arabic Typesetting" w:cs="Arabic Typesetting"/>
          <w:sz w:val="32"/>
          <w:szCs w:val="32"/>
        </w:rPr>
        <w:t xml:space="preserve">This paper will address the context of these personal items, the message they contain and the visibility of the inscription. Is there a link between the types of message and their medium? Did the wearer expect literate interaction with onlookers so that some messages appear more prominently than others – and what do those which appear to be deliberately concealed suggest about their use and the awareness of their message? </w:t>
      </w:r>
    </w:p>
    <w:p w:rsidR="00FF42DD" w:rsidRPr="00FF42DD" w:rsidRDefault="00FF42DD" w:rsidP="00FF42DD">
      <w:pPr>
        <w:rPr>
          <w:rFonts w:ascii="Arabic Typesetting" w:hAnsi="Arabic Typesetting" w:cs="Arabic Typesetting"/>
          <w:sz w:val="32"/>
          <w:szCs w:val="32"/>
        </w:rPr>
      </w:pPr>
    </w:p>
    <w:p w:rsidR="00680135" w:rsidRDefault="00FF42DD" w:rsidP="00FF42DD">
      <w:pPr>
        <w:rPr>
          <w:rFonts w:ascii="Arabic Typesetting" w:hAnsi="Arabic Typesetting" w:cs="Arabic Typesetting"/>
          <w:sz w:val="32"/>
          <w:szCs w:val="32"/>
        </w:rPr>
      </w:pPr>
      <w:r w:rsidRPr="00FF42DD">
        <w:rPr>
          <w:rFonts w:ascii="Arabic Typesetting" w:hAnsi="Arabic Typesetting" w:cs="Arabic Typesetting"/>
          <w:i/>
          <w:sz w:val="32"/>
          <w:szCs w:val="32"/>
        </w:rPr>
        <w:t>Stephanie is in the second year of her PhD researching literacy in Roman, post-Roman Britain and early Anglo-Saxon Britain, examining the contexts in which it was used and how these changed over time. Her interests are in the material culture of the Roman Empire, especially its commercial and socio-economic aspects</w:t>
      </w:r>
      <w:r>
        <w:rPr>
          <w:rFonts w:ascii="Arabic Typesetting" w:hAnsi="Arabic Typesetting" w:cs="Arabic Typesetting"/>
          <w:sz w:val="32"/>
          <w:szCs w:val="32"/>
        </w:rPr>
        <w:t>.</w:t>
      </w: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Pr="004C325D" w:rsidRDefault="00680135" w:rsidP="00680135">
      <w:pPr>
        <w:rPr>
          <w:rFonts w:ascii="Arabic Typesetting" w:hAnsi="Arabic Typesetting" w:cs="Arabic Typesetting"/>
          <w:sz w:val="32"/>
          <w:szCs w:val="32"/>
        </w:rPr>
      </w:pPr>
      <w:r w:rsidRPr="004C325D">
        <w:rPr>
          <w:rFonts w:ascii="Arabic Typesetting" w:hAnsi="Arabic Typesetting" w:cs="Arabic Typesetting"/>
          <w:sz w:val="32"/>
          <w:szCs w:val="32"/>
        </w:rPr>
        <w:t>Nathan Murphy</w:t>
      </w:r>
    </w:p>
    <w:p w:rsidR="00680135" w:rsidRPr="004C325D" w:rsidRDefault="00680135" w:rsidP="00680135">
      <w:pPr>
        <w:rPr>
          <w:rFonts w:ascii="Arabic Typesetting" w:hAnsi="Arabic Typesetting" w:cs="Arabic Typesetting"/>
          <w:sz w:val="32"/>
          <w:szCs w:val="32"/>
          <w:u w:val="single"/>
        </w:rPr>
      </w:pPr>
      <w:r w:rsidRPr="004C325D">
        <w:rPr>
          <w:rFonts w:ascii="Arabic Typesetting" w:hAnsi="Arabic Typesetting" w:cs="Arabic Typesetting"/>
          <w:sz w:val="32"/>
          <w:szCs w:val="32"/>
          <w:u w:val="single"/>
        </w:rPr>
        <w:t>The value of Roman precious metal currency in the imperial period</w:t>
      </w:r>
    </w:p>
    <w:p w:rsidR="00680135" w:rsidRPr="004C325D" w:rsidRDefault="00680135" w:rsidP="00680135">
      <w:pPr>
        <w:rPr>
          <w:rFonts w:ascii="Arabic Typesetting" w:hAnsi="Arabic Typesetting" w:cs="Arabic Typesetting"/>
          <w:sz w:val="32"/>
          <w:szCs w:val="32"/>
        </w:rPr>
      </w:pPr>
      <w:r w:rsidRPr="004C325D">
        <w:rPr>
          <w:rFonts w:ascii="Arabic Typesetting" w:hAnsi="Arabic Typesetting" w:cs="Arabic Typesetting"/>
          <w:sz w:val="32"/>
          <w:szCs w:val="32"/>
        </w:rPr>
        <w:t xml:space="preserve">Discussions of the Roman economy often emphasise monetary reforms as key watersheds in the decline of the denarius coinage system. Decreases in the weight and/or precious metal content of the gold and silver coinages are cited as both the cause and effect of monetary and fiscal problems within the empire. The eventual collapse of the currency in the mid-third century AD is therefore commonly interpreted as an integral part of the wider period of political and social turmoil known as the ‘Third Century Crisis’, lasting from the assassination of Severus Alexander in AD 235 to the accession of Diocletian in AD 284. </w:t>
      </w:r>
    </w:p>
    <w:p w:rsidR="00680135" w:rsidRPr="004C325D" w:rsidRDefault="00680135" w:rsidP="00680135">
      <w:pPr>
        <w:rPr>
          <w:rFonts w:ascii="Arabic Typesetting" w:hAnsi="Arabic Typesetting" w:cs="Arabic Typesetting"/>
          <w:sz w:val="32"/>
          <w:szCs w:val="32"/>
        </w:rPr>
      </w:pPr>
      <w:r w:rsidRPr="004C325D">
        <w:rPr>
          <w:rFonts w:ascii="Arabic Typesetting" w:hAnsi="Arabic Typesetting" w:cs="Arabic Typesetting"/>
          <w:sz w:val="32"/>
          <w:szCs w:val="32"/>
        </w:rPr>
        <w:t>However before we link changes in the coinage to social upheaval it is important to investigate how far the public were aware of, and how they reacted to, monetary reforms. This paper will examine both literary and archaeological evidence to explore the ways in which Roman currency was valued, and how the Roman concept of economic value changed over time. If we can establish how the value of the Roman coinage was determined then it may be possible to explain how changes in the currency were received and the impact of these changes on the economy and Roman society. This could have important implications for both monetary histories of the Roman imperial period and discussion of the crucial events of the third century AD.</w:t>
      </w:r>
    </w:p>
    <w:p w:rsidR="00E838C9" w:rsidRDefault="00E838C9" w:rsidP="00680135">
      <w:pPr>
        <w:rPr>
          <w:rFonts w:ascii="Arabic Typesetting" w:hAnsi="Arabic Typesetting" w:cs="Arabic Typesetting"/>
          <w:i/>
          <w:sz w:val="32"/>
          <w:szCs w:val="32"/>
        </w:rPr>
      </w:pPr>
    </w:p>
    <w:p w:rsidR="00680135" w:rsidRPr="004C325D" w:rsidRDefault="00680135" w:rsidP="00680135">
      <w:pPr>
        <w:rPr>
          <w:rFonts w:ascii="Arabic Typesetting" w:hAnsi="Arabic Typesetting" w:cs="Arabic Typesetting"/>
          <w:i/>
          <w:sz w:val="32"/>
          <w:szCs w:val="32"/>
        </w:rPr>
      </w:pPr>
      <w:r w:rsidRPr="004C325D">
        <w:rPr>
          <w:rFonts w:ascii="Arabic Typesetting" w:hAnsi="Arabic Typesetting" w:cs="Arabic Typesetting"/>
          <w:i/>
          <w:sz w:val="32"/>
          <w:szCs w:val="32"/>
        </w:rPr>
        <w:t>Biography</w:t>
      </w: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p>
    <w:p w:rsidR="00680135" w:rsidRDefault="00680135" w:rsidP="00680135">
      <w:pPr>
        <w:rPr>
          <w:rFonts w:ascii="Arabic Typesetting" w:hAnsi="Arabic Typesetting" w:cs="Arabic Typesetting"/>
          <w:sz w:val="32"/>
          <w:szCs w:val="32"/>
        </w:rPr>
      </w:pPr>
      <w:bookmarkStart w:id="0" w:name="_GoBack"/>
      <w:bookmarkEnd w:id="0"/>
    </w:p>
    <w:p w:rsidR="00680135" w:rsidRPr="004C325D" w:rsidRDefault="00680135" w:rsidP="00680135">
      <w:pPr>
        <w:rPr>
          <w:rFonts w:ascii="Arabic Typesetting" w:hAnsi="Arabic Typesetting" w:cs="Arabic Typesetting"/>
          <w:sz w:val="32"/>
          <w:szCs w:val="32"/>
        </w:rPr>
      </w:pPr>
      <w:r w:rsidRPr="004C325D">
        <w:rPr>
          <w:rFonts w:ascii="Arabic Typesetting" w:hAnsi="Arabic Typesetting" w:cs="Arabic Typesetting"/>
          <w:sz w:val="32"/>
          <w:szCs w:val="32"/>
        </w:rPr>
        <w:t>Alexander</w:t>
      </w:r>
      <w:r>
        <w:rPr>
          <w:rFonts w:ascii="Arabic Typesetting" w:hAnsi="Arabic Typesetting" w:cs="Arabic Typesetting"/>
          <w:sz w:val="32"/>
          <w:szCs w:val="32"/>
        </w:rPr>
        <w:t xml:space="preserve"> Peck</w:t>
      </w:r>
    </w:p>
    <w:p w:rsidR="00680135" w:rsidRPr="004C325D" w:rsidRDefault="00680135" w:rsidP="00680135">
      <w:pPr>
        <w:rPr>
          <w:rFonts w:ascii="Arabic Typesetting" w:hAnsi="Arabic Typesetting" w:cs="Arabic Typesetting"/>
          <w:sz w:val="32"/>
          <w:szCs w:val="32"/>
          <w:u w:val="single"/>
        </w:rPr>
      </w:pPr>
      <w:r w:rsidRPr="004C325D">
        <w:rPr>
          <w:rFonts w:ascii="Arabic Typesetting" w:hAnsi="Arabic Typesetting" w:cs="Arabic Typesetting"/>
          <w:sz w:val="32"/>
          <w:szCs w:val="32"/>
          <w:u w:val="single"/>
        </w:rPr>
        <w:t xml:space="preserve">Patria and the Characterisation of the Augustan </w:t>
      </w:r>
      <w:proofErr w:type="spellStart"/>
      <w:r w:rsidRPr="004C325D">
        <w:rPr>
          <w:rFonts w:ascii="Arabic Typesetting" w:hAnsi="Arabic Typesetting" w:cs="Arabic Typesetting"/>
          <w:sz w:val="32"/>
          <w:szCs w:val="32"/>
          <w:u w:val="single"/>
        </w:rPr>
        <w:t>Principate</w:t>
      </w:r>
      <w:proofErr w:type="spellEnd"/>
    </w:p>
    <w:p w:rsidR="00680135" w:rsidRPr="004C325D" w:rsidRDefault="00680135" w:rsidP="00680135">
      <w:pPr>
        <w:rPr>
          <w:rFonts w:ascii="Arabic Typesetting" w:hAnsi="Arabic Typesetting" w:cs="Arabic Typesetting"/>
          <w:sz w:val="32"/>
          <w:szCs w:val="32"/>
        </w:rPr>
      </w:pPr>
      <w:r w:rsidRPr="004C325D">
        <w:rPr>
          <w:rFonts w:ascii="Arabic Typesetting" w:hAnsi="Arabic Typesetting" w:cs="Arabic Typesetting"/>
          <w:sz w:val="32"/>
          <w:szCs w:val="32"/>
        </w:rPr>
        <w:t xml:space="preserve">In Chapter 35 of the </w:t>
      </w:r>
      <w:r w:rsidRPr="004C325D">
        <w:rPr>
          <w:rFonts w:ascii="Arabic Typesetting" w:hAnsi="Arabic Typesetting" w:cs="Arabic Typesetting"/>
          <w:i/>
          <w:sz w:val="32"/>
          <w:szCs w:val="32"/>
        </w:rPr>
        <w:t xml:space="preserve">Res Gestae </w:t>
      </w:r>
      <w:proofErr w:type="spellStart"/>
      <w:r w:rsidRPr="004C325D">
        <w:rPr>
          <w:rFonts w:ascii="Arabic Typesetting" w:hAnsi="Arabic Typesetting" w:cs="Arabic Typesetting"/>
          <w:i/>
          <w:sz w:val="32"/>
          <w:szCs w:val="32"/>
        </w:rPr>
        <w:t>Divi</w:t>
      </w:r>
      <w:proofErr w:type="spellEnd"/>
      <w:r w:rsidRPr="004C325D">
        <w:rPr>
          <w:rFonts w:ascii="Arabic Typesetting" w:hAnsi="Arabic Typesetting" w:cs="Arabic Typesetting"/>
          <w:i/>
          <w:sz w:val="32"/>
          <w:szCs w:val="32"/>
        </w:rPr>
        <w:t xml:space="preserve"> </w:t>
      </w:r>
      <w:proofErr w:type="spellStart"/>
      <w:r w:rsidRPr="004C325D">
        <w:rPr>
          <w:rFonts w:ascii="Arabic Typesetting" w:hAnsi="Arabic Typesetting" w:cs="Arabic Typesetting"/>
          <w:i/>
          <w:sz w:val="32"/>
          <w:szCs w:val="32"/>
        </w:rPr>
        <w:t>Augusti</w:t>
      </w:r>
      <w:proofErr w:type="spellEnd"/>
      <w:r w:rsidRPr="004C325D">
        <w:rPr>
          <w:rFonts w:ascii="Arabic Typesetting" w:hAnsi="Arabic Typesetting" w:cs="Arabic Typesetting"/>
          <w:sz w:val="32"/>
          <w:szCs w:val="32"/>
        </w:rPr>
        <w:t xml:space="preserve">, Augustus informs us that in 2 BC "the Senate, the Equestrians and the entire populace of Rome addressed me as </w:t>
      </w:r>
      <w:r w:rsidRPr="004C325D">
        <w:rPr>
          <w:rFonts w:ascii="Arabic Typesetting" w:hAnsi="Arabic Typesetting" w:cs="Arabic Typesetting"/>
          <w:i/>
          <w:sz w:val="32"/>
          <w:szCs w:val="32"/>
        </w:rPr>
        <w:t xml:space="preserve">Pater </w:t>
      </w:r>
      <w:proofErr w:type="spellStart"/>
      <w:r w:rsidRPr="004C325D">
        <w:rPr>
          <w:rFonts w:ascii="Arabic Typesetting" w:hAnsi="Arabic Typesetting" w:cs="Arabic Typesetting"/>
          <w:i/>
          <w:sz w:val="32"/>
          <w:szCs w:val="32"/>
        </w:rPr>
        <w:t>Patriae</w:t>
      </w:r>
      <w:proofErr w:type="spellEnd"/>
      <w:r w:rsidRPr="004C325D">
        <w:rPr>
          <w:rFonts w:ascii="Arabic Typesetting" w:hAnsi="Arabic Typesetting" w:cs="Arabic Typesetting"/>
          <w:sz w:val="32"/>
          <w:szCs w:val="32"/>
        </w:rPr>
        <w:t xml:space="preserve">". That this is the concluding statement of Augustus' account of his political, cultural and military achievements illustrates the title’s great significance. It appears to represent the crowning achievement of his long political career, and thus serves to define both himself and his regime. Despite (or indeed possibly because of) this title's obvious importance, it has on many occasions been dismissed or passed over by modern day scholarship. There are a few notable exceptions to this. Firstly, there is the highly detailed examination by E. </w:t>
      </w:r>
      <w:proofErr w:type="spellStart"/>
      <w:r w:rsidRPr="004C325D">
        <w:rPr>
          <w:rFonts w:ascii="Arabic Typesetting" w:hAnsi="Arabic Typesetting" w:cs="Arabic Typesetting"/>
          <w:sz w:val="32"/>
          <w:szCs w:val="32"/>
        </w:rPr>
        <w:t>Skard</w:t>
      </w:r>
      <w:proofErr w:type="spellEnd"/>
      <w:r w:rsidRPr="004C325D">
        <w:rPr>
          <w:rFonts w:ascii="Arabic Typesetting" w:hAnsi="Arabic Typesetting" w:cs="Arabic Typesetting"/>
          <w:sz w:val="32"/>
          <w:szCs w:val="32"/>
        </w:rPr>
        <w:t xml:space="preserve"> (1933), who examined the title's significance in Roman culture during the republican period, indicating its Greek origins and its use to highlight a particular benefactor or saviour of the Roman State. These ideas were then greatly expanded upon by A. </w:t>
      </w:r>
      <w:proofErr w:type="spellStart"/>
      <w:r w:rsidRPr="004C325D">
        <w:rPr>
          <w:rFonts w:ascii="Arabic Typesetting" w:hAnsi="Arabic Typesetting" w:cs="Arabic Typesetting"/>
          <w:sz w:val="32"/>
          <w:szCs w:val="32"/>
        </w:rPr>
        <w:t>Alföldi</w:t>
      </w:r>
      <w:proofErr w:type="spellEnd"/>
      <w:r w:rsidRPr="004C325D">
        <w:rPr>
          <w:rFonts w:ascii="Arabic Typesetting" w:hAnsi="Arabic Typesetting" w:cs="Arabic Typesetting"/>
          <w:sz w:val="32"/>
          <w:szCs w:val="32"/>
        </w:rPr>
        <w:t xml:space="preserve"> (1971) in his highly influential monograph. Finally, and most recently, there is the examination by M. </w:t>
      </w:r>
      <w:proofErr w:type="spellStart"/>
      <w:r w:rsidRPr="004C325D">
        <w:rPr>
          <w:rFonts w:ascii="Arabic Typesetting" w:hAnsi="Arabic Typesetting" w:cs="Arabic Typesetting"/>
          <w:sz w:val="32"/>
          <w:szCs w:val="32"/>
        </w:rPr>
        <w:t>Strothmann</w:t>
      </w:r>
      <w:proofErr w:type="spellEnd"/>
      <w:r w:rsidRPr="004C325D">
        <w:rPr>
          <w:rFonts w:ascii="Arabic Typesetting" w:hAnsi="Arabic Typesetting" w:cs="Arabic Typesetting"/>
          <w:sz w:val="32"/>
          <w:szCs w:val="32"/>
        </w:rPr>
        <w:t xml:space="preserve"> (2000), who argues that the appellation reflects and defines Augustus' role as head of the Roman family, the supreme </w:t>
      </w:r>
      <w:r w:rsidRPr="004C325D">
        <w:rPr>
          <w:rFonts w:ascii="Arabic Typesetting" w:hAnsi="Arabic Typesetting" w:cs="Arabic Typesetting"/>
          <w:i/>
          <w:sz w:val="32"/>
          <w:szCs w:val="32"/>
        </w:rPr>
        <w:t xml:space="preserve">pater </w:t>
      </w:r>
      <w:proofErr w:type="spellStart"/>
      <w:r w:rsidRPr="004C325D">
        <w:rPr>
          <w:rFonts w:ascii="Arabic Typesetting" w:hAnsi="Arabic Typesetting" w:cs="Arabic Typesetting"/>
          <w:i/>
          <w:sz w:val="32"/>
          <w:szCs w:val="32"/>
        </w:rPr>
        <w:t>familias</w:t>
      </w:r>
      <w:proofErr w:type="spellEnd"/>
      <w:r w:rsidRPr="004C325D">
        <w:rPr>
          <w:rFonts w:ascii="Arabic Typesetting" w:hAnsi="Arabic Typesetting" w:cs="Arabic Typesetting"/>
          <w:sz w:val="32"/>
          <w:szCs w:val="32"/>
        </w:rPr>
        <w:t xml:space="preserve">. My paper aims to build upon these important foundations. Firstly, it will examine the significance of the concept of </w:t>
      </w:r>
      <w:r w:rsidRPr="004C325D">
        <w:rPr>
          <w:rFonts w:ascii="Arabic Typesetting" w:hAnsi="Arabic Typesetting" w:cs="Arabic Typesetting"/>
          <w:i/>
          <w:sz w:val="32"/>
          <w:szCs w:val="32"/>
        </w:rPr>
        <w:t>patria</w:t>
      </w:r>
      <w:r w:rsidRPr="004C325D">
        <w:rPr>
          <w:rFonts w:ascii="Arabic Typesetting" w:hAnsi="Arabic Typesetting" w:cs="Arabic Typesetting"/>
          <w:sz w:val="32"/>
          <w:szCs w:val="32"/>
        </w:rPr>
        <w:t xml:space="preserve">, rather than </w:t>
      </w:r>
      <w:proofErr w:type="spellStart"/>
      <w:r w:rsidRPr="004C325D">
        <w:rPr>
          <w:rFonts w:ascii="Arabic Typesetting" w:hAnsi="Arabic Typesetting" w:cs="Arabic Typesetting"/>
          <w:i/>
          <w:sz w:val="32"/>
          <w:szCs w:val="32"/>
        </w:rPr>
        <w:t>parens</w:t>
      </w:r>
      <w:proofErr w:type="spellEnd"/>
      <w:r w:rsidRPr="004C325D">
        <w:rPr>
          <w:rFonts w:ascii="Arabic Typesetting" w:hAnsi="Arabic Typesetting" w:cs="Arabic Typesetting"/>
          <w:sz w:val="32"/>
          <w:szCs w:val="32"/>
        </w:rPr>
        <w:t xml:space="preserve"> and </w:t>
      </w:r>
      <w:r w:rsidRPr="004C325D">
        <w:rPr>
          <w:rFonts w:ascii="Arabic Typesetting" w:hAnsi="Arabic Typesetting" w:cs="Arabic Typesetting"/>
          <w:i/>
          <w:sz w:val="32"/>
          <w:szCs w:val="32"/>
        </w:rPr>
        <w:t>pater</w:t>
      </w:r>
      <w:r w:rsidRPr="004C325D">
        <w:rPr>
          <w:rFonts w:ascii="Arabic Typesetting" w:hAnsi="Arabic Typesetting" w:cs="Arabic Typesetting"/>
          <w:sz w:val="32"/>
          <w:szCs w:val="32"/>
        </w:rPr>
        <w:t xml:space="preserve">, considering both its role in and relationship within the context of the Augustan regime. Secondly, it will consider this question from an external perspective. That is to say, rather than try and deduce an internal strategic use of the concept by Augustus and his inner circle, I will discuss the way in which the role and relationship of patria to the </w:t>
      </w:r>
      <w:proofErr w:type="spellStart"/>
      <w:r w:rsidRPr="004C325D">
        <w:rPr>
          <w:rFonts w:ascii="Arabic Typesetting" w:hAnsi="Arabic Typesetting" w:cs="Arabic Typesetting"/>
          <w:sz w:val="32"/>
          <w:szCs w:val="32"/>
        </w:rPr>
        <w:t>principate</w:t>
      </w:r>
      <w:proofErr w:type="spellEnd"/>
      <w:r w:rsidRPr="004C325D">
        <w:rPr>
          <w:rFonts w:ascii="Arabic Typesetting" w:hAnsi="Arabic Typesetting" w:cs="Arabic Typesetting"/>
          <w:sz w:val="32"/>
          <w:szCs w:val="32"/>
        </w:rPr>
        <w:t xml:space="preserve"> was utilised by contemporary writers to characterise the </w:t>
      </w:r>
      <w:proofErr w:type="spellStart"/>
      <w:r w:rsidRPr="004C325D">
        <w:rPr>
          <w:rFonts w:ascii="Arabic Typesetting" w:hAnsi="Arabic Typesetting" w:cs="Arabic Typesetting"/>
          <w:sz w:val="32"/>
          <w:szCs w:val="32"/>
        </w:rPr>
        <w:t>princeps</w:t>
      </w:r>
      <w:proofErr w:type="spellEnd"/>
      <w:r w:rsidRPr="004C325D">
        <w:rPr>
          <w:rFonts w:ascii="Arabic Typesetting" w:hAnsi="Arabic Typesetting" w:cs="Arabic Typesetting"/>
          <w:sz w:val="32"/>
          <w:szCs w:val="32"/>
        </w:rPr>
        <w:t xml:space="preserve"> and his regime.    </w:t>
      </w:r>
    </w:p>
    <w:p w:rsidR="004C1642" w:rsidRDefault="004C1642" w:rsidP="00680135">
      <w:pPr>
        <w:rPr>
          <w:rFonts w:ascii="Arabic Typesetting" w:hAnsi="Arabic Typesetting" w:cs="Arabic Typesetting"/>
          <w:i/>
          <w:sz w:val="32"/>
          <w:szCs w:val="32"/>
        </w:rPr>
      </w:pPr>
    </w:p>
    <w:p w:rsidR="00680135" w:rsidRPr="004C325D" w:rsidRDefault="00680135" w:rsidP="00680135">
      <w:pPr>
        <w:rPr>
          <w:rFonts w:ascii="Arabic Typesetting" w:hAnsi="Arabic Typesetting" w:cs="Arabic Typesetting"/>
          <w:i/>
          <w:sz w:val="32"/>
          <w:szCs w:val="32"/>
        </w:rPr>
      </w:pPr>
      <w:r w:rsidRPr="004C325D">
        <w:rPr>
          <w:rFonts w:ascii="Arabic Typesetting" w:hAnsi="Arabic Typesetting" w:cs="Arabic Typesetting"/>
          <w:i/>
          <w:sz w:val="32"/>
          <w:szCs w:val="32"/>
        </w:rPr>
        <w:t>Biography</w:t>
      </w:r>
    </w:p>
    <w:p w:rsidR="00366154" w:rsidRPr="004C325D" w:rsidRDefault="00366154" w:rsidP="001203BD">
      <w:pPr>
        <w:rPr>
          <w:rFonts w:ascii="Arabic Typesetting" w:hAnsi="Arabic Typesetting" w:cs="Arabic Typesetting"/>
          <w:sz w:val="32"/>
          <w:szCs w:val="32"/>
        </w:rPr>
      </w:pPr>
    </w:p>
    <w:p w:rsidR="00680135" w:rsidRPr="004C325D" w:rsidRDefault="00680135" w:rsidP="001203BD">
      <w:pPr>
        <w:rPr>
          <w:rFonts w:ascii="Arabic Typesetting" w:hAnsi="Arabic Typesetting" w:cs="Arabic Typesetting"/>
          <w:sz w:val="32"/>
          <w:szCs w:val="32"/>
        </w:rPr>
      </w:pPr>
    </w:p>
    <w:sectPr w:rsidR="00680135" w:rsidRPr="004C325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abic Typesetting">
    <w:panose1 w:val="03020402040406030203"/>
    <w:charset w:val="00"/>
    <w:family w:val="script"/>
    <w:pitch w:val="variable"/>
    <w:sig w:usb0="A000206F" w:usb1="C0000000"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2C39"/>
    <w:rsid w:val="001203BD"/>
    <w:rsid w:val="00170002"/>
    <w:rsid w:val="001E7767"/>
    <w:rsid w:val="00334C14"/>
    <w:rsid w:val="00343A73"/>
    <w:rsid w:val="00363B2C"/>
    <w:rsid w:val="00366154"/>
    <w:rsid w:val="003A56B0"/>
    <w:rsid w:val="004C1642"/>
    <w:rsid w:val="004C325D"/>
    <w:rsid w:val="004F2B51"/>
    <w:rsid w:val="005914E5"/>
    <w:rsid w:val="005D05B4"/>
    <w:rsid w:val="00680135"/>
    <w:rsid w:val="006D033E"/>
    <w:rsid w:val="00791A61"/>
    <w:rsid w:val="007E28E4"/>
    <w:rsid w:val="00963927"/>
    <w:rsid w:val="009D6242"/>
    <w:rsid w:val="00A56B43"/>
    <w:rsid w:val="00AA49C3"/>
    <w:rsid w:val="00AA545A"/>
    <w:rsid w:val="00AA7B25"/>
    <w:rsid w:val="00BB6B33"/>
    <w:rsid w:val="00BE701F"/>
    <w:rsid w:val="00D512BE"/>
    <w:rsid w:val="00DA3F8B"/>
    <w:rsid w:val="00DC7F13"/>
    <w:rsid w:val="00E838C9"/>
    <w:rsid w:val="00F067E6"/>
    <w:rsid w:val="00F22C39"/>
    <w:rsid w:val="00FF42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FEF1DB0-A3DF-40BF-9922-4CEB5F15FA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70002"/>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184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C4AB3F81</Template>
  <TotalTime>1</TotalTime>
  <Pages>9</Pages>
  <Words>2234</Words>
  <Characters>12740</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Grigsby, Paul</cp:lastModifiedBy>
  <cp:revision>2</cp:revision>
  <cp:lastPrinted>2015-05-05T18:38:00Z</cp:lastPrinted>
  <dcterms:created xsi:type="dcterms:W3CDTF">2015-05-06T09:22:00Z</dcterms:created>
  <dcterms:modified xsi:type="dcterms:W3CDTF">2015-05-06T09:22:00Z</dcterms:modified>
</cp:coreProperties>
</file>