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7CF52B" w14:textId="12A0C7C0" w:rsidR="00254CA6" w:rsidRPr="00254CA6" w:rsidRDefault="00254CA6" w:rsidP="00254CA6">
      <w:pPr>
        <w:spacing w:line="256" w:lineRule="auto"/>
        <w:jc w:val="center"/>
        <w:rPr>
          <w:rFonts w:ascii="Calibri" w:eastAsia="Calibri" w:hAnsi="Calibri" w:cs="Calibri"/>
          <w:b/>
          <w:bCs/>
          <w:sz w:val="32"/>
          <w:szCs w:val="32"/>
        </w:rPr>
      </w:pPr>
      <w:r w:rsidRPr="00254CA6">
        <w:rPr>
          <w:rFonts w:ascii="Calibri" w:eastAsia="Calibri" w:hAnsi="Calibri" w:cs="Calibri"/>
          <w:b/>
          <w:noProof/>
          <w:sz w:val="32"/>
          <w:szCs w:val="32"/>
        </w:rPr>
        <w:drawing>
          <wp:inline distT="0" distB="0" distL="0" distR="0" wp14:anchorId="7495551F" wp14:editId="1FEF7156">
            <wp:extent cx="1971675" cy="1238250"/>
            <wp:effectExtent l="0" t="0" r="0" b="0"/>
            <wp:docPr id="7" name="Picture 1" descr="Logo, 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icon&#10;&#10;Description automatically generated"/>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971675" cy="1238250"/>
                    </a:xfrm>
                    <a:prstGeom prst="rect">
                      <a:avLst/>
                    </a:prstGeom>
                    <a:noFill/>
                    <a:ln>
                      <a:noFill/>
                    </a:ln>
                  </pic:spPr>
                </pic:pic>
              </a:graphicData>
            </a:graphic>
          </wp:inline>
        </w:drawing>
      </w:r>
    </w:p>
    <w:p w14:paraId="3ED67898" w14:textId="77777777" w:rsidR="00254CA6" w:rsidRPr="00254CA6" w:rsidRDefault="00254CA6" w:rsidP="00254CA6">
      <w:pPr>
        <w:spacing w:line="256" w:lineRule="auto"/>
        <w:jc w:val="center"/>
        <w:rPr>
          <w:rFonts w:ascii="Calibri" w:eastAsia="Calibri" w:hAnsi="Calibri" w:cs="Calibri"/>
          <w:b/>
          <w:bCs/>
          <w:sz w:val="32"/>
          <w:szCs w:val="32"/>
        </w:rPr>
      </w:pPr>
      <w:r w:rsidRPr="00254CA6">
        <w:rPr>
          <w:rFonts w:ascii="Calibri" w:eastAsia="Calibri" w:hAnsi="Calibri" w:cs="Calibri"/>
          <w:b/>
          <w:bCs/>
          <w:sz w:val="32"/>
          <w:szCs w:val="32"/>
        </w:rPr>
        <w:t>Roman Coventry and Warwickshire Project</w:t>
      </w:r>
    </w:p>
    <w:p w14:paraId="44DD305E" w14:textId="37D17627" w:rsidR="00254CA6" w:rsidRPr="00254CA6" w:rsidRDefault="00254CA6" w:rsidP="00254CA6">
      <w:pPr>
        <w:spacing w:line="256" w:lineRule="auto"/>
        <w:jc w:val="center"/>
        <w:rPr>
          <w:rFonts w:ascii="Calibri" w:eastAsia="Calibri" w:hAnsi="Calibri" w:cs="Calibri"/>
          <w:b/>
          <w:bCs/>
          <w:sz w:val="32"/>
          <w:szCs w:val="32"/>
        </w:rPr>
      </w:pPr>
      <w:r>
        <w:rPr>
          <w:rFonts w:ascii="Calibri" w:eastAsia="Calibri" w:hAnsi="Calibri" w:cs="Calibri"/>
          <w:b/>
          <w:bCs/>
          <w:sz w:val="32"/>
          <w:szCs w:val="32"/>
        </w:rPr>
        <w:t>Caratacus</w:t>
      </w:r>
      <w:r w:rsidRPr="00254CA6">
        <w:rPr>
          <w:rFonts w:ascii="Calibri" w:eastAsia="Calibri" w:hAnsi="Calibri" w:cs="Calibri"/>
          <w:b/>
          <w:bCs/>
          <w:sz w:val="32"/>
          <w:szCs w:val="32"/>
        </w:rPr>
        <w:t xml:space="preserve"> - Teaching Notes</w:t>
      </w:r>
    </w:p>
    <w:p w14:paraId="14B8A83A" w14:textId="60B623C6" w:rsidR="00123B06" w:rsidRDefault="00EA4BC4">
      <w:r>
        <w:rPr>
          <w:noProof/>
        </w:rPr>
        <mc:AlternateContent>
          <mc:Choice Requires="wps">
            <w:drawing>
              <wp:anchor distT="45720" distB="45720" distL="114300" distR="114300" simplePos="0" relativeHeight="251659264" behindDoc="0" locked="0" layoutInCell="1" allowOverlap="1" wp14:anchorId="46873FFE" wp14:editId="4DAEBDAD">
                <wp:simplePos x="0" y="0"/>
                <wp:positionH relativeFrom="margin">
                  <wp:posOffset>0</wp:posOffset>
                </wp:positionH>
                <wp:positionV relativeFrom="paragraph">
                  <wp:posOffset>331470</wp:posOffset>
                </wp:positionV>
                <wp:extent cx="5518150" cy="1404620"/>
                <wp:effectExtent l="0" t="0" r="25400" b="2794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1404620"/>
                        </a:xfrm>
                        <a:prstGeom prst="rect">
                          <a:avLst/>
                        </a:prstGeom>
                        <a:solidFill>
                          <a:srgbClr val="FFFFFF"/>
                        </a:solidFill>
                        <a:ln w="9525">
                          <a:solidFill>
                            <a:srgbClr val="000000"/>
                          </a:solidFill>
                          <a:miter lim="800000"/>
                          <a:headEnd/>
                          <a:tailEnd/>
                        </a:ln>
                      </wps:spPr>
                      <wps:txbx>
                        <w:txbxContent>
                          <w:p w14:paraId="1617C429" w14:textId="534D247B" w:rsidR="00EA4BC4" w:rsidRDefault="00EA4BC4" w:rsidP="00DB2A03">
                            <w:r>
                              <w:t xml:space="preserve">These teaching notes and the accompanying PowerPoint presentation are designed to give an overview of the </w:t>
                            </w:r>
                            <w:r w:rsidR="00DB2A03">
                              <w:t xml:space="preserve">resistance to Rome in certain quarters. As such they form a set with the lessons on Boudica and Cartimandua. Cartimandua can be studied alongside Caratacus as an example of good relations with Rome (played out with Cartimandua being the Queen who finally handed Caratacus over to the Romans). These lessons are a good prequel to the revolt of </w:t>
                            </w:r>
                            <w:r w:rsidR="00753D0D">
                              <w:t>Boudica</w:t>
                            </w:r>
                            <w:r w:rsidR="00DB2A03">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46873FFE" id="_x0000_t202" coordsize="21600,21600" o:spt="202" path="m,l,21600r21600,l21600,xe">
                <v:stroke joinstyle="miter"/>
                <v:path gradientshapeok="t" o:connecttype="rect"/>
              </v:shapetype>
              <v:shape id="_x0000_s1026" type="#_x0000_t202" style="position:absolute;margin-left:0;margin-top:26.1pt;width:434.5pt;height:110.6pt;z-index:2516592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m0XJAIAAEcEAAAOAAAAZHJzL2Uyb0RvYy54bWysU9tuGyEQfa/Uf0C813uRnTgrr6PUqatK&#10;6UVK+gEsy3pRgaGAvet+fQfWca20fanKA2KY4TBzzszqdtSKHITzEkxNi1lOiTAcWml2Nf36tH2z&#10;pMQHZlqmwIiaHoWnt+vXr1aDrUQJPahWOIIgxleDrWkfgq2yzPNeaOZnYIVBZwdOs4Cm22WtYwOi&#10;a5WVeX6VDeBa64AL7/H2fnLSdcLvOsHD567zIhBVU8wtpN2lvYl7tl6xaueY7SU/pcH+IQvNpMFP&#10;z1D3LDCyd/I3KC25Aw9dmHHQGXSd5CLVgNUU+YtqHntmRaoFyfH2TJP/f7D80+GLI7KtaVlcU2KY&#10;RpGexBjIWxhJGfkZrK8w7NFiYBjxGnVOtXr7APybJwY2PTM7ceccDL1gLeZXxJfZxdMJx0eQZvgI&#10;LX7D9gES0Ng5HclDOgiio07HszYxFY6Xi0WxLBbo4ugr5vn8qkzqZax6fm6dD+8FaBIPNXUofoJn&#10;hwcfYjqseg6Jv3lQst1KpZLhds1GOXJg2CjbtFIFL8KUIUNNbxblYmLgrxB5Wn+C0DJgxyupa7o8&#10;B7Eq8vbOtKkfA5NqOmPKypyIjNxNLIaxGU/CNNAekVIHU2fjJOKhB/eDkgG7uqb++545QYn6YFCW&#10;m2I+j2OQjPniGjkk7tLTXHqY4QhV00DJdNyENDqJMHuH8m1lIjbqPGVyyhW7NfF9mqw4Dpd2ivo1&#10;/+ufAAAA//8DAFBLAwQUAAYACAAAACEA4Xa4A9wAAAAHAQAADwAAAGRycy9kb3ducmV2LnhtbEyP&#10;wU7DMBBE70j8g7VIXCrqkJK0hGwqqNQTp4b27sYmiYjXwXbb9O9ZTnDcmdHM23I92UGcjQ+9I4TH&#10;eQLCUON0Ty3C/mP7sAIRoiKtBkcG4WoCrKvbm1IV2l1oZ851bAWXUCgUQhfjWEgZms5YFeZuNMTe&#10;p/NWRT59K7VXFy63g0yTJJdW9cQLnRrNpjPNV32yCPl3vZi9H/SMdtftm29spjf7DPH+bnp9ARHN&#10;FP/C8IvP6FAx09GdSAcxIPAjESFLUxDsrvJnFo4I6XLxBLIq5X/+6gcAAP//AwBQSwECLQAUAAYA&#10;CAAAACEAtoM4kv4AAADhAQAAEwAAAAAAAAAAAAAAAAAAAAAAW0NvbnRlbnRfVHlwZXNdLnhtbFBL&#10;AQItABQABgAIAAAAIQA4/SH/1gAAAJQBAAALAAAAAAAAAAAAAAAAAC8BAABfcmVscy8ucmVsc1BL&#10;AQItABQABgAIAAAAIQBcam0XJAIAAEcEAAAOAAAAAAAAAAAAAAAAAC4CAABkcnMvZTJvRG9jLnht&#10;bFBLAQItABQABgAIAAAAIQDhdrgD3AAAAAcBAAAPAAAAAAAAAAAAAAAAAH4EAABkcnMvZG93bnJl&#10;di54bWxQSwUGAAAAAAQABADzAAAAhwUAAAAA&#10;">
                <v:textbox style="mso-fit-shape-to-text:t">
                  <w:txbxContent>
                    <w:p w14:paraId="1617C429" w14:textId="534D247B" w:rsidR="00EA4BC4" w:rsidRDefault="00EA4BC4" w:rsidP="00DB2A03">
                      <w:r>
                        <w:t xml:space="preserve">These teaching notes and the accompanying PowerPoint presentation are designed to give an overview of the </w:t>
                      </w:r>
                      <w:r w:rsidR="00DB2A03">
                        <w:t xml:space="preserve">resistance to Rome in certain quarters. As such they form a set with the lessons on Boudica and Cartimandua. Cartimandua can be studied alongside Caratacus as an example of good relations with Rome (played out with Cartimandua being the Queen who finally handed Caratacus over to the Romans). These lessons are a good prequel to the revolt of </w:t>
                      </w:r>
                      <w:r w:rsidR="00753D0D">
                        <w:t>Boudica</w:t>
                      </w:r>
                      <w:r w:rsidR="00DB2A03">
                        <w:t>.</w:t>
                      </w:r>
                    </w:p>
                  </w:txbxContent>
                </v:textbox>
                <w10:wrap type="square" anchorx="margin"/>
              </v:shape>
            </w:pict>
          </mc:Fallback>
        </mc:AlternateContent>
      </w:r>
    </w:p>
    <w:p w14:paraId="773C0409" w14:textId="108F3D51" w:rsidR="00254CA6" w:rsidRDefault="00EA4BC4" w:rsidP="00BA2D5D">
      <w:pPr>
        <w:rPr>
          <w:u w:val="single"/>
        </w:rPr>
      </w:pPr>
      <w:r>
        <w:rPr>
          <w:noProof/>
        </w:rPr>
        <mc:AlternateContent>
          <mc:Choice Requires="wps">
            <w:drawing>
              <wp:inline distT="0" distB="0" distL="0" distR="0" wp14:anchorId="623004B2" wp14:editId="67310A50">
                <wp:extent cx="5518150" cy="1404620"/>
                <wp:effectExtent l="0" t="0" r="25400" b="13970"/>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1404620"/>
                        </a:xfrm>
                        <a:prstGeom prst="rect">
                          <a:avLst/>
                        </a:prstGeom>
                        <a:solidFill>
                          <a:srgbClr val="FFFFFF"/>
                        </a:solidFill>
                        <a:ln w="9525">
                          <a:solidFill>
                            <a:srgbClr val="000000"/>
                          </a:solidFill>
                          <a:miter lim="800000"/>
                          <a:headEnd/>
                          <a:tailEnd/>
                        </a:ln>
                      </wps:spPr>
                      <wps:txbx>
                        <w:txbxContent>
                          <w:p w14:paraId="1769159B" w14:textId="77777777" w:rsidR="00EA4BC4" w:rsidRPr="00954621" w:rsidRDefault="00EA4BC4" w:rsidP="00EA4BC4">
                            <w:pPr>
                              <w:rPr>
                                <w:b/>
                                <w:bCs/>
                              </w:rPr>
                            </w:pPr>
                            <w:r w:rsidRPr="00954621">
                              <w:rPr>
                                <w:b/>
                                <w:bCs/>
                              </w:rPr>
                              <w:t>Exercise</w:t>
                            </w:r>
                          </w:p>
                          <w:p w14:paraId="356EA916" w14:textId="1B0D9B64" w:rsidR="00EA4BC4" w:rsidRDefault="00DB2A03" w:rsidP="00EA4BC4">
                            <w:r>
                              <w:t xml:space="preserve">Your pupils might want to look on Caratacus and the Catuvellauni as examples of resistance to Rome. Why might there have been resistance? What did they fear losing? This is also a reminder of the tribal nature of the Britons and the importance of warfare in their own cultural makeup. </w:t>
                            </w:r>
                          </w:p>
                          <w:p w14:paraId="740F1C9F" w14:textId="60C10E8E" w:rsidR="00DB2A03" w:rsidRDefault="00DB2A03" w:rsidP="00EA4BC4">
                            <w:r>
                              <w:t xml:space="preserve">One thing your pupils might consider is how Caratacus is portrayed in the sources, and how near to real fact such sources are. Is this a real depiction of a real man, or something of an exaggeration? Is Caratacus a caricature of a wild savage. His redemption is reminiscent of the story of Croesus and King Cyrus in Herodotus </w:t>
                            </w:r>
                            <w:r w:rsidRPr="00DB2A03">
                              <w:rPr>
                                <w:i/>
                                <w:iCs/>
                              </w:rPr>
                              <w:t>Histories</w:t>
                            </w:r>
                            <w:r>
                              <w:t xml:space="preserve"> Book 1. So how much do we believe hs speech and his fate?</w:t>
                            </w:r>
                          </w:p>
                          <w:p w14:paraId="69585A0A" w14:textId="660DF48D" w:rsidR="00DB2A03" w:rsidRDefault="00DB2A03" w:rsidP="00EA4BC4">
                            <w:r>
                              <w:t>And what do they make of Caratacus’ reception among the later Britons? Why was he embraced as a national hero, and why is this problematic now?</w:t>
                            </w:r>
                          </w:p>
                        </w:txbxContent>
                      </wps:txbx>
                      <wps:bodyPr rot="0" vert="horz" wrap="square" lIns="91440" tIns="45720" rIns="91440" bIns="45720" anchor="t" anchorCtr="0">
                        <a:spAutoFit/>
                      </wps:bodyPr>
                    </wps:wsp>
                  </a:graphicData>
                </a:graphic>
              </wp:inline>
            </w:drawing>
          </mc:Choice>
          <mc:Fallback>
            <w:pict>
              <v:shape w14:anchorId="623004B2" id="Text Box 2" o:spid="_x0000_s1027" type="#_x0000_t202" style="width:434.5pt;height:110.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cVKJAIAAEwEAAAOAAAAZHJzL2Uyb0RvYy54bWysVNtu2zAMfR+wfxD0vtgO4i414hRdugwD&#10;ugvQ7gNoWY6F6TZJiZ19/Sg5TYNuexnmB0EUqaPDQ9Krm1FJcuDOC6NrWsxySrhmphV6V9Nvj9s3&#10;S0p8AN2CNJrX9Mg9vVm/frUabMXnpjey5Y4giPbVYGvah2CrLPOs5wr8zFiu0dkZpyCg6XZZ62BA&#10;dCWzeZ5fZYNxrXWGce/x9G5y0nXC7zrOwpeu8zwQWVPkFtLq0trENVuvoNo5sL1gJxrwDywUCI2P&#10;nqHuIADZO/EblBLMGW+6MGNGZabrBOMpB8ymyF9k89CD5SkXFMfbs0z+/8Gyz4evjoi2pteUaFBY&#10;okc+BvLOjGQe1RmsrzDowWJYGPEYq5wy9fbesO+eaLPpQe/4rXNm6Dm0yK6IN7OLqxOOjyDN8Mm0&#10;+Azsg0lAY+dUlA7FIIiOVTqeKxOpMDwsy2JZlOhi6CsW+eJqnmqXQfV03TofPnCjSNzU1GHpEzwc&#10;7n2IdKB6ComveSNFuxVSJsPtmo105ADYJtv0pQxehElNBhSqnJeTAn+FyNP3JwglAva7FKqmy3MQ&#10;VFG397pN3RhAyGmPlKU+CRm1m1QMYzOmiiWVo8iNaY+orDNTe+M44qY37iclA7Z2Tf2PPThOifyo&#10;sTrXxWIRZyEZi/ItSkncpae59IBmCFXTQMm03YQ0P0k3e4tV3Iqk7zOTE2Vs2ST7abziTFzaKer5&#10;J7D+BQAA//8DAFBLAwQUAAYACAAAACEA86UU3dsAAAAFAQAADwAAAGRycy9kb3ducmV2LnhtbEyP&#10;wU7DMBBE70j8g7VI3KjTSFQlxKkQVc+UUglxc+xtHDVeh9hNU76ehQtcRhrNauZtuZp8J0YcYhtI&#10;wXyWgUAywbbUKNi/be6WIGLSZHUXCBVcMMKqur4qdWHDmV5x3KVGcAnFQitwKfWFlNE49DrOQo/E&#10;2SEMXie2QyPtoM9c7juZZ9lCet0SLzjd47NDc9ydvIK43n725rCtj85evl7W471533wodXszPT2C&#10;SDilv2P4wWd0qJipDieyUXQK+JH0q5wtFw9sawV5Ps9BVqX8T199AwAA//8DAFBLAQItABQABgAI&#10;AAAAIQC2gziS/gAAAOEBAAATAAAAAAAAAAAAAAAAAAAAAABbQ29udGVudF9UeXBlc10ueG1sUEsB&#10;Ai0AFAAGAAgAAAAhADj9If/WAAAAlAEAAAsAAAAAAAAAAAAAAAAALwEAAF9yZWxzLy5yZWxzUEsB&#10;Ai0AFAAGAAgAAAAhAHERxUokAgAATAQAAA4AAAAAAAAAAAAAAAAALgIAAGRycy9lMm9Eb2MueG1s&#10;UEsBAi0AFAAGAAgAAAAhAPOlFN3bAAAABQEAAA8AAAAAAAAAAAAAAAAAfgQAAGRycy9kb3ducmV2&#10;LnhtbFBLBQYAAAAABAAEAPMAAACGBQAAAAA=&#10;">
                <v:textbox style="mso-fit-shape-to-text:t">
                  <w:txbxContent>
                    <w:p w14:paraId="1769159B" w14:textId="77777777" w:rsidR="00EA4BC4" w:rsidRPr="00954621" w:rsidRDefault="00EA4BC4" w:rsidP="00EA4BC4">
                      <w:pPr>
                        <w:rPr>
                          <w:b/>
                          <w:bCs/>
                        </w:rPr>
                      </w:pPr>
                      <w:r w:rsidRPr="00954621">
                        <w:rPr>
                          <w:b/>
                          <w:bCs/>
                        </w:rPr>
                        <w:t>Exercise</w:t>
                      </w:r>
                    </w:p>
                    <w:p w14:paraId="356EA916" w14:textId="1B0D9B64" w:rsidR="00EA4BC4" w:rsidRDefault="00DB2A03" w:rsidP="00EA4BC4">
                      <w:r>
                        <w:t xml:space="preserve">Your pupils might want to look on Caratacus and the Catuvellauni as examples of resistance to Rome. Why might there have been resistance? What did they fear losing? This is also a reminder of the tribal nature of the Britons and the importance of warfare in their own cultural makeup. </w:t>
                      </w:r>
                    </w:p>
                    <w:p w14:paraId="740F1C9F" w14:textId="60C10E8E" w:rsidR="00DB2A03" w:rsidRDefault="00DB2A03" w:rsidP="00EA4BC4">
                      <w:r>
                        <w:t xml:space="preserve">One thing your pupils might consider is how Caratacus is portrayed in the sources, and how near to real fact such sources are. Is this a real depiction of a real man, or something of an exaggeration? Is Caratacus a caricature of a wild savage. His redemption is reminiscent of the story of Croesus and King Cyrus in Herodotus </w:t>
                      </w:r>
                      <w:r w:rsidRPr="00DB2A03">
                        <w:rPr>
                          <w:i/>
                          <w:iCs/>
                        </w:rPr>
                        <w:t>Histories</w:t>
                      </w:r>
                      <w:r>
                        <w:t xml:space="preserve"> Book 1. So how much do we believe </w:t>
                      </w:r>
                      <w:proofErr w:type="spellStart"/>
                      <w:r>
                        <w:t>hs</w:t>
                      </w:r>
                      <w:proofErr w:type="spellEnd"/>
                      <w:r>
                        <w:t xml:space="preserve"> speech and his fate?</w:t>
                      </w:r>
                    </w:p>
                    <w:p w14:paraId="69585A0A" w14:textId="660DF48D" w:rsidR="00DB2A03" w:rsidRDefault="00DB2A03" w:rsidP="00EA4BC4">
                      <w:r>
                        <w:t>And what do they make of Caratacus’ reception among the later Britons? Why was he embraced as a national hero, and why is this problematic now?</w:t>
                      </w:r>
                    </w:p>
                  </w:txbxContent>
                </v:textbox>
                <w10:anchorlock/>
              </v:shape>
            </w:pict>
          </mc:Fallback>
        </mc:AlternateContent>
      </w:r>
    </w:p>
    <w:p w14:paraId="79D7EA1D" w14:textId="151FE3B2" w:rsidR="00254CA6" w:rsidRPr="00687CBC" w:rsidRDefault="00687CBC" w:rsidP="00BA2D5D">
      <w:pPr>
        <w:rPr>
          <w:b/>
          <w:bCs/>
          <w:u w:val="single"/>
        </w:rPr>
      </w:pPr>
      <w:r w:rsidRPr="00687CBC">
        <w:rPr>
          <w:b/>
          <w:bCs/>
          <w:u w:val="single"/>
        </w:rPr>
        <w:t>Slide 1: Title</w:t>
      </w:r>
    </w:p>
    <w:p w14:paraId="6F6B024C" w14:textId="1DABC249" w:rsidR="00310F92" w:rsidRPr="00687CBC" w:rsidRDefault="00687CBC" w:rsidP="00BA2D5D">
      <w:pPr>
        <w:rPr>
          <w:b/>
          <w:bCs/>
          <w:u w:val="single"/>
        </w:rPr>
      </w:pPr>
      <w:r w:rsidRPr="00687CBC">
        <w:rPr>
          <w:b/>
          <w:bCs/>
          <w:u w:val="single"/>
        </w:rPr>
        <w:t xml:space="preserve">Slide 2: </w:t>
      </w:r>
      <w:r w:rsidR="00FB224E" w:rsidRPr="00687CBC">
        <w:rPr>
          <w:b/>
          <w:bCs/>
          <w:u w:val="single"/>
        </w:rPr>
        <w:t>Caratacus</w:t>
      </w:r>
      <w:r w:rsidR="00BA2D5D" w:rsidRPr="00687CBC">
        <w:rPr>
          <w:b/>
          <w:bCs/>
          <w:u w:val="single"/>
        </w:rPr>
        <w:t>: Chief of the Catuvellauni</w:t>
      </w:r>
    </w:p>
    <w:p w14:paraId="072593DD" w14:textId="39D6B4E8" w:rsidR="00BA2D5D" w:rsidRDefault="00BA2D5D" w:rsidP="00BA2D5D">
      <w:pPr>
        <w:rPr>
          <w:u w:val="single"/>
        </w:rPr>
      </w:pPr>
    </w:p>
    <w:p w14:paraId="67EE14F9" w14:textId="5623F8C2" w:rsidR="00151926" w:rsidRPr="00151926" w:rsidRDefault="00FB224E" w:rsidP="00151926">
      <w:pPr>
        <w:pStyle w:val="ListParagraph"/>
        <w:numPr>
          <w:ilvl w:val="0"/>
          <w:numId w:val="7"/>
        </w:numPr>
        <w:rPr>
          <w:u w:val="single"/>
        </w:rPr>
      </w:pPr>
      <w:r>
        <w:t>Caratacus</w:t>
      </w:r>
      <w:r w:rsidR="00151926">
        <w:t>, the British chieftain of the Catuvellauni tribe, was a fierce opponent of the Roman Empire</w:t>
      </w:r>
      <w:r w:rsidR="001324E8">
        <w:t xml:space="preserve"> and led the British resistance to the Roman invasion of AD 43</w:t>
      </w:r>
      <w:r w:rsidR="00151926">
        <w:t xml:space="preserve">. He has become a well-known figure in British history through the writings of the Roman historians Tacitus and Cassius Dio, and his frequent depiction in British art, literature and music. </w:t>
      </w:r>
    </w:p>
    <w:p w14:paraId="25FB6CC1" w14:textId="6CA87277" w:rsidR="00151926" w:rsidRPr="00151926" w:rsidRDefault="00151926" w:rsidP="00151926">
      <w:pPr>
        <w:pStyle w:val="ListParagraph"/>
        <w:numPr>
          <w:ilvl w:val="0"/>
          <w:numId w:val="7"/>
        </w:numPr>
      </w:pPr>
      <w:r>
        <w:t xml:space="preserve">This presentation tells the story of </w:t>
      </w:r>
      <w:r w:rsidR="00FB224E">
        <w:t>Caratacus</w:t>
      </w:r>
      <w:r>
        <w:t>.</w:t>
      </w:r>
    </w:p>
    <w:p w14:paraId="28002C8B" w14:textId="4685037D" w:rsidR="00BA2D5D" w:rsidRPr="00687CBC" w:rsidRDefault="00687CBC" w:rsidP="00BA2D5D">
      <w:pPr>
        <w:rPr>
          <w:b/>
          <w:bCs/>
          <w:u w:val="single"/>
        </w:rPr>
      </w:pPr>
      <w:r w:rsidRPr="00687CBC">
        <w:rPr>
          <w:b/>
          <w:bCs/>
          <w:u w:val="single"/>
        </w:rPr>
        <w:t>Slide</w:t>
      </w:r>
      <w:r>
        <w:rPr>
          <w:b/>
          <w:bCs/>
          <w:u w:val="single"/>
        </w:rPr>
        <w:t>s</w:t>
      </w:r>
      <w:r w:rsidRPr="00687CBC">
        <w:rPr>
          <w:b/>
          <w:bCs/>
          <w:u w:val="single"/>
        </w:rPr>
        <w:t xml:space="preserve"> 3</w:t>
      </w:r>
      <w:r>
        <w:rPr>
          <w:b/>
          <w:bCs/>
          <w:u w:val="single"/>
        </w:rPr>
        <w:t>-4</w:t>
      </w:r>
      <w:r w:rsidRPr="00687CBC">
        <w:rPr>
          <w:b/>
          <w:bCs/>
          <w:u w:val="single"/>
        </w:rPr>
        <w:t xml:space="preserve">: </w:t>
      </w:r>
      <w:r w:rsidR="00213CE7" w:rsidRPr="00687CBC">
        <w:rPr>
          <w:b/>
          <w:bCs/>
          <w:u w:val="single"/>
        </w:rPr>
        <w:t xml:space="preserve">The Catuvellauni and Britain before the Romans  </w:t>
      </w:r>
    </w:p>
    <w:p w14:paraId="4340E857" w14:textId="5FFE862B" w:rsidR="00310F92" w:rsidRDefault="00310F92" w:rsidP="00BA2D5D">
      <w:pPr>
        <w:rPr>
          <w:u w:val="single"/>
        </w:rPr>
      </w:pPr>
    </w:p>
    <w:p w14:paraId="174FEDC3" w14:textId="39F27253" w:rsidR="0059654F" w:rsidRPr="0059654F" w:rsidRDefault="0059654F" w:rsidP="0059654F">
      <w:pPr>
        <w:pStyle w:val="ListParagraph"/>
        <w:numPr>
          <w:ilvl w:val="0"/>
          <w:numId w:val="2"/>
        </w:numPr>
      </w:pPr>
      <w:r w:rsidRPr="0059654F">
        <w:t>Before the Roman Invasion of Britain in AD 43, tribes of local Britons ruled the country with their own distinct tribal areas. The Catuvellauni operated in a large area South East England to the East of the Trinovantes and the South of the Iceni.</w:t>
      </w:r>
      <w:r w:rsidR="0077214E" w:rsidRPr="0077214E">
        <w:t xml:space="preserve"> </w:t>
      </w:r>
      <w:r w:rsidR="0077214E">
        <w:t>The Catuvellauni tribal area covered m</w:t>
      </w:r>
      <w:r w:rsidR="0077214E" w:rsidRPr="0077214E">
        <w:t xml:space="preserve">odern Bedfordshire, Buckinghamshire and Hertfordshire. </w:t>
      </w:r>
      <w:r w:rsidR="0077214E">
        <w:t>And also</w:t>
      </w:r>
      <w:r w:rsidR="0077214E" w:rsidRPr="0077214E">
        <w:t xml:space="preserve"> parts of </w:t>
      </w:r>
      <w:r w:rsidR="0077214E">
        <w:t xml:space="preserve">modern </w:t>
      </w:r>
      <w:r w:rsidR="0077214E" w:rsidRPr="0077214E">
        <w:t>Berkshire, Cambridgeshire, Essex, Greater London and Oxfordshire.</w:t>
      </w:r>
    </w:p>
    <w:p w14:paraId="70610DB4" w14:textId="77777777" w:rsidR="0059654F" w:rsidRPr="0059654F" w:rsidRDefault="0059654F" w:rsidP="0059654F">
      <w:pPr>
        <w:pStyle w:val="ListParagraph"/>
        <w:numPr>
          <w:ilvl w:val="0"/>
          <w:numId w:val="2"/>
        </w:numPr>
      </w:pPr>
      <w:r w:rsidRPr="0059654F">
        <w:t>The name 'Catuvellauni' (Gaulish: Catu-uellauni 'war-chiefs, chiefs-of-war') stems from the Gaulish root catu- ('combat') attached to uellauni ('chiefs, commandants’).</w:t>
      </w:r>
    </w:p>
    <w:p w14:paraId="5657B79D" w14:textId="77777777" w:rsidR="0059654F" w:rsidRPr="0059654F" w:rsidRDefault="0059654F" w:rsidP="0059654F">
      <w:pPr>
        <w:pStyle w:val="ListParagraph"/>
        <w:numPr>
          <w:ilvl w:val="0"/>
          <w:numId w:val="2"/>
        </w:numPr>
      </w:pPr>
      <w:r w:rsidRPr="0059654F">
        <w:t xml:space="preserve">Cassivellaunus, a member of the Catuvellauni tribe appears in Julius Caesar's </w:t>
      </w:r>
      <w:r w:rsidRPr="0059654F">
        <w:rPr>
          <w:i/>
          <w:iCs/>
        </w:rPr>
        <w:t>Commentarii de Bello Gallico</w:t>
      </w:r>
      <w:r w:rsidRPr="0059654F">
        <w:t>, where he was in command of the combined British forces opposing Caesar's second invasion of Britain in 54 BC, although Caesar does not mention Cassivellaunus's tribe.</w:t>
      </w:r>
    </w:p>
    <w:p w14:paraId="7E2BDA5F" w14:textId="102C52BF" w:rsidR="0059654F" w:rsidRPr="0059654F" w:rsidRDefault="0059654F" w:rsidP="0059654F">
      <w:pPr>
        <w:pStyle w:val="ListParagraph"/>
        <w:numPr>
          <w:ilvl w:val="0"/>
          <w:numId w:val="2"/>
        </w:numPr>
      </w:pPr>
      <w:r w:rsidRPr="0059654F">
        <w:t xml:space="preserve">After Julius Caesar’s unsuccessful invasions in 55 and 54 BC, British tribes began to form substantial economic and political links with the Roman World. Whether or not they were formally recognized as client kings, some British chieftains regarded the Romans as powerful allies. And the Catuvellauni took part in these events. </w:t>
      </w:r>
    </w:p>
    <w:p w14:paraId="02C95B7D" w14:textId="77777777" w:rsidR="00F829D7" w:rsidRPr="00F829D7" w:rsidRDefault="00F829D7" w:rsidP="00F829D7">
      <w:pPr>
        <w:pStyle w:val="ListParagraph"/>
        <w:numPr>
          <w:ilvl w:val="0"/>
          <w:numId w:val="2"/>
        </w:numPr>
        <w:rPr>
          <w:u w:val="single"/>
        </w:rPr>
      </w:pPr>
      <w:r w:rsidRPr="00F829D7">
        <w:t>Strabo (</w:t>
      </w:r>
      <w:r w:rsidRPr="00F829D7">
        <w:rPr>
          <w:i/>
          <w:iCs/>
        </w:rPr>
        <w:t>Geog</w:t>
      </w:r>
      <w:r w:rsidRPr="00F829D7">
        <w:t>. 4.5.3) refers to British rulers sending embassies to Augustus and making dedications on the Capitol in Rome; there are no details of the date or the circumstances, but Braund has argued that one likely context could have been the formal recognition of client kings. Whether or not they were formally recognized as client kings, some British rulers, like Mandubracius before them, regarded the Roman emperor as a powerful ally, especially at times of factional competition: Augustus (Res Gestae 32) records that two British rulers, Dumnobellaun[us] and Tincom[arus], fled to him</w:t>
      </w:r>
      <w:r w:rsidRPr="00F829D7">
        <w:rPr>
          <w:u w:val="single"/>
        </w:rPr>
        <w:t>.</w:t>
      </w:r>
    </w:p>
    <w:p w14:paraId="70EB232A" w14:textId="4A490F30" w:rsidR="00213CE7" w:rsidRDefault="00213CE7" w:rsidP="00687CBC">
      <w:pPr>
        <w:pStyle w:val="ListParagraph"/>
        <w:rPr>
          <w:u w:val="single"/>
        </w:rPr>
      </w:pPr>
    </w:p>
    <w:p w14:paraId="6FD892CE" w14:textId="77777777" w:rsidR="00687CBC" w:rsidRPr="00213CE7" w:rsidRDefault="00687CBC" w:rsidP="00687CBC">
      <w:pPr>
        <w:pStyle w:val="ListParagraph"/>
        <w:rPr>
          <w:u w:val="single"/>
        </w:rPr>
      </w:pPr>
    </w:p>
    <w:p w14:paraId="38CE9788" w14:textId="3E3A9D1A" w:rsidR="00213CE7" w:rsidRPr="00687CBC" w:rsidRDefault="00687CBC" w:rsidP="00BA2D5D">
      <w:pPr>
        <w:rPr>
          <w:b/>
          <w:bCs/>
          <w:u w:val="single"/>
        </w:rPr>
      </w:pPr>
      <w:r w:rsidRPr="00687CBC">
        <w:rPr>
          <w:b/>
          <w:bCs/>
          <w:u w:val="single"/>
        </w:rPr>
        <w:t>Slide</w:t>
      </w:r>
      <w:r>
        <w:rPr>
          <w:b/>
          <w:bCs/>
          <w:u w:val="single"/>
        </w:rPr>
        <w:t>s</w:t>
      </w:r>
      <w:r w:rsidRPr="00687CBC">
        <w:rPr>
          <w:b/>
          <w:bCs/>
          <w:u w:val="single"/>
        </w:rPr>
        <w:t xml:space="preserve"> 5</w:t>
      </w:r>
      <w:r>
        <w:rPr>
          <w:b/>
          <w:bCs/>
          <w:u w:val="single"/>
        </w:rPr>
        <w:t>-7</w:t>
      </w:r>
      <w:r w:rsidRPr="00687CBC">
        <w:rPr>
          <w:b/>
          <w:bCs/>
          <w:u w:val="single"/>
        </w:rPr>
        <w:t xml:space="preserve">: </w:t>
      </w:r>
      <w:r w:rsidR="00213CE7" w:rsidRPr="00687CBC">
        <w:rPr>
          <w:b/>
          <w:bCs/>
          <w:u w:val="single"/>
        </w:rPr>
        <w:t xml:space="preserve">The Catuvellauni and Britain before the Romans  </w:t>
      </w:r>
    </w:p>
    <w:p w14:paraId="2DC83F00" w14:textId="0E397623" w:rsidR="00310F92" w:rsidRDefault="00310F92" w:rsidP="00BA2D5D">
      <w:pPr>
        <w:rPr>
          <w:u w:val="single"/>
        </w:rPr>
      </w:pPr>
    </w:p>
    <w:p w14:paraId="246A70BC" w14:textId="77777777" w:rsidR="0059654F" w:rsidRPr="0059654F" w:rsidRDefault="0059654F" w:rsidP="0059654F">
      <w:pPr>
        <w:pStyle w:val="ListParagraph"/>
        <w:numPr>
          <w:ilvl w:val="0"/>
          <w:numId w:val="2"/>
        </w:numPr>
      </w:pPr>
      <w:r w:rsidRPr="0059654F">
        <w:t xml:space="preserve">Tasciovanus succeed Cassivellaunus and appears to have become king of the Catuvellauni c. 20 BC. Although only known from numismatic evidence, he ruled from Verlamion (the site of modern-day St Albans). He is believed to have moved the tribal capital to that site from an earlier settlement, near modern-day Wheathampstead. For a brief period c. 15–10 BC he issued coins from Camulodunum (Colchester), apparently supplanting Addedomarus of the Trinovantes. </w:t>
      </w:r>
    </w:p>
    <w:p w14:paraId="22739206" w14:textId="77777777" w:rsidR="0059654F" w:rsidRPr="0059654F" w:rsidRDefault="0059654F" w:rsidP="0059654F">
      <w:pPr>
        <w:pStyle w:val="ListParagraph"/>
        <w:numPr>
          <w:ilvl w:val="0"/>
          <w:numId w:val="2"/>
        </w:numPr>
      </w:pPr>
      <w:r w:rsidRPr="0059654F">
        <w:t xml:space="preserve">Tasciovanus’ son Cunobelinus, the chieftain of the Catuvellauni, had maintained throughout his long reign ( c. AD 10– 40) a skilful balance between the two bitterly opposing factions, those for, and those against, Rome. </w:t>
      </w:r>
    </w:p>
    <w:p w14:paraId="46B5ACB9" w14:textId="77777777" w:rsidR="0059654F" w:rsidRPr="0059654F" w:rsidRDefault="0059654F" w:rsidP="0059654F">
      <w:pPr>
        <w:pStyle w:val="ListParagraph"/>
        <w:numPr>
          <w:ilvl w:val="0"/>
          <w:numId w:val="2"/>
        </w:numPr>
      </w:pPr>
      <w:r w:rsidRPr="0059654F">
        <w:t xml:space="preserve">The links which the British tribes formed with the Romans influenced their coinage and their culture. </w:t>
      </w:r>
    </w:p>
    <w:p w14:paraId="42B0060E" w14:textId="7CD3E0E7" w:rsidR="0059654F" w:rsidRPr="0059654F" w:rsidRDefault="0059654F" w:rsidP="0059654F">
      <w:pPr>
        <w:pStyle w:val="ListParagraph"/>
        <w:numPr>
          <w:ilvl w:val="0"/>
          <w:numId w:val="2"/>
        </w:numPr>
      </w:pPr>
      <w:r w:rsidRPr="0059654F">
        <w:t>Despite Caesar’s demand for annual payments, the archaeological evidence suggests that wealth was flowing from the Roman world to Britain. In the decades after his expeditions, there are significant changes in the coinage of south-eastern England. The gold coins of the pre-Caesarian period are rarely found in association with later issues, and may have been deliberately withdrawn from circulation. Instead, new series began to be produced from a different stock of metal</w:t>
      </w:r>
      <w:r w:rsidR="00D33243">
        <w:t xml:space="preserve"> </w:t>
      </w:r>
      <w:r w:rsidR="00D33243" w:rsidRPr="00D33243">
        <w:t>made from a different gold alloy and visible in a change of colour from a yellow gold to a red gold: the source was no longer the wealth of the L</w:t>
      </w:r>
      <w:r w:rsidR="00D33243">
        <w:t xml:space="preserve">ate </w:t>
      </w:r>
      <w:r w:rsidR="00D33243" w:rsidRPr="00D33243">
        <w:t>I</w:t>
      </w:r>
      <w:r w:rsidR="00D33243">
        <w:t xml:space="preserve">ron </w:t>
      </w:r>
      <w:r w:rsidR="00D33243" w:rsidRPr="00D33243">
        <w:t>A</w:t>
      </w:r>
      <w:r w:rsidR="00D33243">
        <w:t>ge</w:t>
      </w:r>
      <w:r w:rsidR="00D33243" w:rsidRPr="00D33243">
        <w:t xml:space="preserve"> barbarian world, but that of the Roman </w:t>
      </w:r>
      <w:r w:rsidR="00D33243">
        <w:t>World</w:t>
      </w:r>
      <w:r w:rsidR="00D33243" w:rsidRPr="00D33243">
        <w:t xml:space="preserve">. Large quantities of silver also began to </w:t>
      </w:r>
      <w:r w:rsidR="00D33243" w:rsidRPr="00D33243">
        <w:lastRenderedPageBreak/>
        <w:t>appear, again deriving from Roman bullion and coinage, and this was the source of new silver coin issues in many parts of south-eastern England; some silver circulated in other forms, such as the Augustan silver cups found in the Welwyn and Welwyn Garden City burials</w:t>
      </w:r>
      <w:r w:rsidR="00D33243">
        <w:t>.</w:t>
      </w:r>
    </w:p>
    <w:p w14:paraId="75E5208C" w14:textId="77777777" w:rsidR="0059654F" w:rsidRPr="0059654F" w:rsidRDefault="0059654F" w:rsidP="0059654F">
      <w:pPr>
        <w:pStyle w:val="ListParagraph"/>
        <w:numPr>
          <w:ilvl w:val="0"/>
          <w:numId w:val="2"/>
        </w:numPr>
      </w:pPr>
      <w:r w:rsidRPr="0059654F">
        <w:t xml:space="preserve">From c. 20 BC there were significant changes in the coinage of the Southern and Eastern Kingdoms. The imagery on the coins adopted a new set of motifs, closely following the coinage of Augustus, such as laureate portrait heads. Some issues also began to carry inscriptions: the meaning of all the inscriptions is far from clear, but some are the names of rulers known from other sources. A small number of issues bear the name with the Latin title </w:t>
      </w:r>
      <w:r w:rsidRPr="0059654F">
        <w:rPr>
          <w:i/>
          <w:iCs/>
        </w:rPr>
        <w:t>rex</w:t>
      </w:r>
      <w:r w:rsidRPr="0059654F">
        <w:t xml:space="preserve">. Others have the Latin formula for claimed ancestral descent, F (for </w:t>
      </w:r>
      <w:r w:rsidRPr="0059654F">
        <w:rPr>
          <w:i/>
          <w:iCs/>
        </w:rPr>
        <w:t>filius</w:t>
      </w:r>
      <w:r w:rsidRPr="0059654F">
        <w:t xml:space="preserve">) and a personal name in the genitive. Thus, in the Eastern Kingdom, some coins bear the inscriptions </w:t>
      </w:r>
      <w:r w:rsidRPr="0059654F">
        <w:rPr>
          <w:i/>
          <w:iCs/>
        </w:rPr>
        <w:t>cunobelinus</w:t>
      </w:r>
      <w:r w:rsidRPr="0059654F">
        <w:t xml:space="preserve"> and </w:t>
      </w:r>
      <w:r w:rsidRPr="0059654F">
        <w:rPr>
          <w:i/>
          <w:iCs/>
        </w:rPr>
        <w:t>tasciovani</w:t>
      </w:r>
      <w:r w:rsidRPr="0059654F">
        <w:t xml:space="preserve"> f: Tasciovanus is known only from such coins, but Cunobelinus is the person known to us from Suetonius as rex Britannorum (Caligula 44.2) and from Dio Cassius (Hist. lx. 20). In the Southern Kingdom several rulers are described as sons of Commius. </w:t>
      </w:r>
    </w:p>
    <w:p w14:paraId="68FD7526" w14:textId="77777777" w:rsidR="00D33243" w:rsidRDefault="00D33243" w:rsidP="00D33243">
      <w:pPr>
        <w:pStyle w:val="ListParagraph"/>
        <w:numPr>
          <w:ilvl w:val="0"/>
          <w:numId w:val="2"/>
        </w:numPr>
      </w:pPr>
      <w:r w:rsidRPr="00D33243">
        <w:t xml:space="preserve">The historical sources, together with the archaeological evidence of the coins and the burials, clearly demonstrate the existence of powerful ruling lineages in south-eastern England, but the precise nature of that power is unclear. </w:t>
      </w:r>
    </w:p>
    <w:p w14:paraId="4966372A" w14:textId="715F1D8C" w:rsidR="00D33243" w:rsidRDefault="00D33243" w:rsidP="00D33243">
      <w:pPr>
        <w:pStyle w:val="ListParagraph"/>
        <w:numPr>
          <w:ilvl w:val="0"/>
          <w:numId w:val="2"/>
        </w:numPr>
      </w:pPr>
      <w:r w:rsidRPr="00D33243">
        <w:t xml:space="preserve">The classical sources naturally concentrate on their relationships with Rome, and so we know that they were able to raise and lead armies, to negotiate peace and give and take hostages; power could be inherited within the lineage and was the subject of factional competition, so Rome could be a powerful ally for those under internal pressure. </w:t>
      </w:r>
    </w:p>
    <w:p w14:paraId="27F5E8A5" w14:textId="12079EDD" w:rsidR="00D33243" w:rsidRPr="00D33243" w:rsidRDefault="00D33243" w:rsidP="00D33243">
      <w:pPr>
        <w:pStyle w:val="ListParagraph"/>
        <w:numPr>
          <w:ilvl w:val="0"/>
          <w:numId w:val="2"/>
        </w:numPr>
      </w:pPr>
      <w:r w:rsidRPr="00D33243">
        <w:t>What is not clear is how these lineages had achieved such positions, or the real extent of their powers: the use of the title rex and the occasional reference to them as kings in the historical sources says more about the classical perception of such rulers than about the reality of their rule. The concept of the Eastern and Southern Kingdoms is rooted in the distribution of coins, but the relationship between coins and rulers, or between coins and polities, is uncertain.</w:t>
      </w:r>
    </w:p>
    <w:p w14:paraId="1F106226" w14:textId="5E842538" w:rsidR="00213CE7" w:rsidRDefault="00D33243" w:rsidP="00D33243">
      <w:pPr>
        <w:pStyle w:val="ListParagraph"/>
        <w:numPr>
          <w:ilvl w:val="0"/>
          <w:numId w:val="2"/>
        </w:numPr>
      </w:pPr>
      <w:r w:rsidRPr="00D33243">
        <w:t xml:space="preserve">Some of the coins also bear inscriptions that can be interpreted as the names of places, whether of mints or of other significant locations. In the Eastern Kingdom, Camulodunum (Colchester) and Verulamium (St Albans) are named, and in the Southern Kingdom, Calleva (Silchester). These were unlike the nucleated centres of population such as Braughing. They were important new sites, apparently founded in the second half of the first century </w:t>
      </w:r>
      <w:r>
        <w:t>BC</w:t>
      </w:r>
      <w:r w:rsidRPr="00D33243">
        <w:t>, apparently in areas with little previous occupation.</w:t>
      </w:r>
    </w:p>
    <w:p w14:paraId="088E61C8" w14:textId="77777777" w:rsidR="00D33243" w:rsidRDefault="00D33243" w:rsidP="00D33243">
      <w:pPr>
        <w:pStyle w:val="ListParagraph"/>
        <w:numPr>
          <w:ilvl w:val="0"/>
          <w:numId w:val="2"/>
        </w:numPr>
      </w:pPr>
      <w:r w:rsidRPr="00D33243">
        <w:t xml:space="preserve">Apart from the gold and silver, other items from the classical world also reached Britain. Italian wine had been imported from the late second century, as noted earlier, but the volume of imported ceramics grew considerably towards the end of the first century </w:t>
      </w:r>
      <w:r>
        <w:t>BC</w:t>
      </w:r>
      <w:r w:rsidRPr="00D33243">
        <w:t>.</w:t>
      </w:r>
    </w:p>
    <w:p w14:paraId="031CF38E" w14:textId="0290B815" w:rsidR="00D33243" w:rsidRDefault="00D33243" w:rsidP="00D33243">
      <w:pPr>
        <w:pStyle w:val="ListParagraph"/>
        <w:numPr>
          <w:ilvl w:val="0"/>
          <w:numId w:val="2"/>
        </w:numPr>
      </w:pPr>
      <w:r w:rsidRPr="00D33243">
        <w:t xml:space="preserve">Wine from Italy and Spain, and olive oil from Spain, were reaching south-eastern England. The silver cups from the Welwyn and Welwyn Garden City burials may have been used for drinking such wine. Other imports included flagons from central Gaul and Italian-type terra sigillata, but the largest volume of imports came from the Gallo-Belgic industries founded in northern Gaul after about 15 </w:t>
      </w:r>
      <w:r>
        <w:t>BC</w:t>
      </w:r>
      <w:r w:rsidRPr="00D33243">
        <w:t xml:space="preserve">. </w:t>
      </w:r>
    </w:p>
    <w:p w14:paraId="0E94BD33" w14:textId="71069521" w:rsidR="00D33243" w:rsidRDefault="00D33243" w:rsidP="00D33243">
      <w:pPr>
        <w:pStyle w:val="ListParagraph"/>
        <w:numPr>
          <w:ilvl w:val="0"/>
          <w:numId w:val="2"/>
        </w:numPr>
      </w:pPr>
      <w:r w:rsidRPr="00D33243">
        <w:t>These products represented a fusion of Roman and late La Tène types, such as platters and beakers; they were startlingly different from the products of the indigenous tradition and were widely copied in Britain. The distribution of Gallo-Belgic imports shows marked concentrations in central southern and in south-eastern England, roughly coincident with the Southern and Eastern Kingdoms defined by the coinage, but with other clusters in south-</w:t>
      </w:r>
      <w:r w:rsidRPr="00D33243">
        <w:lastRenderedPageBreak/>
        <w:t>western and eastern England, where the imports may have arrived independently or have been distributed onwards from the south-east.</w:t>
      </w:r>
    </w:p>
    <w:p w14:paraId="4959C8E7" w14:textId="35944DA4" w:rsidR="0077214E" w:rsidRDefault="0077214E" w:rsidP="0077214E">
      <w:pPr>
        <w:pStyle w:val="ListParagraph"/>
        <w:numPr>
          <w:ilvl w:val="0"/>
          <w:numId w:val="2"/>
        </w:numPr>
      </w:pPr>
      <w:r>
        <w:t>Though most attention has been paid to the amphorae and other ceramics, other innovations suggest a more complex pattern of interactions across the Channel. The inscribed coinage shows a familiarity not only with Latin, but also with literacy more generally. Other signs of literacy in pre-conquest contexts exist, though they are not frequent, including styli and graffiti on pottery, and a probably just post-conquest grave at Stanway, Colchester, which contained an inkwell has argued that literacy and its uses must have been familiar to Britain through contact with the literate societies of Roman Gaul, but that it was adopted only on a limited basis. Another innovation in Britain was the adoption of Roman-style toilet equipment; this suggests a new concern with the adornment of the body, though the precise form that that took is uncertain.</w:t>
      </w:r>
    </w:p>
    <w:p w14:paraId="11B72225" w14:textId="77777777" w:rsidR="0021012B" w:rsidRDefault="0021012B" w:rsidP="00213CE7">
      <w:pPr>
        <w:rPr>
          <w:u w:val="single"/>
        </w:rPr>
      </w:pPr>
    </w:p>
    <w:p w14:paraId="5E8DC627" w14:textId="01DCD416" w:rsidR="00BA2D5D" w:rsidRPr="00687CBC" w:rsidRDefault="00687CBC" w:rsidP="00213CE7">
      <w:pPr>
        <w:rPr>
          <w:b/>
          <w:bCs/>
          <w:u w:val="single"/>
        </w:rPr>
      </w:pPr>
      <w:r w:rsidRPr="00687CBC">
        <w:rPr>
          <w:b/>
          <w:bCs/>
          <w:u w:val="single"/>
        </w:rPr>
        <w:t xml:space="preserve">Slides 8-10: </w:t>
      </w:r>
      <w:r w:rsidR="00213CE7" w:rsidRPr="00687CBC">
        <w:rPr>
          <w:b/>
          <w:bCs/>
          <w:u w:val="single"/>
        </w:rPr>
        <w:t>Cunobelinus, his family and the Catuvellauni</w:t>
      </w:r>
    </w:p>
    <w:p w14:paraId="20304952" w14:textId="797B0CF1" w:rsidR="0021012B" w:rsidRDefault="0021012B" w:rsidP="00213CE7">
      <w:pPr>
        <w:rPr>
          <w:u w:val="single"/>
        </w:rPr>
      </w:pPr>
    </w:p>
    <w:p w14:paraId="35E91886" w14:textId="77777777" w:rsidR="0059654F" w:rsidRPr="0059654F" w:rsidRDefault="0059654F" w:rsidP="0059654F">
      <w:pPr>
        <w:pStyle w:val="ListParagraph"/>
        <w:numPr>
          <w:ilvl w:val="0"/>
          <w:numId w:val="10"/>
        </w:numPr>
      </w:pPr>
      <w:r w:rsidRPr="0059654F">
        <w:t>Epaticcus, a brother of Cunobelinus, expanded his influence into the territory of the Atrebates in the early AD 20s, taking the Atrebatan capital Calleva (Silchester) by about AD 25. He continued to expand his territory until his death in about AD 35.</w:t>
      </w:r>
    </w:p>
    <w:p w14:paraId="4A5E9FA0" w14:textId="3EB16CAB" w:rsidR="0059654F" w:rsidRPr="0059654F" w:rsidRDefault="0059654F" w:rsidP="0059654F">
      <w:pPr>
        <w:pStyle w:val="ListParagraph"/>
        <w:numPr>
          <w:ilvl w:val="0"/>
          <w:numId w:val="10"/>
        </w:numPr>
      </w:pPr>
      <w:r w:rsidRPr="0059654F">
        <w:t xml:space="preserve">Cunobelinus’ eldest son Togodumnus inherited the throne and with his brother </w:t>
      </w:r>
      <w:r w:rsidR="00FB224E">
        <w:t>Caratacus</w:t>
      </w:r>
      <w:r w:rsidRPr="0059654F">
        <w:t xml:space="preserve"> took a stance against Rome.</w:t>
      </w:r>
    </w:p>
    <w:p w14:paraId="2B1EA55A" w14:textId="77777777" w:rsidR="0059654F" w:rsidRPr="0059654F" w:rsidRDefault="0059654F" w:rsidP="0059654F">
      <w:pPr>
        <w:pStyle w:val="ListParagraph"/>
        <w:numPr>
          <w:ilvl w:val="0"/>
          <w:numId w:val="10"/>
        </w:numPr>
      </w:pPr>
      <w:r w:rsidRPr="0059654F">
        <w:t xml:space="preserve">However a third brother, Adminius, had been given the north-east tip of Kent, which included the only land-locked harbour along the south-east coast and the Wansum Channel into the Thames Estuary. This area included the Cantiaci tribe. </w:t>
      </w:r>
    </w:p>
    <w:p w14:paraId="51BA3A92" w14:textId="77777777" w:rsidR="0059654F" w:rsidRPr="0059654F" w:rsidRDefault="0059654F" w:rsidP="0059654F">
      <w:pPr>
        <w:pStyle w:val="ListParagraph"/>
        <w:numPr>
          <w:ilvl w:val="0"/>
          <w:numId w:val="10"/>
        </w:numPr>
      </w:pPr>
      <w:r w:rsidRPr="0059654F">
        <w:t xml:space="preserve">In AD 35, Caratacus took over from Epaticcus and the Atrebates recovered some of their territory under Verica. </w:t>
      </w:r>
    </w:p>
    <w:p w14:paraId="7065DAD0" w14:textId="77777777" w:rsidR="0059654F" w:rsidRPr="0059654F" w:rsidRDefault="0059654F" w:rsidP="0059654F">
      <w:pPr>
        <w:pStyle w:val="ListParagraph"/>
        <w:numPr>
          <w:ilvl w:val="0"/>
          <w:numId w:val="10"/>
        </w:numPr>
      </w:pPr>
      <w:r w:rsidRPr="0059654F">
        <w:t xml:space="preserve">Cunobelius exiled Adminius in AD 39/40 and he fled to the Emperor Gaius ‘Caligula’ (Suet. </w:t>
      </w:r>
      <w:r w:rsidRPr="0059654F">
        <w:rPr>
          <w:i/>
          <w:iCs/>
        </w:rPr>
        <w:t>Caligula</w:t>
      </w:r>
      <w:r w:rsidRPr="0059654F">
        <w:t xml:space="preserve"> 44). Adminius may have persuaded Caligula that Britain was vulnerable to attack and that an invasion would be an even more famous victory for him. It is further likely that the capture of the British prince was the germ of Caligula's initiative to launch an invasion of Britain, although the invasion never happened.</w:t>
      </w:r>
    </w:p>
    <w:p w14:paraId="0E884D5C" w14:textId="77777777" w:rsidR="0059654F" w:rsidRPr="0059654F" w:rsidRDefault="0059654F" w:rsidP="0059654F">
      <w:pPr>
        <w:pStyle w:val="ListParagraph"/>
        <w:numPr>
          <w:ilvl w:val="0"/>
          <w:numId w:val="10"/>
        </w:numPr>
      </w:pPr>
      <w:r w:rsidRPr="0059654F">
        <w:t>Cunobelinus died about AD 40. Philip Crummy has suggested the Lexden Tumulus on the outskirts of Colchester as his tomb.</w:t>
      </w:r>
    </w:p>
    <w:p w14:paraId="43774687" w14:textId="6C1F89C0" w:rsidR="0059654F" w:rsidRPr="001324E8" w:rsidRDefault="0059654F" w:rsidP="001324E8">
      <w:pPr>
        <w:pStyle w:val="ListParagraph"/>
        <w:numPr>
          <w:ilvl w:val="0"/>
          <w:numId w:val="10"/>
        </w:numPr>
      </w:pPr>
      <w:r w:rsidRPr="0059654F">
        <w:t xml:space="preserve">According to the Roman historian Suetonius, Rome's refusal to return the fugitive Adminius to his father was one of the contributory factors to growing anti-Roman sentiment in Britain, which necessitated Claudius' successful invasion of that land in AD 43 (Suet. </w:t>
      </w:r>
      <w:r w:rsidRPr="0059654F">
        <w:rPr>
          <w:i/>
          <w:iCs/>
        </w:rPr>
        <w:t>Claudius</w:t>
      </w:r>
      <w:r w:rsidRPr="0059654F">
        <w:t xml:space="preserve"> 17). </w:t>
      </w:r>
    </w:p>
    <w:p w14:paraId="279ABA25" w14:textId="3E062E62" w:rsidR="00213CE7" w:rsidRPr="00687CBC" w:rsidRDefault="00687CBC" w:rsidP="00213CE7">
      <w:pPr>
        <w:rPr>
          <w:b/>
          <w:bCs/>
          <w:u w:val="single"/>
        </w:rPr>
      </w:pPr>
      <w:r w:rsidRPr="00687CBC">
        <w:rPr>
          <w:b/>
          <w:bCs/>
          <w:u w:val="single"/>
        </w:rPr>
        <w:t xml:space="preserve">Slide 11: </w:t>
      </w:r>
      <w:r w:rsidR="00FB224E" w:rsidRPr="00687CBC">
        <w:rPr>
          <w:b/>
          <w:bCs/>
          <w:u w:val="single"/>
        </w:rPr>
        <w:t>Caratacus</w:t>
      </w:r>
      <w:r w:rsidR="00213CE7" w:rsidRPr="00687CBC">
        <w:rPr>
          <w:b/>
          <w:bCs/>
          <w:u w:val="single"/>
        </w:rPr>
        <w:t xml:space="preserve"> and Verica</w:t>
      </w:r>
    </w:p>
    <w:p w14:paraId="3B8ACC3A" w14:textId="7F8B666C" w:rsidR="00F829D7" w:rsidRPr="00F829D7" w:rsidRDefault="00F829D7" w:rsidP="00F829D7">
      <w:pPr>
        <w:pStyle w:val="ListParagraph"/>
        <w:numPr>
          <w:ilvl w:val="0"/>
          <w:numId w:val="12"/>
        </w:numPr>
      </w:pPr>
      <w:r w:rsidRPr="00F829D7">
        <w:t>Caratacus's name appears as both </w:t>
      </w:r>
      <w:r w:rsidRPr="00F829D7">
        <w:rPr>
          <w:i/>
          <w:iCs/>
        </w:rPr>
        <w:t>Caratacus</w:t>
      </w:r>
      <w:r w:rsidRPr="00F829D7">
        <w:t> and </w:t>
      </w:r>
      <w:r w:rsidR="00FB224E">
        <w:rPr>
          <w:i/>
          <w:iCs/>
        </w:rPr>
        <w:t>Caratacus</w:t>
      </w:r>
      <w:r w:rsidRPr="00F829D7">
        <w:t> in manuscripts of Tacitus, and as </w:t>
      </w:r>
      <w:r w:rsidRPr="00F829D7">
        <w:rPr>
          <w:i/>
          <w:iCs/>
        </w:rPr>
        <w:t>Καράτακος</w:t>
      </w:r>
      <w:r w:rsidRPr="00F829D7">
        <w:t> and </w:t>
      </w:r>
      <w:r w:rsidRPr="00F829D7">
        <w:rPr>
          <w:i/>
          <w:iCs/>
        </w:rPr>
        <w:t>Καρτάκης</w:t>
      </w:r>
      <w:r w:rsidRPr="00F829D7">
        <w:t> in manuscripts of Dio. Older reference works tend to favour the spelling "</w:t>
      </w:r>
      <w:r w:rsidR="00FB224E">
        <w:t>Caratacus</w:t>
      </w:r>
      <w:r w:rsidRPr="00F829D7">
        <w:t>", but modern scholars agree, based on historical linguistics and source criticism, that the original Common Brittonic form was *Karatākos, cognate with Welsh Caradog, Breton Karadeg, and Irish Carthach, meaning "loving, beloved, dear; friend".</w:t>
      </w:r>
    </w:p>
    <w:p w14:paraId="56C996B9" w14:textId="77777777" w:rsidR="00F829D7" w:rsidRPr="00F829D7" w:rsidRDefault="00F829D7" w:rsidP="00F829D7">
      <w:pPr>
        <w:pStyle w:val="ListParagraph"/>
        <w:numPr>
          <w:ilvl w:val="0"/>
          <w:numId w:val="12"/>
        </w:numPr>
      </w:pPr>
      <w:r w:rsidRPr="00F829D7">
        <w:t>After Epaticcus died in about AD 35, the Atrebates, under Verica, regained some of their territory, but it appears Caratacus completed the conquest some time after AD 40.</w:t>
      </w:r>
    </w:p>
    <w:p w14:paraId="0EA82641" w14:textId="77777777" w:rsidR="00F829D7" w:rsidRPr="00F829D7" w:rsidRDefault="00F829D7" w:rsidP="00F829D7">
      <w:pPr>
        <w:pStyle w:val="ListParagraph"/>
        <w:numPr>
          <w:ilvl w:val="0"/>
          <w:numId w:val="12"/>
        </w:numPr>
      </w:pPr>
      <w:r w:rsidRPr="00F829D7">
        <w:lastRenderedPageBreak/>
        <w:t xml:space="preserve">This is because Dio tells us Verica was ousted, fled to Rome and appealed to the emperor Claudius for help. This was the excuse used by Claudius to launch his invasion of Britain in the summer of 43 (Dio Cassius </w:t>
      </w:r>
      <w:r w:rsidRPr="00F829D7">
        <w:rPr>
          <w:i/>
          <w:iCs/>
        </w:rPr>
        <w:t xml:space="preserve">Roman History </w:t>
      </w:r>
      <w:r w:rsidRPr="00F829D7">
        <w:t xml:space="preserve">60.19). </w:t>
      </w:r>
    </w:p>
    <w:p w14:paraId="4D566ADE" w14:textId="7969AC73" w:rsidR="0059654F" w:rsidRPr="001324E8" w:rsidRDefault="00F829D7" w:rsidP="001324E8">
      <w:pPr>
        <w:pStyle w:val="ListParagraph"/>
        <w:numPr>
          <w:ilvl w:val="0"/>
          <w:numId w:val="12"/>
        </w:numPr>
      </w:pPr>
      <w:r w:rsidRPr="00F829D7">
        <w:t xml:space="preserve">After the invasion, Verica may have been restored as king, but this is not attested in the historical or archaeological record. In any case a new ruler for the region, Cogidubnus, soon appeared. Cogidubnus may have been an heir of Verica who by this time would have been very elderly indeed. </w:t>
      </w:r>
    </w:p>
    <w:p w14:paraId="7CA1A115" w14:textId="0FDA412D" w:rsidR="00213CE7" w:rsidRPr="00687CBC" w:rsidRDefault="00687CBC" w:rsidP="00213CE7">
      <w:pPr>
        <w:rPr>
          <w:b/>
          <w:bCs/>
          <w:u w:val="single"/>
        </w:rPr>
      </w:pPr>
      <w:r w:rsidRPr="00687CBC">
        <w:rPr>
          <w:b/>
          <w:bCs/>
          <w:u w:val="single"/>
        </w:rPr>
        <w:t xml:space="preserve">Slides 12-13: </w:t>
      </w:r>
      <w:r w:rsidR="00FB224E" w:rsidRPr="00687CBC">
        <w:rPr>
          <w:b/>
          <w:bCs/>
          <w:u w:val="single"/>
        </w:rPr>
        <w:t>Caratacus</w:t>
      </w:r>
      <w:r w:rsidR="00213CE7" w:rsidRPr="00687CBC">
        <w:rPr>
          <w:b/>
          <w:bCs/>
          <w:u w:val="single"/>
        </w:rPr>
        <w:t xml:space="preserve"> and the Battle of the River Medway</w:t>
      </w:r>
    </w:p>
    <w:p w14:paraId="710A526A" w14:textId="17E68132" w:rsidR="00FA2231" w:rsidRDefault="00FA2231" w:rsidP="00213CE7">
      <w:pPr>
        <w:rPr>
          <w:u w:val="single"/>
        </w:rPr>
      </w:pPr>
    </w:p>
    <w:p w14:paraId="7CDC10C6" w14:textId="3898AC40" w:rsidR="0077214E" w:rsidRDefault="0077214E" w:rsidP="0077214E">
      <w:pPr>
        <w:pStyle w:val="ListParagraph"/>
        <w:numPr>
          <w:ilvl w:val="0"/>
          <w:numId w:val="14"/>
        </w:numPr>
      </w:pPr>
      <w:r>
        <w:t xml:space="preserve">The brothers Togodumnus and Caratacus of the Catuvellauni tribe commanded the British force. They controlled most of the southern half of England. The British force could have been as much as 150,000, with support coming from all the tribes controlled by the brothers. </w:t>
      </w:r>
    </w:p>
    <w:p w14:paraId="3F140144" w14:textId="530EE10A" w:rsidR="0077214E" w:rsidRDefault="0077214E" w:rsidP="0077214E">
      <w:pPr>
        <w:pStyle w:val="ListParagraph"/>
        <w:numPr>
          <w:ilvl w:val="0"/>
          <w:numId w:val="14"/>
        </w:numPr>
      </w:pPr>
      <w:r>
        <w:t>The British force may well have assembled initially in the spring of AD 43 and then mostly dispersed on hearing of the mutiny by the Roman Army at Boulogne. Nevertheless some of the British force would have remained to act as a “tripwire” in the event of a later invasion. The two brothers commanded their force using messengers travelling swiftly on horseback.</w:t>
      </w:r>
    </w:p>
    <w:p w14:paraId="128613DA" w14:textId="7D8173C1" w:rsidR="0077214E" w:rsidRDefault="0077214E" w:rsidP="0077214E">
      <w:pPr>
        <w:pStyle w:val="ListParagraph"/>
        <w:numPr>
          <w:ilvl w:val="0"/>
          <w:numId w:val="14"/>
        </w:numPr>
      </w:pPr>
      <w:r>
        <w:t>There were initial skirmishes at Canterbury where the River Stour was fordable. The British were trying to hinder the Romans. Through this delaying tactic, the other British groups would have more time to travel from all over the land to prepare their main defensive position. This is widely assumed to be along the west bank of the River Medway, as there seems to be no possible military alternative.</w:t>
      </w:r>
    </w:p>
    <w:p w14:paraId="15D55EAE" w14:textId="7116690C" w:rsidR="00F829D7" w:rsidRDefault="00FB224E" w:rsidP="00F829D7">
      <w:pPr>
        <w:pStyle w:val="ListParagraph"/>
        <w:numPr>
          <w:ilvl w:val="0"/>
          <w:numId w:val="14"/>
        </w:numPr>
      </w:pPr>
      <w:r>
        <w:t>Caratacus</w:t>
      </w:r>
      <w:r w:rsidR="00F829D7" w:rsidRPr="00F829D7">
        <w:t xml:space="preserve"> and his brother Togodumnus led the initial defence of the country against Aulus Plautius's four legions, thought to have been around 40,000 men, primarily using guerrilla tactics. </w:t>
      </w:r>
    </w:p>
    <w:p w14:paraId="31FBC223" w14:textId="77777777" w:rsidR="0077214E" w:rsidRDefault="0077214E" w:rsidP="00F829D7">
      <w:pPr>
        <w:pStyle w:val="ListParagraph"/>
        <w:numPr>
          <w:ilvl w:val="0"/>
          <w:numId w:val="14"/>
        </w:numPr>
      </w:pPr>
      <w:r>
        <w:t>I</w:t>
      </w:r>
      <w:r w:rsidRPr="0077214E">
        <w:t xml:space="preserve">t was normal practice in the Roman Army for auxiliary forces, usually on horseback, to go ahead of the main force as a vanguard to scout for problems. This protection of the invaders would certainly have happened in AD 43 as the countryside was wooded. The vanguard would clear out small parties of enemy to the front and sides. They also gave warning of any major enemy fortification or force. </w:t>
      </w:r>
    </w:p>
    <w:p w14:paraId="41087A13" w14:textId="46963409" w:rsidR="00F829D7" w:rsidRPr="00F829D7" w:rsidRDefault="0077214E" w:rsidP="00EA33FF">
      <w:pPr>
        <w:pStyle w:val="ListParagraph"/>
        <w:numPr>
          <w:ilvl w:val="0"/>
          <w:numId w:val="14"/>
        </w:numPr>
      </w:pPr>
      <w:r w:rsidRPr="0077214E">
        <w:t>The British forces, having been recalled from many parts of the country, would need an obvious location to rendezvous. This was almost certainly the west bank of the River Medway. Small numbers of British probably harried the Roman Army to delay further its arrival at the east bank of the Medway. This delay allowed the British force to enlarge, spread out along the west bank and become more co-ordinated under the brothers Togodumnus and Caratacus.</w:t>
      </w:r>
    </w:p>
    <w:p w14:paraId="359DF9CD" w14:textId="77777777" w:rsidR="00F829D7" w:rsidRPr="00F829D7" w:rsidRDefault="00F829D7" w:rsidP="00F829D7">
      <w:pPr>
        <w:pStyle w:val="ListParagraph"/>
        <w:numPr>
          <w:ilvl w:val="0"/>
          <w:numId w:val="14"/>
        </w:numPr>
      </w:pPr>
      <w:r w:rsidRPr="00F829D7">
        <w:t>Dio Cassius, the only contemporary source for the Battle of Medway, stated that the Battle opened with the Batavians using their skill of swimming across rivers in full equipment (</w:t>
      </w:r>
      <w:r w:rsidRPr="00F829D7">
        <w:rPr>
          <w:i/>
          <w:iCs/>
        </w:rPr>
        <w:t xml:space="preserve">Roman History </w:t>
      </w:r>
      <w:r w:rsidRPr="00F829D7">
        <w:t xml:space="preserve">60.20). They probably went a little downstream where the current was slower and where a ford may have existed. </w:t>
      </w:r>
    </w:p>
    <w:p w14:paraId="0884F6FB" w14:textId="77777777" w:rsidR="00F829D7" w:rsidRPr="00F829D7" w:rsidRDefault="00F829D7" w:rsidP="00F829D7">
      <w:pPr>
        <w:pStyle w:val="ListParagraph"/>
        <w:numPr>
          <w:ilvl w:val="0"/>
          <w:numId w:val="14"/>
        </w:numPr>
      </w:pPr>
      <w:r w:rsidRPr="00F829D7">
        <w:t>Then the Batavians attacked the British rear and wounded the horses that pulled their chariots. British morale would have been affected by the loss of their horses and the realisation that the Romans had easily crossed the tidal river. Strategically, the British charioteers were now forced to become slow moving infantry.</w:t>
      </w:r>
    </w:p>
    <w:p w14:paraId="7003B5ED" w14:textId="77777777" w:rsidR="00F829D7" w:rsidRPr="00F829D7" w:rsidRDefault="00F829D7" w:rsidP="00F829D7">
      <w:pPr>
        <w:pStyle w:val="ListParagraph"/>
        <w:numPr>
          <w:ilvl w:val="0"/>
          <w:numId w:val="14"/>
        </w:numPr>
      </w:pPr>
      <w:r w:rsidRPr="00F829D7">
        <w:lastRenderedPageBreak/>
        <w:t xml:space="preserve">In the chaos that followed, the bulk of the invasion force spearheaded by Legio II Augusta under Vespasian crossed the river, under the overall command of Titus Flavius Sabinus. The natives were taken by surprise at how fully armed legionaries were able to cross the river. </w:t>
      </w:r>
    </w:p>
    <w:p w14:paraId="59672E85" w14:textId="77777777" w:rsidR="00F829D7" w:rsidRPr="00F829D7" w:rsidRDefault="00F829D7" w:rsidP="00F829D7">
      <w:pPr>
        <w:pStyle w:val="ListParagraph"/>
        <w:numPr>
          <w:ilvl w:val="0"/>
          <w:numId w:val="14"/>
        </w:numPr>
      </w:pPr>
      <w:r w:rsidRPr="00F829D7">
        <w:t xml:space="preserve">The Romans were unable to press on to victory immediately, and the first day of fighting ended without a result. During the second day, a daring attack led by Gnaeus Hosidius Geta almost led to the Roman officer being captured. His troops retaliated, however, and put the Britons to flight. Geta was awarded a triumph for securing victory, a rare honour for someone who had not been consul.  </w:t>
      </w:r>
    </w:p>
    <w:p w14:paraId="66709408" w14:textId="4CF6A982" w:rsidR="00F829D7" w:rsidRPr="00F829D7" w:rsidRDefault="00F829D7" w:rsidP="00F829D7">
      <w:pPr>
        <w:pStyle w:val="ListParagraph"/>
        <w:numPr>
          <w:ilvl w:val="0"/>
          <w:numId w:val="14"/>
        </w:numPr>
      </w:pPr>
      <w:r w:rsidRPr="00F829D7">
        <w:t xml:space="preserve">Togodumnus was killed, making </w:t>
      </w:r>
      <w:r w:rsidR="00FB224E">
        <w:t>Caratacus</w:t>
      </w:r>
      <w:r w:rsidRPr="00F829D7">
        <w:t xml:space="preserve"> leader of the Catuvellauni. </w:t>
      </w:r>
      <w:r>
        <w:t xml:space="preserve">However, </w:t>
      </w:r>
      <w:r w:rsidRPr="00F829D7">
        <w:t>both Miles Russell and John Hind argue that Dio was mistaken in reporting Togodumnus's death, that he was defeated but survived, and was later appointed by the Romans as a friendly king over a number of territories, becoming the loyal king referred to by Tacitus as Cogidubnus or Togidubnus</w:t>
      </w:r>
      <w:r>
        <w:t>.</w:t>
      </w:r>
    </w:p>
    <w:p w14:paraId="65CF917C" w14:textId="77777777" w:rsidR="00F829D7" w:rsidRPr="00F829D7" w:rsidRDefault="00F829D7" w:rsidP="00F829D7"/>
    <w:p w14:paraId="65E51D00" w14:textId="59A74E22" w:rsidR="00213CE7" w:rsidRPr="00687CBC" w:rsidRDefault="00687CBC" w:rsidP="00213CE7">
      <w:pPr>
        <w:rPr>
          <w:b/>
          <w:bCs/>
          <w:u w:val="single"/>
        </w:rPr>
      </w:pPr>
      <w:r w:rsidRPr="00687CBC">
        <w:rPr>
          <w:b/>
          <w:bCs/>
          <w:u w:val="single"/>
        </w:rPr>
        <w:t xml:space="preserve">Slides 14-15: </w:t>
      </w:r>
      <w:r w:rsidR="00FB224E" w:rsidRPr="00687CBC">
        <w:rPr>
          <w:b/>
          <w:bCs/>
          <w:u w:val="single"/>
        </w:rPr>
        <w:t>Caratacus</w:t>
      </w:r>
      <w:r w:rsidR="00213CE7" w:rsidRPr="00687CBC">
        <w:rPr>
          <w:b/>
          <w:bCs/>
          <w:u w:val="single"/>
        </w:rPr>
        <w:t xml:space="preserve"> at the River Thames</w:t>
      </w:r>
    </w:p>
    <w:p w14:paraId="2008061E" w14:textId="57C9ABD5" w:rsidR="002971CD" w:rsidRDefault="002971CD" w:rsidP="00213CE7">
      <w:pPr>
        <w:rPr>
          <w:u w:val="single"/>
        </w:rPr>
      </w:pPr>
    </w:p>
    <w:p w14:paraId="2A7C3F23" w14:textId="77777777" w:rsidR="00F829D7" w:rsidRPr="00F829D7" w:rsidRDefault="00F829D7" w:rsidP="00F829D7">
      <w:pPr>
        <w:pStyle w:val="ListParagraph"/>
        <w:numPr>
          <w:ilvl w:val="0"/>
          <w:numId w:val="14"/>
        </w:numPr>
      </w:pPr>
      <w:r w:rsidRPr="00F829D7">
        <w:t>Having won the Battle of the Medway, the Romans would have followed up quickly by killing as many of the retreating British troops as possible. This was a task normally done by the auxiliary cavalry. Their objective was to kill enemy soldiers so they were no longer a threat to Rome. The four legions followed.</w:t>
      </w:r>
    </w:p>
    <w:p w14:paraId="7B8EE320" w14:textId="77777777" w:rsidR="00F829D7" w:rsidRPr="00F829D7" w:rsidRDefault="00F829D7" w:rsidP="00F829D7">
      <w:pPr>
        <w:pStyle w:val="ListParagraph"/>
        <w:numPr>
          <w:ilvl w:val="0"/>
          <w:numId w:val="14"/>
        </w:numPr>
      </w:pPr>
      <w:r w:rsidRPr="00F829D7">
        <w:t>The British had retreated to the north bank of the Thames. The Batavian cavalry had fought well in the first phase of the Battle of the Medway by swimming across the river in full equipment. Dio said they performed a similar role here (</w:t>
      </w:r>
      <w:r w:rsidRPr="00F829D7">
        <w:rPr>
          <w:i/>
          <w:iCs/>
        </w:rPr>
        <w:t xml:space="preserve">Roman History </w:t>
      </w:r>
      <w:r w:rsidRPr="00F829D7">
        <w:t xml:space="preserve">60.20). The Roman Army then crossed the Thames by a bridge a little further upstream, as Dio also described. </w:t>
      </w:r>
    </w:p>
    <w:p w14:paraId="33AC326B" w14:textId="77777777" w:rsidR="00F829D7" w:rsidRPr="00F829D7" w:rsidRDefault="00F829D7" w:rsidP="00F829D7">
      <w:pPr>
        <w:pStyle w:val="ListParagraph"/>
        <w:numPr>
          <w:ilvl w:val="0"/>
          <w:numId w:val="14"/>
        </w:numPr>
      </w:pPr>
      <w:r w:rsidRPr="00F829D7">
        <w:t>The bridge site may have been near the current location of London Bridge or Westminster or even at Brentford, although the latter seems a long way to the west.</w:t>
      </w:r>
    </w:p>
    <w:p w14:paraId="70170D02" w14:textId="77777777" w:rsidR="00F829D7" w:rsidRPr="00F829D7" w:rsidRDefault="00F829D7" w:rsidP="00F829D7">
      <w:pPr>
        <w:pStyle w:val="ListParagraph"/>
        <w:numPr>
          <w:ilvl w:val="0"/>
          <w:numId w:val="14"/>
        </w:numPr>
      </w:pPr>
      <w:r w:rsidRPr="00F829D7">
        <w:t>Roman sources give no indication of a large battle at this stage of the invasion. This suggests that the crossing of the Thames was essentially unopposed, as the British had given up the unequal struggle.</w:t>
      </w:r>
    </w:p>
    <w:p w14:paraId="05D523C8" w14:textId="506ACF3C" w:rsidR="00F829D7" w:rsidRPr="00F829D7" w:rsidRDefault="00F829D7" w:rsidP="00EA33FF">
      <w:pPr>
        <w:pStyle w:val="ListParagraph"/>
        <w:numPr>
          <w:ilvl w:val="0"/>
          <w:numId w:val="14"/>
        </w:numPr>
      </w:pPr>
      <w:r w:rsidRPr="00F829D7">
        <w:t>It was probably at this time that Caratacus realised that the south east of England was a lost cause. This included his family tribal base at Colchester. This was due to the might and organisation of the Roman Army that had defeated the British at the Battle of the Medway.</w:t>
      </w:r>
    </w:p>
    <w:p w14:paraId="390F2817" w14:textId="77777777" w:rsidR="00687CBC" w:rsidRDefault="00687CBC" w:rsidP="00213CE7">
      <w:pPr>
        <w:rPr>
          <w:u w:val="single"/>
        </w:rPr>
      </w:pPr>
    </w:p>
    <w:p w14:paraId="100B53D7" w14:textId="1E414928" w:rsidR="00213CE7" w:rsidRPr="00687CBC" w:rsidRDefault="00687CBC" w:rsidP="00213CE7">
      <w:pPr>
        <w:rPr>
          <w:b/>
          <w:bCs/>
          <w:u w:val="single"/>
        </w:rPr>
      </w:pPr>
      <w:r w:rsidRPr="00687CBC">
        <w:rPr>
          <w:b/>
          <w:bCs/>
          <w:u w:val="single"/>
        </w:rPr>
        <w:t xml:space="preserve">Slides 16-17: </w:t>
      </w:r>
      <w:r w:rsidR="00FB224E" w:rsidRPr="00687CBC">
        <w:rPr>
          <w:b/>
          <w:bCs/>
          <w:u w:val="single"/>
        </w:rPr>
        <w:t>Caratacus</w:t>
      </w:r>
      <w:r w:rsidR="00213CE7" w:rsidRPr="00687CBC">
        <w:rPr>
          <w:b/>
          <w:bCs/>
          <w:u w:val="single"/>
        </w:rPr>
        <w:t xml:space="preserve"> in Exile and a Final Battle</w:t>
      </w:r>
    </w:p>
    <w:p w14:paraId="051BCACC" w14:textId="1CE1E7E6" w:rsidR="002971CD" w:rsidRDefault="002971CD" w:rsidP="00213CE7">
      <w:pPr>
        <w:rPr>
          <w:u w:val="single"/>
        </w:rPr>
      </w:pPr>
    </w:p>
    <w:p w14:paraId="5E6167FC" w14:textId="408912D5" w:rsidR="00F829D7" w:rsidRPr="00F829D7" w:rsidRDefault="00FB224E" w:rsidP="00F829D7">
      <w:pPr>
        <w:pStyle w:val="ListParagraph"/>
        <w:numPr>
          <w:ilvl w:val="0"/>
          <w:numId w:val="14"/>
        </w:numPr>
      </w:pPr>
      <w:r>
        <w:t>Caratacus</w:t>
      </w:r>
      <w:r w:rsidR="00F829D7" w:rsidRPr="00F829D7">
        <w:t xml:space="preserve"> escaped the Romans at the River Thames and made his way to south west Wales and the Silures tribe. </w:t>
      </w:r>
    </w:p>
    <w:p w14:paraId="59DF14F9" w14:textId="77777777" w:rsidR="00F829D7" w:rsidRPr="00F829D7" w:rsidRDefault="00F829D7" w:rsidP="00F829D7">
      <w:pPr>
        <w:pStyle w:val="ListParagraph"/>
        <w:numPr>
          <w:ilvl w:val="0"/>
          <w:numId w:val="14"/>
        </w:numPr>
      </w:pPr>
      <w:r w:rsidRPr="00F829D7">
        <w:t>By about AD 50, the Roman Army under the Roman governor Publius Ostorius Scapula had advanced into Wales.</w:t>
      </w:r>
    </w:p>
    <w:p w14:paraId="5E3479E9" w14:textId="690D4535" w:rsidR="00F829D7" w:rsidRPr="00F829D7" w:rsidRDefault="00F829D7" w:rsidP="00F829D7">
      <w:pPr>
        <w:pStyle w:val="ListParagraph"/>
        <w:numPr>
          <w:ilvl w:val="0"/>
          <w:numId w:val="14"/>
        </w:numPr>
      </w:pPr>
      <w:r w:rsidRPr="00F829D7">
        <w:t xml:space="preserve">Tacitus reports that </w:t>
      </w:r>
      <w:r w:rsidR="00FB224E">
        <w:t>Caratacus</w:t>
      </w:r>
      <w:r w:rsidRPr="00F829D7">
        <w:t xml:space="preserve"> led the Silures and Ordovices tribes against the Roman Army (</w:t>
      </w:r>
      <w:r w:rsidRPr="00F829D7">
        <w:rPr>
          <w:i/>
          <w:iCs/>
        </w:rPr>
        <w:t>Annals</w:t>
      </w:r>
      <w:r w:rsidRPr="00F829D7">
        <w:t xml:space="preserve"> 12.33).</w:t>
      </w:r>
    </w:p>
    <w:p w14:paraId="1E35B73D" w14:textId="09A1723F" w:rsidR="00F829D7" w:rsidRPr="00F829D7" w:rsidRDefault="00F829D7" w:rsidP="00F829D7">
      <w:pPr>
        <w:pStyle w:val="ListParagraph"/>
        <w:numPr>
          <w:ilvl w:val="0"/>
          <w:numId w:val="14"/>
        </w:numPr>
      </w:pPr>
      <w:r w:rsidRPr="00F829D7">
        <w:lastRenderedPageBreak/>
        <w:t xml:space="preserve">Tacitus describes the battle between the Roman Army and the British tribesmen. </w:t>
      </w:r>
      <w:r w:rsidR="00FB224E">
        <w:t>Caratacus</w:t>
      </w:r>
      <w:r w:rsidRPr="00F829D7">
        <w:t xml:space="preserve"> erected a rampart on a sloping hill in front of a river. </w:t>
      </w:r>
      <w:r w:rsidR="00FB224E">
        <w:t>Caratacus</w:t>
      </w:r>
      <w:r w:rsidRPr="00F829D7">
        <w:t xml:space="preserve"> encouraged his men to fight and the Roman soldiers urged Scapula to do the same (</w:t>
      </w:r>
      <w:r w:rsidRPr="00F829D7">
        <w:rPr>
          <w:i/>
          <w:iCs/>
        </w:rPr>
        <w:t>Annals</w:t>
      </w:r>
      <w:r w:rsidRPr="00F829D7">
        <w:t xml:space="preserve"> 12.34-35). </w:t>
      </w:r>
    </w:p>
    <w:p w14:paraId="0DC35F9A" w14:textId="77777777" w:rsidR="00F829D7" w:rsidRPr="00F829D7" w:rsidRDefault="00F829D7" w:rsidP="00F829D7">
      <w:pPr>
        <w:pStyle w:val="ListParagraph"/>
        <w:numPr>
          <w:ilvl w:val="0"/>
          <w:numId w:val="14"/>
        </w:numPr>
      </w:pPr>
      <w:r w:rsidRPr="00F829D7">
        <w:t>The Romans initially took heavily casualties from missiles which the Britons threw from the rampart. But, after forming a testudo, they advanced, broke down the rampart and routed the armourless  Britons (</w:t>
      </w:r>
      <w:r w:rsidRPr="00F829D7">
        <w:rPr>
          <w:i/>
          <w:iCs/>
        </w:rPr>
        <w:t>Annals</w:t>
      </w:r>
      <w:r w:rsidRPr="00F829D7">
        <w:t xml:space="preserve"> 12.35).</w:t>
      </w:r>
    </w:p>
    <w:p w14:paraId="51D5B013" w14:textId="1E9E2362" w:rsidR="00F829D7" w:rsidRPr="00EA33FF" w:rsidRDefault="00F829D7" w:rsidP="00EA33FF">
      <w:pPr>
        <w:pStyle w:val="ListParagraph"/>
        <w:numPr>
          <w:ilvl w:val="0"/>
          <w:numId w:val="14"/>
        </w:numPr>
      </w:pPr>
      <w:r w:rsidRPr="00F829D7">
        <w:t xml:space="preserve"> the Romans captured </w:t>
      </w:r>
      <w:r w:rsidR="00FB224E">
        <w:t>Caratacus</w:t>
      </w:r>
      <w:r w:rsidRPr="00F829D7">
        <w:t xml:space="preserve">’ wife, daughters and his brothers surrendered. </w:t>
      </w:r>
      <w:r w:rsidR="00FB224E">
        <w:t>Caratacus</w:t>
      </w:r>
      <w:r w:rsidRPr="00F829D7">
        <w:t xml:space="preserve"> escaped and sought the protection of Cartimandua, Queen of the Brigantes. But, she delivered him to the Romans in chains (</w:t>
      </w:r>
      <w:r w:rsidRPr="00F829D7">
        <w:rPr>
          <w:i/>
          <w:iCs/>
        </w:rPr>
        <w:t>Annals</w:t>
      </w:r>
      <w:r w:rsidRPr="00F829D7">
        <w:t xml:space="preserve"> 12.36).</w:t>
      </w:r>
    </w:p>
    <w:p w14:paraId="6A4AE1E5" w14:textId="5C875351" w:rsidR="00213CE7" w:rsidRPr="00687CBC" w:rsidRDefault="00687CBC" w:rsidP="00213CE7">
      <w:pPr>
        <w:rPr>
          <w:b/>
          <w:bCs/>
          <w:u w:val="single"/>
        </w:rPr>
      </w:pPr>
      <w:r w:rsidRPr="00687CBC">
        <w:rPr>
          <w:b/>
          <w:bCs/>
          <w:u w:val="single"/>
        </w:rPr>
        <w:t xml:space="preserve">Slides 18-18: </w:t>
      </w:r>
      <w:r w:rsidR="00FB224E" w:rsidRPr="00687CBC">
        <w:rPr>
          <w:b/>
          <w:bCs/>
          <w:u w:val="single"/>
        </w:rPr>
        <w:t>Caratacus</w:t>
      </w:r>
      <w:r w:rsidR="00213CE7" w:rsidRPr="00687CBC">
        <w:rPr>
          <w:b/>
          <w:bCs/>
          <w:u w:val="single"/>
        </w:rPr>
        <w:t xml:space="preserve"> Captive of Rome </w:t>
      </w:r>
    </w:p>
    <w:p w14:paraId="4CFFBA19" w14:textId="002BBC66" w:rsidR="002971CD" w:rsidRDefault="002971CD" w:rsidP="00213CE7">
      <w:pPr>
        <w:rPr>
          <w:u w:val="single"/>
        </w:rPr>
      </w:pPr>
    </w:p>
    <w:p w14:paraId="576D3B14" w14:textId="11F0ED31" w:rsidR="00F829D7" w:rsidRPr="00F829D7" w:rsidRDefault="00F829D7" w:rsidP="00F829D7">
      <w:pPr>
        <w:pStyle w:val="ListParagraph"/>
        <w:numPr>
          <w:ilvl w:val="0"/>
          <w:numId w:val="14"/>
        </w:numPr>
      </w:pPr>
      <w:r w:rsidRPr="00F829D7">
        <w:t xml:space="preserve">Tacitus reports that </w:t>
      </w:r>
      <w:r w:rsidR="00FB224E">
        <w:t>Caratacus</w:t>
      </w:r>
      <w:r w:rsidRPr="00F829D7">
        <w:t xml:space="preserve"> had become famous in the Roman World as a native tribesman who had long defied Roman rule. </w:t>
      </w:r>
      <w:r w:rsidR="00FB224E">
        <w:t>Caratacus</w:t>
      </w:r>
      <w:r w:rsidRPr="00F829D7">
        <w:t xml:space="preserve"> and his family were led through the streets of Rome in a triumphal procession as a captive spoil of war (</w:t>
      </w:r>
      <w:r w:rsidRPr="00F829D7">
        <w:rPr>
          <w:i/>
          <w:iCs/>
        </w:rPr>
        <w:t>Annals</w:t>
      </w:r>
      <w:r w:rsidRPr="00F829D7">
        <w:t xml:space="preserve"> 12.36).</w:t>
      </w:r>
    </w:p>
    <w:p w14:paraId="148061CF" w14:textId="36AE00BA" w:rsidR="00F829D7" w:rsidRPr="00F829D7" w:rsidRDefault="00F829D7" w:rsidP="00F829D7">
      <w:pPr>
        <w:pStyle w:val="ListParagraph"/>
        <w:numPr>
          <w:ilvl w:val="0"/>
          <w:numId w:val="14"/>
        </w:numPr>
      </w:pPr>
      <w:r w:rsidRPr="00F829D7">
        <w:t xml:space="preserve">Tacitus records that </w:t>
      </w:r>
      <w:r w:rsidR="00FB224E">
        <w:t>Caratacus</w:t>
      </w:r>
      <w:r w:rsidRPr="00F829D7">
        <w:t xml:space="preserve"> made an impassioned speech to Emperor Claudius:  Had my lineage and my rank been matched by my moderation in success, I should have entered this city rather as a friend than as a captive; nor would you have scorned to admit to a peaceful league a king sprung from famous ancestors and holding sway over many peoples. My present lot, if to me a degradation, is to you a glory. I had horses and men, arms and riches: what wonder if I lost them with a pang? For if you would rule the world, does it follow that the world must welcome servitude? If I were dragged before you after surrendering without a blow, there would have been little heard either of my fall or of your triumph: punishment of me will be followed by oblivion; but save me alive, and I shall be an everlasting memorial of your clemency.” (</w:t>
      </w:r>
      <w:r w:rsidRPr="00F829D7">
        <w:rPr>
          <w:i/>
          <w:iCs/>
        </w:rPr>
        <w:t>Annals</w:t>
      </w:r>
      <w:r w:rsidRPr="00F829D7">
        <w:t xml:space="preserve"> 12.37)</w:t>
      </w:r>
    </w:p>
    <w:p w14:paraId="59F06895" w14:textId="69D918DB" w:rsidR="00F829D7" w:rsidRPr="00EA33FF" w:rsidRDefault="00F829D7" w:rsidP="00EA33FF">
      <w:pPr>
        <w:pStyle w:val="ListParagraph"/>
        <w:numPr>
          <w:ilvl w:val="0"/>
          <w:numId w:val="14"/>
        </w:numPr>
      </w:pPr>
      <w:r w:rsidRPr="00F829D7">
        <w:t xml:space="preserve">After this speech, Claudius freed </w:t>
      </w:r>
      <w:r w:rsidR="00FB224E">
        <w:t>Caratacus</w:t>
      </w:r>
      <w:r w:rsidRPr="00F829D7">
        <w:t xml:space="preserve"> and his family and allowed them to live freely in Rome. </w:t>
      </w:r>
    </w:p>
    <w:p w14:paraId="5CCCA0E7" w14:textId="62CF5735" w:rsidR="00213CE7" w:rsidRPr="00687CBC" w:rsidRDefault="00687CBC" w:rsidP="00213CE7">
      <w:pPr>
        <w:rPr>
          <w:b/>
          <w:bCs/>
          <w:u w:val="single"/>
        </w:rPr>
      </w:pPr>
      <w:r w:rsidRPr="00687CBC">
        <w:rPr>
          <w:b/>
          <w:bCs/>
          <w:u w:val="single"/>
        </w:rPr>
        <w:t xml:space="preserve">Slide 20: </w:t>
      </w:r>
      <w:r w:rsidR="00151926" w:rsidRPr="00687CBC">
        <w:rPr>
          <w:b/>
          <w:bCs/>
          <w:u w:val="single"/>
        </w:rPr>
        <w:t xml:space="preserve">The Reception of </w:t>
      </w:r>
      <w:r w:rsidR="00FB224E" w:rsidRPr="00687CBC">
        <w:rPr>
          <w:b/>
          <w:bCs/>
          <w:u w:val="single"/>
        </w:rPr>
        <w:t>Caratacus</w:t>
      </w:r>
      <w:r w:rsidR="00151926" w:rsidRPr="00687CBC">
        <w:rPr>
          <w:b/>
          <w:bCs/>
          <w:u w:val="single"/>
        </w:rPr>
        <w:t xml:space="preserve"> in Britain</w:t>
      </w:r>
    </w:p>
    <w:p w14:paraId="67A78B06" w14:textId="1656D703" w:rsidR="00F829D7" w:rsidRPr="00EA33FF" w:rsidRDefault="00FB224E" w:rsidP="00F829D7">
      <w:pPr>
        <w:pStyle w:val="ListParagraph"/>
        <w:numPr>
          <w:ilvl w:val="0"/>
          <w:numId w:val="14"/>
        </w:numPr>
        <w:rPr>
          <w:u w:val="single"/>
        </w:rPr>
      </w:pPr>
      <w:r>
        <w:t>Caratacus</w:t>
      </w:r>
      <w:r w:rsidR="00EA33FF">
        <w:t xml:space="preserve"> has become a prominent figure in British art, music and literature through the writing of Tacitus and Cassius Dio. </w:t>
      </w:r>
    </w:p>
    <w:p w14:paraId="230B541E" w14:textId="7223CD18" w:rsidR="00EA33FF" w:rsidRPr="00EA33FF" w:rsidRDefault="00EA33FF" w:rsidP="00F829D7">
      <w:pPr>
        <w:pStyle w:val="ListParagraph"/>
        <w:numPr>
          <w:ilvl w:val="0"/>
          <w:numId w:val="14"/>
        </w:numPr>
        <w:rPr>
          <w:u w:val="single"/>
        </w:rPr>
      </w:pPr>
      <w:r>
        <w:t xml:space="preserve">The British reception of </w:t>
      </w:r>
      <w:r w:rsidR="00FB224E">
        <w:t>Caratacus</w:t>
      </w:r>
      <w:r>
        <w:t xml:space="preserve"> (and there has been little interest in him outside Britain) had always been bound up with the expansion of the British Empire, and in particular the British conquest of India. This can be seen as inaugurated by the battle of Plassey in 1757, which proved pivotal in terms of British control of both Bengal and India more widely.</w:t>
      </w:r>
    </w:p>
    <w:p w14:paraId="7B6609B9" w14:textId="54FE8FF5" w:rsidR="00EA33FF" w:rsidRPr="00EA33FF" w:rsidRDefault="00EA33FF" w:rsidP="00F829D7">
      <w:pPr>
        <w:pStyle w:val="ListParagraph"/>
        <w:numPr>
          <w:ilvl w:val="0"/>
          <w:numId w:val="14"/>
        </w:numPr>
        <w:rPr>
          <w:u w:val="single"/>
        </w:rPr>
      </w:pPr>
      <w:r>
        <w:t xml:space="preserve">Two years later, the Yorkshire churchman William Mason published his play </w:t>
      </w:r>
      <w:r w:rsidR="00FB224E">
        <w:t>Caratacus</w:t>
      </w:r>
      <w:r>
        <w:t xml:space="preserve">, which he intended ‘to fight the cause of liberty and Britain’; it was to become the single most influential work in the history of the reception of this ancient British warrior. The drama, like almost all </w:t>
      </w:r>
      <w:r w:rsidR="00FB224E">
        <w:t>Caratacus</w:t>
      </w:r>
      <w:r>
        <w:t xml:space="preserve"> narratives subsequently, stages a conflation of Tacitus’ description of the indomitable Briton captured during the reign of Claudius (Annals 12.33–7), who delivered a courageous speech at Rome, with the same historian’s account of the last stand of the druids of Mona (Anglesey) against Suetonius Paulinus (Annals 14.29–30); some details are added from Cassius Dio’s Roman History 60–1. Mason fused this content with features from Greek tragedy, imitating the plot of Sophocles’ Oedipus at Colonus, and including a singing, dancing, involved, and interactive tragic chorus.</w:t>
      </w:r>
    </w:p>
    <w:p w14:paraId="55C58AB3" w14:textId="32A9B688" w:rsidR="00E4125F" w:rsidRPr="00E4125F" w:rsidRDefault="00FA4FFD" w:rsidP="00F829D7">
      <w:pPr>
        <w:pStyle w:val="ListParagraph"/>
        <w:numPr>
          <w:ilvl w:val="0"/>
          <w:numId w:val="14"/>
        </w:numPr>
        <w:rPr>
          <w:u w:val="single"/>
        </w:rPr>
      </w:pPr>
      <w:r>
        <w:lastRenderedPageBreak/>
        <w:t xml:space="preserve">Throughout the Victorian period, </w:t>
      </w:r>
      <w:r w:rsidR="00FB224E">
        <w:t>Caratacus</w:t>
      </w:r>
      <w:r>
        <w:t xml:space="preserve"> poems, paintings, statues, and a few musical performances, usually with druidical overtones, sporadically appeared in both England and Wales, often in public, civic locations. </w:t>
      </w:r>
    </w:p>
    <w:p w14:paraId="5B58A647" w14:textId="403846B1" w:rsidR="00E4125F" w:rsidRPr="00E4125F" w:rsidRDefault="00E4125F" w:rsidP="00F829D7">
      <w:pPr>
        <w:pStyle w:val="ListParagraph"/>
        <w:numPr>
          <w:ilvl w:val="0"/>
          <w:numId w:val="14"/>
        </w:numPr>
        <w:rPr>
          <w:u w:val="single"/>
        </w:rPr>
      </w:pPr>
      <w:r>
        <w:t xml:space="preserve">William Blake drew </w:t>
      </w:r>
      <w:r w:rsidR="00FB224E">
        <w:t>Caratacus</w:t>
      </w:r>
      <w:r>
        <w:t xml:space="preserve"> in 1819 as part of his Visionary Heads series of drawings.</w:t>
      </w:r>
    </w:p>
    <w:p w14:paraId="5754503D" w14:textId="742A446C" w:rsidR="00EA33FF" w:rsidRPr="00FA4FFD" w:rsidRDefault="00FA4FFD" w:rsidP="00F829D7">
      <w:pPr>
        <w:pStyle w:val="ListParagraph"/>
        <w:numPr>
          <w:ilvl w:val="0"/>
          <w:numId w:val="14"/>
        </w:numPr>
        <w:rPr>
          <w:u w:val="single"/>
        </w:rPr>
      </w:pPr>
      <w:r>
        <w:t>J.D. Browne’s sculpture group ‘</w:t>
      </w:r>
      <w:r w:rsidR="00FB224E">
        <w:t>Caratacus</w:t>
      </w:r>
      <w:r>
        <w:t xml:space="preserve"> before Claudius Caesar’ was displayed in Westminster Hall in 1844, with the rousing caption, adapted from Tacitus, ‘Though you may wish to rule all, it does not follow that all will submit to slavery!’ An imposing statue by Irishman Constantine Panormo, ‘The Liberation of </w:t>
      </w:r>
      <w:r w:rsidR="00FB224E">
        <w:t>Caratacus</w:t>
      </w:r>
      <w:r>
        <w:t>’, was said to be ‘expressive’ and one of the most viewed of the artworks in the British section of the gallery at the Great Exhibition of 1851.</w:t>
      </w:r>
    </w:p>
    <w:p w14:paraId="6B131653" w14:textId="6E20BC80" w:rsidR="00FA4FFD" w:rsidRDefault="00FA4FFD" w:rsidP="00FA4FFD">
      <w:pPr>
        <w:pStyle w:val="ListParagraph"/>
        <w:numPr>
          <w:ilvl w:val="0"/>
          <w:numId w:val="14"/>
        </w:numPr>
      </w:pPr>
      <w:r w:rsidRPr="00FA4FFD">
        <w:t>J</w:t>
      </w:r>
      <w:r>
        <w:t xml:space="preserve">ames Henry </w:t>
      </w:r>
      <w:r w:rsidRPr="00FA4FFD">
        <w:t xml:space="preserve">Foley’s monumental figure of </w:t>
      </w:r>
      <w:r w:rsidR="00FB224E">
        <w:t>Caratacus</w:t>
      </w:r>
      <w:r w:rsidRPr="00FA4FFD">
        <w:t>, funded by the City of London’s joint fund for art, was put on his</w:t>
      </w:r>
      <w:r>
        <w:t xml:space="preserve"> pedestal in the Egyptian Hall in Piccadilly in 1859.</w:t>
      </w:r>
    </w:p>
    <w:p w14:paraId="71C9E512" w14:textId="7794EF08" w:rsidR="00FA4FFD" w:rsidRDefault="00FA4FFD" w:rsidP="00FA4FFD">
      <w:pPr>
        <w:pStyle w:val="ListParagraph"/>
        <w:numPr>
          <w:ilvl w:val="0"/>
          <w:numId w:val="14"/>
        </w:numPr>
      </w:pPr>
      <w:r>
        <w:t>In the context of Queen Victoria’s Diamond Jubilee</w:t>
      </w:r>
      <w:r w:rsidR="00E4125F">
        <w:t>,</w:t>
      </w:r>
      <w:r>
        <w:t xml:space="preserve"> Edward Elgar’s </w:t>
      </w:r>
      <w:r w:rsidR="00FB224E">
        <w:t>Caratacus</w:t>
      </w:r>
      <w:r>
        <w:t xml:space="preserve"> premiered at the Leeds festival. The libretto was by Elgar’s Malvern friend and neighbour Harry Arbuthnot Acworth, a passionate advocate of the ‘civilizing’ benefits brought to the Indians by the Raj, and retired President of Bombay. The piece, ideologically, is a transparent apologia for British global imperialism, but the location in the Malvern Hills places </w:t>
      </w:r>
      <w:r w:rsidR="00FB224E">
        <w:t>Caratacus</w:t>
      </w:r>
      <w:r>
        <w:t>’ heroism in the liminal space between English and Welsh identities.</w:t>
      </w:r>
    </w:p>
    <w:p w14:paraId="4E2EB1E8" w14:textId="13D2423F" w:rsidR="00FA4FFD" w:rsidRDefault="00FA4FFD" w:rsidP="00FA4FFD">
      <w:pPr>
        <w:pStyle w:val="ListParagraph"/>
        <w:numPr>
          <w:ilvl w:val="0"/>
          <w:numId w:val="14"/>
        </w:numPr>
      </w:pPr>
      <w:r>
        <w:t xml:space="preserve">The plot features </w:t>
      </w:r>
      <w:r w:rsidR="00FB224E">
        <w:t>Caratacus</w:t>
      </w:r>
      <w:r>
        <w:t xml:space="preserve"> (King of the Trinobantes and Leader of the Confederated Britons) being driven by the Romans from his home in central southern England to the Welsh frontier. He pitches camp on the Herefordshire Beacons in the Malvern Hills. </w:t>
      </w:r>
      <w:r w:rsidR="00FB224E">
        <w:t>Caratacus</w:t>
      </w:r>
      <w:r>
        <w:t xml:space="preserve">’ daughter Eigen is engaged to Orbin, a priest-minstrel invented by Acworth and Elgar. Orbin and a ‘Druid Maiden’ warn </w:t>
      </w:r>
      <w:r w:rsidR="00FB224E">
        <w:t>Caratacus</w:t>
      </w:r>
      <w:r>
        <w:t xml:space="preserve"> against facing the Romans in open battle, but the Arch-Druid deceives </w:t>
      </w:r>
      <w:r w:rsidR="00FB224E">
        <w:t>Caratacus</w:t>
      </w:r>
      <w:r>
        <w:t xml:space="preserve"> into advancing. The treacherous druids curse Orbin, who leaves to join the British fighting in eastern England. </w:t>
      </w:r>
      <w:r w:rsidR="00FB224E">
        <w:t>Caratacus</w:t>
      </w:r>
      <w:r>
        <w:t xml:space="preserve">’ men are routed, and Eigen and her maidens witness them return. </w:t>
      </w:r>
      <w:r w:rsidR="00FB224E">
        <w:t>Caratacus</w:t>
      </w:r>
      <w:r>
        <w:t xml:space="preserve">, Eigen, and Orbin are betrayed to the Romans. But the last scene, in Rome, sees </w:t>
      </w:r>
      <w:r w:rsidR="00FB224E">
        <w:t>Caratacus</w:t>
      </w:r>
      <w:r>
        <w:t xml:space="preserve">, Orbin, and Eigen being released and granted an honorific residence in Rome because Claudius is so impressed by </w:t>
      </w:r>
      <w:r w:rsidR="00FB224E">
        <w:t>Caratacus</w:t>
      </w:r>
      <w:r>
        <w:t>’ courage. The three Britons sing in thanks to Claudius, ‘Grace from the Roman! Peace and rest are ours, / Freedom is lost, but rest and peace remain; / Britain, farewell!’</w:t>
      </w:r>
    </w:p>
    <w:p w14:paraId="4C0E2452" w14:textId="75FCE361" w:rsidR="00FA4FFD" w:rsidRDefault="00FA4FFD" w:rsidP="00FA4FFD">
      <w:pPr>
        <w:pStyle w:val="ListParagraph"/>
        <w:numPr>
          <w:ilvl w:val="0"/>
          <w:numId w:val="14"/>
        </w:numPr>
      </w:pPr>
      <w:r>
        <w:t xml:space="preserve"> Ideologically, the courage, even if primitive, of the early Britons is fused with the global ‘civilization’ of the Roman imperial administration in a perfect expression of the national self-image being fostered across the United Kingdom.</w:t>
      </w:r>
    </w:p>
    <w:p w14:paraId="01AC06BD" w14:textId="5C169FEF" w:rsidR="00FA4FFD" w:rsidRDefault="00FA4FFD" w:rsidP="00FA4FFD">
      <w:pPr>
        <w:pStyle w:val="ListParagraph"/>
        <w:numPr>
          <w:ilvl w:val="0"/>
          <w:numId w:val="14"/>
        </w:numPr>
      </w:pPr>
      <w:r>
        <w:t xml:space="preserve">The </w:t>
      </w:r>
      <w:r w:rsidR="00FB224E">
        <w:rPr>
          <w:i/>
          <w:iCs/>
        </w:rPr>
        <w:t>Caratacus</w:t>
      </w:r>
      <w:r>
        <w:t xml:space="preserve"> of Elgar and Acworth, with its druids from around the Anglo-Welsh border, and its exploration of the relationship of a brave little country to a mighty imperial conqueror capable of clemency, swiftly attracted interest in Wales. At the 1902 Gwent Chair Eisteddfod in Rhymney, the test piece in the ‘marching song’ category in the Brass Band competition, won jointly by the Great Western and Cory Workman’s bands, was a march from </w:t>
      </w:r>
      <w:r w:rsidR="00FB224E">
        <w:rPr>
          <w:i/>
          <w:iCs/>
        </w:rPr>
        <w:t>Caratacus</w:t>
      </w:r>
      <w:r>
        <w:t>.</w:t>
      </w:r>
    </w:p>
    <w:p w14:paraId="6B99E2A1" w14:textId="48D38F6B" w:rsidR="00FA4FFD" w:rsidRDefault="0015570E" w:rsidP="00FA4FFD">
      <w:pPr>
        <w:pStyle w:val="ListParagraph"/>
        <w:numPr>
          <w:ilvl w:val="0"/>
          <w:numId w:val="14"/>
        </w:numPr>
      </w:pPr>
      <w:r>
        <w:t xml:space="preserve">The stage play in Welsh by Beriah Gwynfe Evans, performed at a school in Abergele in 1904, inaugurated the Edwardian tradition of theatrical performances starring </w:t>
      </w:r>
      <w:r w:rsidR="00FB224E">
        <w:t>Caratacus</w:t>
      </w:r>
      <w:r>
        <w:t xml:space="preserve">. Evans saw </w:t>
      </w:r>
      <w:r w:rsidR="00FB224E">
        <w:t>Caratacus</w:t>
      </w:r>
      <w:r>
        <w:t xml:space="preserve"> as fundamentally Welsh, rather than an incoming East Briton who took on leadership of the Silures, and required not only him but all the other Britons and even Romans to speak Welsh. This procedure, drawing on a long history (covered elsewhere in this volume) of conflating the Welsh with the ancient Britons, decisively identified the </w:t>
      </w:r>
      <w:r w:rsidR="00FB224E">
        <w:t>Caratacus</w:t>
      </w:r>
      <w:r>
        <w:t xml:space="preserve"> of ancient historians as the birth-right of Welsh people in Wales.</w:t>
      </w:r>
    </w:p>
    <w:p w14:paraId="62A32D1D" w14:textId="50EE559D" w:rsidR="0015570E" w:rsidRDefault="0015570E" w:rsidP="00FA4FFD">
      <w:pPr>
        <w:pStyle w:val="ListParagraph"/>
        <w:numPr>
          <w:ilvl w:val="0"/>
          <w:numId w:val="14"/>
        </w:numPr>
      </w:pPr>
      <w:r>
        <w:lastRenderedPageBreak/>
        <w:t xml:space="preserve">Two years after the success of the Abergele school play, the Elgar/Acworth cantata itself arrived triumphantly at the centre of Welsh people’s celebration of their national self-definition. In 1906, </w:t>
      </w:r>
      <w:r w:rsidR="00FB224E">
        <w:t>Caratacus</w:t>
      </w:r>
      <w:r>
        <w:t xml:space="preserve"> provided the two highlights of the Royal National Eisteddfod, held as often at Caernarfon. </w:t>
      </w:r>
    </w:p>
    <w:p w14:paraId="1674149A" w14:textId="3A642D74" w:rsidR="0015570E" w:rsidRDefault="0015570E" w:rsidP="00FA4FFD">
      <w:pPr>
        <w:pStyle w:val="ListParagraph"/>
        <w:numPr>
          <w:ilvl w:val="0"/>
          <w:numId w:val="14"/>
        </w:numPr>
      </w:pPr>
      <w:r>
        <w:t xml:space="preserve">The triumph of the </w:t>
      </w:r>
      <w:r w:rsidR="00FB224E">
        <w:t>Caratacus</w:t>
      </w:r>
      <w:r>
        <w:t xml:space="preserve"> story at the 1906 Eisteddfod in both spoken drama and sung cantata inspired a decade of amateur performances in schools and town halls across Wales. In addition to those by Joseph Parry, Elgar/Acworth, and Evans, a fourth, more light-hearted work, combining speech and song with attractive dance sequences and comic interludes, had certainly become available by 1910. It seems swiftly to have become the most frequent choice for performance. its published version is entitled </w:t>
      </w:r>
      <w:r w:rsidR="00FB224E">
        <w:rPr>
          <w:i/>
          <w:iCs/>
        </w:rPr>
        <w:t>Caratacus</w:t>
      </w:r>
      <w:r w:rsidRPr="0015570E">
        <w:rPr>
          <w:i/>
          <w:iCs/>
        </w:rPr>
        <w:t>. A Juvenile Operetta for Boys and Girls and Infants</w:t>
      </w:r>
      <w:r>
        <w:t>. The music was by George G. Lewis and Herbert Longhurst, and the libretto by H.E. Turner.</w:t>
      </w:r>
    </w:p>
    <w:p w14:paraId="01F31A82" w14:textId="255259B4" w:rsidR="0015570E" w:rsidRDefault="0015570E" w:rsidP="00FA4FFD">
      <w:pPr>
        <w:pStyle w:val="ListParagraph"/>
        <w:numPr>
          <w:ilvl w:val="0"/>
          <w:numId w:val="14"/>
        </w:numPr>
      </w:pPr>
      <w:r>
        <w:t xml:space="preserve">Perhaps prompted by a much-lauded rendition of the Elgar/Acworth cantata at the London National Eisteddfod of 1909, or by the prominent position given to the story of </w:t>
      </w:r>
      <w:r w:rsidR="00FB224E">
        <w:t>Caratacus</w:t>
      </w:r>
      <w:r>
        <w:t xml:space="preserve">, as the opening episode of the ambitious National Pageant of Wales staged in Cardiff ’s Sophia Gardens in the summer of the same year, the floodgates of </w:t>
      </w:r>
      <w:r w:rsidR="00FB224E">
        <w:t>Caratacus</w:t>
      </w:r>
      <w:r>
        <w:t xml:space="preserve"> performances were flung wide open in 1910. The first documented staging of the Lewis/Longhurst/Turner operetta took place at the Judge’s Hall, Trealaw in March 1910: it was sung by the Juvenile Choir of Salem, Llwynypia. It was soon followed by a performance of the same work by the Pisgah Juvenile Choral Society at Bryndu School: ‘All the little ones were tastefully dressed, and did their singing in a manner that showed a thorough training.’ The proceeds were in aid of the Pisgah Baptist Church.</w:t>
      </w:r>
    </w:p>
    <w:p w14:paraId="45715411" w14:textId="5EDDD7E7" w:rsidR="003A2F93" w:rsidRDefault="0015570E" w:rsidP="00FA4FFD">
      <w:pPr>
        <w:pStyle w:val="ListParagraph"/>
        <w:numPr>
          <w:ilvl w:val="0"/>
          <w:numId w:val="14"/>
        </w:numPr>
      </w:pPr>
      <w:r w:rsidRPr="0015570E">
        <w:t>Once war was declared</w:t>
      </w:r>
      <w:r>
        <w:t xml:space="preserve"> against the German Empire in 1914</w:t>
      </w:r>
      <w:r w:rsidRPr="0015570E">
        <w:t xml:space="preserve">, the </w:t>
      </w:r>
      <w:r w:rsidR="00FB224E">
        <w:t>Caratacus</w:t>
      </w:r>
      <w:r w:rsidRPr="0015570E">
        <w:t xml:space="preserve"> performances in Wales became </w:t>
      </w:r>
      <w:r>
        <w:t>transparently</w:t>
      </w:r>
      <w:r w:rsidRPr="0015570E">
        <w:t xml:space="preserve"> connected with recru</w:t>
      </w:r>
      <w:r>
        <w:t xml:space="preserve">itment, morale and fundraising for the war effort. </w:t>
      </w:r>
    </w:p>
    <w:p w14:paraId="4D591588" w14:textId="35371FEC" w:rsidR="003A2F93" w:rsidRPr="003A2F93" w:rsidRDefault="0015570E" w:rsidP="003A2F93">
      <w:pPr>
        <w:pStyle w:val="ListParagraph"/>
        <w:numPr>
          <w:ilvl w:val="0"/>
          <w:numId w:val="14"/>
        </w:numPr>
      </w:pPr>
      <w:r>
        <w:t xml:space="preserve"> </w:t>
      </w:r>
      <w:r w:rsidR="003A2F93" w:rsidRPr="003A2F93">
        <w:t xml:space="preserve">The Trecastle section of a Brecon newspaper proudly reported in January 1915 the local youth private John Evans of 3rd Battalion Welsh Regiment had been seen marching at Cardiff. The journalist reports “private Evans looked well in his uniform and appeared fit to meet any number of Germans. Here the recruiting committee appointed lately for Traianmawr parish are doing excellent work. On Friday evening last a most successful concert was held at the old National School, Trecastle, in aid of the local band of Hope and Belgian relief fund. The room was crowded to its upmost capacity and everyone thoroughly enjoyed entertainment” the program’s climax consisted inevitably of a play called </w:t>
      </w:r>
      <w:r w:rsidR="00FB224E">
        <w:t>Caratacus</w:t>
      </w:r>
      <w:r w:rsidR="003A2F93" w:rsidRPr="003A2F93">
        <w:t xml:space="preserve"> followed by the singing of all four-Belgium, French, Russian and British-national anthems (the Brecon County Times News Gazette and general advertiser 21 January 1915 page 4).</w:t>
      </w:r>
    </w:p>
    <w:p w14:paraId="48A6DF8B" w14:textId="5D670A50" w:rsidR="003A2F93" w:rsidRDefault="003A2F93" w:rsidP="003A2F93">
      <w:pPr>
        <w:pStyle w:val="ListParagraph"/>
        <w:numPr>
          <w:ilvl w:val="0"/>
          <w:numId w:val="14"/>
        </w:numPr>
      </w:pPr>
      <w:r>
        <w:t xml:space="preserve">In summer 1915 </w:t>
      </w:r>
      <w:r w:rsidR="00FB224E">
        <w:t>Caratacus</w:t>
      </w:r>
      <w:r>
        <w:t xml:space="preserve"> turns up specifically in the context of fundraising for the war effort. The Pentrepoeth girls’ school Morriston had spent 10 months “engaged in knitting comforts-scarves, socks, helmets et cetera for the soldiers and sailors”. They staged a special set of performances to carry on the work. The programme consisted of tableaux representing “Shakespeare’s birthday” and “Empire Day” supplemented by “ballad of the ranks” and a “pageant of famous women”. The main item on the programme was a play entitled </w:t>
      </w:r>
      <w:r w:rsidR="00FB224E">
        <w:rPr>
          <w:i/>
          <w:iCs/>
        </w:rPr>
        <w:t>Caratacus</w:t>
      </w:r>
      <w:r>
        <w:t xml:space="preserve"> in Rome. </w:t>
      </w:r>
    </w:p>
    <w:p w14:paraId="00F5C400" w14:textId="58C109B2" w:rsidR="003A2F93" w:rsidRDefault="003A2F93" w:rsidP="003A2F93">
      <w:pPr>
        <w:pStyle w:val="ListParagraph"/>
        <w:numPr>
          <w:ilvl w:val="0"/>
          <w:numId w:val="14"/>
        </w:numPr>
      </w:pPr>
      <w:r>
        <w:t xml:space="preserve">The children’s choir of Gwaun Cae Gurwen performed a work entitled </w:t>
      </w:r>
      <w:r w:rsidR="00FB224E">
        <w:rPr>
          <w:i/>
          <w:iCs/>
        </w:rPr>
        <w:t>Caratacus</w:t>
      </w:r>
      <w:r>
        <w:t xml:space="preserve"> early 1916. There were 2 performances of a cantata </w:t>
      </w:r>
      <w:r w:rsidR="00FB224E">
        <w:rPr>
          <w:i/>
          <w:iCs/>
        </w:rPr>
        <w:t>Caratacus</w:t>
      </w:r>
      <w:r>
        <w:t xml:space="preserve"> by Hermon juvenile choir in December 1917. But after conscription was imposed in 1916 and the war staggered to its gloomy conclusion the full extent of the slaughter began to sink national consciousness. </w:t>
      </w:r>
    </w:p>
    <w:p w14:paraId="44DAC378" w14:textId="1D6C42FC" w:rsidR="003A2F93" w:rsidRDefault="003A2F93" w:rsidP="003A2F93">
      <w:pPr>
        <w:pStyle w:val="ListParagraph"/>
        <w:numPr>
          <w:ilvl w:val="0"/>
          <w:numId w:val="14"/>
        </w:numPr>
      </w:pPr>
      <w:r>
        <w:lastRenderedPageBreak/>
        <w:t xml:space="preserve">Predictably as the full horrors of the war on the Western Front became apparent to the people of Wales, the phrase </w:t>
      </w:r>
      <w:r w:rsidR="00FB224E">
        <w:t>Caratacus</w:t>
      </w:r>
      <w:r>
        <w:t xml:space="preserve"> waned. None is recorded in 1918 and just one in 1919 of the operetta is recorded in Barry port by the Zion choir in the parish hall in May. An awareness that the </w:t>
      </w:r>
      <w:r w:rsidR="00FB224E">
        <w:t>Caratacus</w:t>
      </w:r>
      <w:r>
        <w:t xml:space="preserve"> tale had less relevance to everyday life in post-war Wales seems to have been bypassed by the Brecon show poet Clifford King.</w:t>
      </w:r>
    </w:p>
    <w:p w14:paraId="211C72D1" w14:textId="3EB2A5C2" w:rsidR="00E4125F" w:rsidRDefault="003A2F93" w:rsidP="00FA4FFD">
      <w:pPr>
        <w:pStyle w:val="ListParagraph"/>
        <w:numPr>
          <w:ilvl w:val="0"/>
          <w:numId w:val="14"/>
        </w:numPr>
      </w:pPr>
      <w:r>
        <w:t xml:space="preserve">The story of Edwardian Welsh </w:t>
      </w:r>
      <w:r w:rsidR="00FB224E">
        <w:t>Caratacus</w:t>
      </w:r>
      <w:r>
        <w:t xml:space="preserve"> performances has a tragic ending. The ancient Briton’s legend was actively used as propaganda in the recruitment drive in Wales amongst the poorest, Welsh-speaking populations of the north and west of Wales. Their identity as men of ‘gallant little Wales’, was explicitly used to foment identification with the suffering people of another ‘gallant little’ nation, Belgium to drive enlistment into the Welsh regiments of the British Expeditionary Force during the Great War. </w:t>
      </w:r>
    </w:p>
    <w:p w14:paraId="49B963C4" w14:textId="69F1EF4C" w:rsidR="001324E8" w:rsidRDefault="003A2F93" w:rsidP="00213CE7">
      <w:pPr>
        <w:pStyle w:val="ListParagraph"/>
        <w:numPr>
          <w:ilvl w:val="0"/>
          <w:numId w:val="14"/>
        </w:numPr>
      </w:pPr>
      <w:r>
        <w:t xml:space="preserve">Ultimately, </w:t>
      </w:r>
      <w:r w:rsidR="00E4125F">
        <w:t xml:space="preserve">recruitment with </w:t>
      </w:r>
      <w:r w:rsidR="00FB224E">
        <w:t>Caratacus</w:t>
      </w:r>
      <w:r w:rsidR="00E4125F">
        <w:t xml:space="preserve"> plays</w:t>
      </w:r>
      <w:r>
        <w:t xml:space="preserve"> led to the deaths of many thousands of Welshman on the Western Front during the </w:t>
      </w:r>
      <w:r w:rsidR="00E4125F">
        <w:t xml:space="preserve">conflict. </w:t>
      </w:r>
    </w:p>
    <w:p w14:paraId="5EBFA24B" w14:textId="2AF72B37" w:rsidR="001324E8" w:rsidRDefault="00FB224E" w:rsidP="00213CE7">
      <w:pPr>
        <w:pStyle w:val="ListParagraph"/>
        <w:numPr>
          <w:ilvl w:val="0"/>
          <w:numId w:val="14"/>
        </w:numPr>
      </w:pPr>
      <w:r>
        <w:t>Caratacus</w:t>
      </w:r>
      <w:r w:rsidR="001324E8" w:rsidRPr="001324E8">
        <w:t xml:space="preserve"> briefly appears as a minor character in the Robert Graves novel, Claudius the God. In the television adaptation of Graves's novels, he is portrayed in a brief appearance by Peter Bowles.</w:t>
      </w:r>
    </w:p>
    <w:p w14:paraId="2516D2A5" w14:textId="256983C7" w:rsidR="00151926" w:rsidRPr="00687CBC" w:rsidRDefault="00687CBC" w:rsidP="001324E8">
      <w:pPr>
        <w:ind w:left="360"/>
        <w:rPr>
          <w:b/>
          <w:bCs/>
        </w:rPr>
      </w:pPr>
      <w:r w:rsidRPr="00687CBC">
        <w:rPr>
          <w:b/>
          <w:bCs/>
          <w:u w:val="single"/>
        </w:rPr>
        <w:t xml:space="preserve">Slide 21: </w:t>
      </w:r>
      <w:r w:rsidR="00FB224E" w:rsidRPr="00687CBC">
        <w:rPr>
          <w:b/>
          <w:bCs/>
          <w:u w:val="single"/>
        </w:rPr>
        <w:t>Caratacus</w:t>
      </w:r>
      <w:r w:rsidR="00151926" w:rsidRPr="00687CBC">
        <w:rPr>
          <w:b/>
          <w:bCs/>
          <w:u w:val="single"/>
        </w:rPr>
        <w:t>: Chief of the Catuvellauni – Conclusion</w:t>
      </w:r>
    </w:p>
    <w:p w14:paraId="75967F73" w14:textId="77777777" w:rsidR="00F829D7" w:rsidRPr="00F829D7" w:rsidRDefault="00F829D7" w:rsidP="00F829D7">
      <w:pPr>
        <w:pStyle w:val="ListParagraph"/>
        <w:numPr>
          <w:ilvl w:val="0"/>
          <w:numId w:val="14"/>
        </w:numPr>
      </w:pPr>
      <w:r w:rsidRPr="00F829D7">
        <w:t>Interaction between Britain and the Roman World created substantial change in Britain. But not all Britons greeted the arrival of the Romans warmly.</w:t>
      </w:r>
    </w:p>
    <w:p w14:paraId="29A44B93" w14:textId="4C746B6E" w:rsidR="00F829D7" w:rsidRPr="00F829D7" w:rsidRDefault="00FB224E" w:rsidP="00F829D7">
      <w:pPr>
        <w:pStyle w:val="ListParagraph"/>
        <w:numPr>
          <w:ilvl w:val="0"/>
          <w:numId w:val="14"/>
        </w:numPr>
      </w:pPr>
      <w:r>
        <w:t>Caratacus</w:t>
      </w:r>
      <w:r w:rsidR="00F829D7" w:rsidRPr="00F829D7">
        <w:t xml:space="preserve"> and the Catuvellauni were among the chief opponents of Rome in the early years of the Roman occupation of Britain.  </w:t>
      </w:r>
    </w:p>
    <w:p w14:paraId="1EF4165A" w14:textId="1EEC8D3E" w:rsidR="00F829D7" w:rsidRPr="00F829D7" w:rsidRDefault="00F829D7" w:rsidP="00F829D7">
      <w:pPr>
        <w:pStyle w:val="ListParagraph"/>
        <w:numPr>
          <w:ilvl w:val="0"/>
          <w:numId w:val="14"/>
        </w:numPr>
      </w:pPr>
      <w:r w:rsidRPr="00F829D7">
        <w:t xml:space="preserve">Through the writing of Tacitus and Cassius Dio, </w:t>
      </w:r>
      <w:r w:rsidR="00FB224E">
        <w:t>Caratacus</w:t>
      </w:r>
      <w:r w:rsidRPr="00F829D7">
        <w:t xml:space="preserve"> is remembered as a valiant native British chieftain who fought repeatedly against the might of Rome, which had invaded his homeland.</w:t>
      </w:r>
    </w:p>
    <w:p w14:paraId="2657A11F" w14:textId="55ED9D06" w:rsidR="00F829D7" w:rsidRPr="00E4125F" w:rsidRDefault="00F829D7" w:rsidP="00E4125F">
      <w:pPr>
        <w:pStyle w:val="ListParagraph"/>
        <w:numPr>
          <w:ilvl w:val="0"/>
          <w:numId w:val="14"/>
        </w:numPr>
      </w:pPr>
      <w:r w:rsidRPr="00F829D7">
        <w:t xml:space="preserve">Because of this, </w:t>
      </w:r>
      <w:r w:rsidR="00FB224E">
        <w:t>Caratacus</w:t>
      </w:r>
      <w:r w:rsidRPr="00F829D7">
        <w:t xml:space="preserve"> has captured the imagination of British artists, writers and composers for centuries, and even formed part of recruiting efforts in Wales during the Great War 1914-18. </w:t>
      </w:r>
    </w:p>
    <w:p w14:paraId="54715834" w14:textId="2544BD24" w:rsidR="00151926" w:rsidRPr="00687CBC" w:rsidRDefault="00687CBC" w:rsidP="00213CE7">
      <w:pPr>
        <w:rPr>
          <w:b/>
          <w:bCs/>
          <w:u w:val="single"/>
        </w:rPr>
      </w:pPr>
      <w:r w:rsidRPr="00687CBC">
        <w:rPr>
          <w:b/>
          <w:bCs/>
          <w:u w:val="single"/>
        </w:rPr>
        <w:t xml:space="preserve">Slide 22: </w:t>
      </w:r>
      <w:r w:rsidR="00151926" w:rsidRPr="00687CBC">
        <w:rPr>
          <w:b/>
          <w:bCs/>
          <w:u w:val="single"/>
        </w:rPr>
        <w:t>Further Reading</w:t>
      </w:r>
    </w:p>
    <w:p w14:paraId="48504632" w14:textId="00FA1702" w:rsidR="00151926" w:rsidRPr="00151926" w:rsidRDefault="00151926" w:rsidP="00151926">
      <w:pPr>
        <w:pStyle w:val="ListParagraph"/>
        <w:numPr>
          <w:ilvl w:val="0"/>
          <w:numId w:val="6"/>
        </w:numPr>
      </w:pPr>
      <w:r w:rsidRPr="00151926">
        <w:t xml:space="preserve">Anon. (1904) </w:t>
      </w:r>
      <w:r w:rsidRPr="00151926">
        <w:rPr>
          <w:i/>
          <w:iCs/>
        </w:rPr>
        <w:t>The Welsh Historical Drama and How to Produce it. Being the Actual Experience of the Abergele County School Company in the Production of “</w:t>
      </w:r>
      <w:r w:rsidR="00FB224E">
        <w:rPr>
          <w:i/>
          <w:iCs/>
        </w:rPr>
        <w:t>Caratacus</w:t>
      </w:r>
      <w:r w:rsidRPr="00151926">
        <w:rPr>
          <w:i/>
          <w:iCs/>
        </w:rPr>
        <w:t xml:space="preserve">” (CARADOG). Illustrated by Flash-light Photographs Taken during an Actual Performance. </w:t>
      </w:r>
      <w:r w:rsidRPr="00151926">
        <w:t>Reprinted from “The Welsh Leader” February and March 1904. Caernarvon: Welsh Leader Office.</w:t>
      </w:r>
    </w:p>
    <w:p w14:paraId="4AA1CA33" w14:textId="77777777" w:rsidR="00151926" w:rsidRPr="00151926" w:rsidRDefault="00151926" w:rsidP="00151926">
      <w:pPr>
        <w:pStyle w:val="ListParagraph"/>
        <w:numPr>
          <w:ilvl w:val="0"/>
          <w:numId w:val="6"/>
        </w:numPr>
      </w:pPr>
      <w:r w:rsidRPr="00151926">
        <w:t>Bean, S. C. (2000). </w:t>
      </w:r>
      <w:r w:rsidRPr="00151926">
        <w:rPr>
          <w:i/>
          <w:iCs/>
        </w:rPr>
        <w:t>The Coinage of the Atrebates and the Regni</w:t>
      </w:r>
      <w:r w:rsidRPr="00151926">
        <w:t>. Oxford: Oxford University School of Archaeology.</w:t>
      </w:r>
    </w:p>
    <w:p w14:paraId="3BD6DECB" w14:textId="77777777" w:rsidR="00151926" w:rsidRPr="00151926" w:rsidRDefault="00151926" w:rsidP="00151926">
      <w:pPr>
        <w:pStyle w:val="ListParagraph"/>
        <w:numPr>
          <w:ilvl w:val="0"/>
          <w:numId w:val="6"/>
        </w:numPr>
      </w:pPr>
      <w:r w:rsidRPr="00151926">
        <w:t>Braund, D. (1996). </w:t>
      </w:r>
      <w:r w:rsidRPr="00151926">
        <w:rPr>
          <w:i/>
          <w:iCs/>
        </w:rPr>
        <w:t>Ruling Roman Britain: Kings, Queens, Governors and Emperors from Julius Caesar to Agricola</w:t>
      </w:r>
      <w:r w:rsidRPr="00151926">
        <w:t>. Abingdon: Routledge.</w:t>
      </w:r>
    </w:p>
    <w:p w14:paraId="3D2DEA89" w14:textId="77777777" w:rsidR="00151926" w:rsidRPr="00151926" w:rsidRDefault="00151926" w:rsidP="00151926">
      <w:pPr>
        <w:pStyle w:val="ListParagraph"/>
        <w:numPr>
          <w:ilvl w:val="0"/>
          <w:numId w:val="6"/>
        </w:numPr>
      </w:pPr>
      <w:r w:rsidRPr="00151926">
        <w:t>Carver, E. (2001). </w:t>
      </w:r>
      <w:r w:rsidRPr="00151926">
        <w:rPr>
          <w:i/>
          <w:iCs/>
        </w:rPr>
        <w:t>The Visibility of Imported Wine and its Associated Accoutrements in Later Iron Age Britain</w:t>
      </w:r>
      <w:r w:rsidRPr="00151926">
        <w:t>. British Archaeological Reports, British Series 325. Oxford: Archaeopress.</w:t>
      </w:r>
    </w:p>
    <w:p w14:paraId="258B6CFA" w14:textId="77777777" w:rsidR="00151926" w:rsidRPr="00151926" w:rsidRDefault="00151926" w:rsidP="00151926">
      <w:pPr>
        <w:pStyle w:val="ListParagraph"/>
        <w:numPr>
          <w:ilvl w:val="0"/>
          <w:numId w:val="6"/>
        </w:numPr>
      </w:pPr>
      <w:r w:rsidRPr="00151926">
        <w:t>Cooley, A. (2009). </w:t>
      </w:r>
      <w:r w:rsidRPr="00151926">
        <w:rPr>
          <w:i/>
          <w:iCs/>
        </w:rPr>
        <w:t>Res gestae divi Augusti: Text, translation, and commentary</w:t>
      </w:r>
      <w:r w:rsidRPr="00151926">
        <w:t xml:space="preserve">. Cambridge: Cambridge University Press. </w:t>
      </w:r>
    </w:p>
    <w:p w14:paraId="70E0792D" w14:textId="77777777" w:rsidR="00151926" w:rsidRPr="00151926" w:rsidRDefault="00151926" w:rsidP="00151926">
      <w:pPr>
        <w:pStyle w:val="ListParagraph"/>
        <w:numPr>
          <w:ilvl w:val="0"/>
          <w:numId w:val="6"/>
        </w:numPr>
      </w:pPr>
      <w:r w:rsidRPr="00151926">
        <w:t>Creighton, J. (2000). </w:t>
      </w:r>
      <w:r w:rsidRPr="00151926">
        <w:rPr>
          <w:i/>
          <w:iCs/>
        </w:rPr>
        <w:t>Coins and Power in Late Iron Age Britain</w:t>
      </w:r>
      <w:r w:rsidRPr="00151926">
        <w:t xml:space="preserve">. Cambridge: Cambridge University Press. </w:t>
      </w:r>
    </w:p>
    <w:p w14:paraId="6E95A2B0" w14:textId="77777777" w:rsidR="00151926" w:rsidRPr="00151926" w:rsidRDefault="00151926" w:rsidP="00151926">
      <w:pPr>
        <w:pStyle w:val="ListParagraph"/>
        <w:numPr>
          <w:ilvl w:val="0"/>
          <w:numId w:val="6"/>
        </w:numPr>
      </w:pPr>
      <w:r w:rsidRPr="00151926">
        <w:t xml:space="preserve">Champion, C. (2016). Britain before the Romans. In M. Millett, L. Revell, &amp; A. Moore (Eds.), </w:t>
      </w:r>
      <w:r w:rsidRPr="00151926">
        <w:rPr>
          <w:i/>
          <w:iCs/>
        </w:rPr>
        <w:t>The Oxford Handbook of Roman Britain</w:t>
      </w:r>
      <w:r w:rsidRPr="00151926">
        <w:t xml:space="preserve"> (pp. 150-178). Oxford: Oxford University Press.</w:t>
      </w:r>
    </w:p>
    <w:p w14:paraId="7D8F3724" w14:textId="77777777" w:rsidR="00151926" w:rsidRPr="00151926" w:rsidRDefault="00151926" w:rsidP="00151926">
      <w:pPr>
        <w:pStyle w:val="ListParagraph"/>
        <w:numPr>
          <w:ilvl w:val="0"/>
          <w:numId w:val="6"/>
        </w:numPr>
      </w:pPr>
      <w:r w:rsidRPr="00151926">
        <w:t>Creighton, J. (2006). </w:t>
      </w:r>
      <w:r w:rsidRPr="00151926">
        <w:rPr>
          <w:i/>
          <w:iCs/>
        </w:rPr>
        <w:t>Britannia: The Creation of a Roman Province</w:t>
      </w:r>
      <w:r w:rsidRPr="00151926">
        <w:t>. London: Routledge.</w:t>
      </w:r>
    </w:p>
    <w:p w14:paraId="7A434DFF" w14:textId="77777777" w:rsidR="00151926" w:rsidRPr="00151926" w:rsidRDefault="00151926" w:rsidP="00151926">
      <w:pPr>
        <w:pStyle w:val="ListParagraph"/>
        <w:numPr>
          <w:ilvl w:val="0"/>
          <w:numId w:val="6"/>
        </w:numPr>
      </w:pPr>
      <w:r w:rsidRPr="00151926">
        <w:lastRenderedPageBreak/>
        <w:t>Crummy, P. (2007). </w:t>
      </w:r>
      <w:r w:rsidRPr="00151926">
        <w:rPr>
          <w:i/>
          <w:iCs/>
        </w:rPr>
        <w:t>Stanway: An Élite Burial Site at Camulodunum</w:t>
      </w:r>
      <w:r w:rsidRPr="00151926">
        <w:t>. London: Society for the Promotion of Roman Studies.</w:t>
      </w:r>
    </w:p>
    <w:p w14:paraId="03141B76" w14:textId="6F8BCFE3" w:rsidR="00151926" w:rsidRPr="00151926" w:rsidRDefault="00151926" w:rsidP="00151926">
      <w:pPr>
        <w:pStyle w:val="ListParagraph"/>
        <w:numPr>
          <w:ilvl w:val="0"/>
          <w:numId w:val="6"/>
        </w:numPr>
      </w:pPr>
      <w:r w:rsidRPr="00151926">
        <w:t xml:space="preserve">Elgar, Edward (1898) </w:t>
      </w:r>
      <w:r w:rsidR="00FB224E">
        <w:rPr>
          <w:i/>
          <w:iCs/>
        </w:rPr>
        <w:t>Caratacus</w:t>
      </w:r>
      <w:r w:rsidRPr="00151926">
        <w:rPr>
          <w:i/>
          <w:iCs/>
        </w:rPr>
        <w:t>: A Cantata for Soprano, Tenor, Baritone, and Bass Soli, Chorus and Orchestra, the Words Written for Music by H.A. Acworth, the Music by Edward Elgar (Op. 35), Choruses Only, with Words of Solos, Translated into Tonic Sol-Fa Notation by W.G. McNaught</w:t>
      </w:r>
      <w:r w:rsidRPr="00151926">
        <w:t>. London and New York: Novello</w:t>
      </w:r>
    </w:p>
    <w:p w14:paraId="356E4008" w14:textId="77777777" w:rsidR="00151926" w:rsidRPr="00151926" w:rsidRDefault="00151926" w:rsidP="00151926">
      <w:pPr>
        <w:pStyle w:val="ListParagraph"/>
        <w:numPr>
          <w:ilvl w:val="0"/>
          <w:numId w:val="6"/>
        </w:numPr>
      </w:pPr>
      <w:r w:rsidRPr="00151926">
        <w:t xml:space="preserve">Hall, E., &amp; Stead, H. (2020). </w:t>
      </w:r>
      <w:r w:rsidRPr="00151926">
        <w:rPr>
          <w:i/>
          <w:iCs/>
        </w:rPr>
        <w:t>A People's History of Classics: Class and Greco-Roman Antiquity in Britain and Ireland 1689 to 1939.</w:t>
      </w:r>
      <w:r w:rsidRPr="00151926">
        <w:t xml:space="preserve"> Abingdon-on-Thames: Routledge.</w:t>
      </w:r>
    </w:p>
    <w:p w14:paraId="619B354B" w14:textId="2F64EB45" w:rsidR="00151926" w:rsidRPr="00151926" w:rsidRDefault="00151926" w:rsidP="00151926">
      <w:pPr>
        <w:pStyle w:val="ListParagraph"/>
        <w:numPr>
          <w:ilvl w:val="0"/>
          <w:numId w:val="6"/>
        </w:numPr>
      </w:pPr>
      <w:r w:rsidRPr="00151926">
        <w:t xml:space="preserve">Hall, E. (2020). British Imperialist and/or Avatar of Welshness?: </w:t>
      </w:r>
      <w:r w:rsidR="00FB224E">
        <w:t>Caratacus</w:t>
      </w:r>
      <w:r w:rsidRPr="00151926">
        <w:t xml:space="preserve"> Performances in the Long Nineteenth Century. In F. Kaminski-Jones, &amp; R. Kaminski-Jones (Eds.), </w:t>
      </w:r>
      <w:r w:rsidRPr="00151926">
        <w:rPr>
          <w:i/>
          <w:iCs/>
        </w:rPr>
        <w:t>Celts, Romans, Britons: Classical and Celtic Influence in the Construction of British Identities</w:t>
      </w:r>
      <w:r w:rsidRPr="00151926">
        <w:t xml:space="preserve"> (pp. 141-159). Oxford: Oxford University Press.</w:t>
      </w:r>
    </w:p>
    <w:p w14:paraId="1A586C8B" w14:textId="6F273815" w:rsidR="00151926" w:rsidRPr="00151926" w:rsidRDefault="00151926" w:rsidP="00151926">
      <w:pPr>
        <w:pStyle w:val="ListParagraph"/>
        <w:numPr>
          <w:ilvl w:val="0"/>
          <w:numId w:val="6"/>
        </w:numPr>
      </w:pPr>
      <w:r w:rsidRPr="00151926">
        <w:t xml:space="preserve">McGuire, Charles Edward (2007) ‘Elgar and Acworth’s </w:t>
      </w:r>
      <w:r w:rsidR="00FB224E">
        <w:t>Caratacus</w:t>
      </w:r>
      <w:r w:rsidRPr="00151926">
        <w:t xml:space="preserve">: The druids, race and the individual hero’, In: </w:t>
      </w:r>
      <w:r w:rsidRPr="00151926">
        <w:rPr>
          <w:i/>
          <w:iCs/>
        </w:rPr>
        <w:t>Elgar Studies</w:t>
      </w:r>
      <w:r w:rsidRPr="00151926">
        <w:t>, J.P.E. Harper-Scott and Julian Rushton (eds.), Cambridge: CUP, 50–77.</w:t>
      </w:r>
    </w:p>
    <w:p w14:paraId="4D48D25C" w14:textId="551EA368" w:rsidR="00151926" w:rsidRPr="00151926" w:rsidRDefault="00151926" w:rsidP="00151926">
      <w:pPr>
        <w:pStyle w:val="ListParagraph"/>
        <w:numPr>
          <w:ilvl w:val="0"/>
          <w:numId w:val="6"/>
        </w:numPr>
      </w:pPr>
      <w:r w:rsidRPr="00151926">
        <w:t xml:space="preserve">Turner, H.E., Herbert Longhurst and Geo. G. Lewis (1924) </w:t>
      </w:r>
      <w:r w:rsidR="00FB224E">
        <w:rPr>
          <w:i/>
          <w:iCs/>
        </w:rPr>
        <w:t>Caratacus</w:t>
      </w:r>
      <w:r w:rsidRPr="00151926">
        <w:rPr>
          <w:i/>
          <w:iCs/>
        </w:rPr>
        <w:t>: A Juvenile Operetta for Boys and Girls and Infants. Words by H.E. Turner. Music by Herbert Longhurst and Geo. G. Lewis</w:t>
      </w:r>
      <w:r w:rsidRPr="00151926">
        <w:t>. London and Philadelphia, Pennsylvania: J. Curwen/Curwen Inc.</w:t>
      </w:r>
    </w:p>
    <w:p w14:paraId="61898F4D" w14:textId="320CA83D" w:rsidR="00151926" w:rsidRPr="00687CBC" w:rsidRDefault="00151926" w:rsidP="00D93701">
      <w:pPr>
        <w:pStyle w:val="ListParagraph"/>
        <w:numPr>
          <w:ilvl w:val="0"/>
          <w:numId w:val="6"/>
        </w:numPr>
        <w:ind w:left="360"/>
        <w:rPr>
          <w:u w:val="single"/>
        </w:rPr>
      </w:pPr>
      <w:r w:rsidRPr="00151926">
        <w:t xml:space="preserve">Young, D. (2021). </w:t>
      </w:r>
      <w:r w:rsidRPr="00687CBC">
        <w:rPr>
          <w:i/>
          <w:iCs/>
        </w:rPr>
        <w:t>Battle of Medway: Vespasian and the Roman Conquest of Britain in 43 AD</w:t>
      </w:r>
      <w:r w:rsidRPr="00151926">
        <w:t>. Retrieved from BritishBattles.com: https://www.britishbattles.com/wars-of-roman-britain/battle-of-medway/</w:t>
      </w:r>
    </w:p>
    <w:p w14:paraId="4FC89E1D" w14:textId="77777777" w:rsidR="00213CE7" w:rsidRPr="00BA2D5D" w:rsidRDefault="00213CE7" w:rsidP="00213CE7"/>
    <w:p w14:paraId="5DEFC5A3" w14:textId="17B62B52" w:rsidR="007A58A7" w:rsidRDefault="007A58A7" w:rsidP="00064D64"/>
    <w:sectPr w:rsidR="007A58A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E6F5A"/>
    <w:multiLevelType w:val="hybridMultilevel"/>
    <w:tmpl w:val="3FBA33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B02BE3"/>
    <w:multiLevelType w:val="hybridMultilevel"/>
    <w:tmpl w:val="A5228B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CE5B4E"/>
    <w:multiLevelType w:val="hybridMultilevel"/>
    <w:tmpl w:val="EE0268C8"/>
    <w:lvl w:ilvl="0" w:tplc="3640C540">
      <w:start w:val="1"/>
      <w:numFmt w:val="bullet"/>
      <w:lvlText w:val="•"/>
      <w:lvlJc w:val="left"/>
      <w:pPr>
        <w:tabs>
          <w:tab w:val="num" w:pos="720"/>
        </w:tabs>
        <w:ind w:left="720" w:hanging="360"/>
      </w:pPr>
      <w:rPr>
        <w:rFonts w:ascii="Arial" w:hAnsi="Arial" w:hint="default"/>
      </w:rPr>
    </w:lvl>
    <w:lvl w:ilvl="1" w:tplc="CBC873DA" w:tentative="1">
      <w:start w:val="1"/>
      <w:numFmt w:val="bullet"/>
      <w:lvlText w:val="•"/>
      <w:lvlJc w:val="left"/>
      <w:pPr>
        <w:tabs>
          <w:tab w:val="num" w:pos="1440"/>
        </w:tabs>
        <w:ind w:left="1440" w:hanging="360"/>
      </w:pPr>
      <w:rPr>
        <w:rFonts w:ascii="Arial" w:hAnsi="Arial" w:hint="default"/>
      </w:rPr>
    </w:lvl>
    <w:lvl w:ilvl="2" w:tplc="0E52CC4A" w:tentative="1">
      <w:start w:val="1"/>
      <w:numFmt w:val="bullet"/>
      <w:lvlText w:val="•"/>
      <w:lvlJc w:val="left"/>
      <w:pPr>
        <w:tabs>
          <w:tab w:val="num" w:pos="2160"/>
        </w:tabs>
        <w:ind w:left="2160" w:hanging="360"/>
      </w:pPr>
      <w:rPr>
        <w:rFonts w:ascii="Arial" w:hAnsi="Arial" w:hint="default"/>
      </w:rPr>
    </w:lvl>
    <w:lvl w:ilvl="3" w:tplc="BE9C1FAA" w:tentative="1">
      <w:start w:val="1"/>
      <w:numFmt w:val="bullet"/>
      <w:lvlText w:val="•"/>
      <w:lvlJc w:val="left"/>
      <w:pPr>
        <w:tabs>
          <w:tab w:val="num" w:pos="2880"/>
        </w:tabs>
        <w:ind w:left="2880" w:hanging="360"/>
      </w:pPr>
      <w:rPr>
        <w:rFonts w:ascii="Arial" w:hAnsi="Arial" w:hint="default"/>
      </w:rPr>
    </w:lvl>
    <w:lvl w:ilvl="4" w:tplc="4052E016" w:tentative="1">
      <w:start w:val="1"/>
      <w:numFmt w:val="bullet"/>
      <w:lvlText w:val="•"/>
      <w:lvlJc w:val="left"/>
      <w:pPr>
        <w:tabs>
          <w:tab w:val="num" w:pos="3600"/>
        </w:tabs>
        <w:ind w:left="3600" w:hanging="360"/>
      </w:pPr>
      <w:rPr>
        <w:rFonts w:ascii="Arial" w:hAnsi="Arial" w:hint="default"/>
      </w:rPr>
    </w:lvl>
    <w:lvl w:ilvl="5" w:tplc="604A58E4" w:tentative="1">
      <w:start w:val="1"/>
      <w:numFmt w:val="bullet"/>
      <w:lvlText w:val="•"/>
      <w:lvlJc w:val="left"/>
      <w:pPr>
        <w:tabs>
          <w:tab w:val="num" w:pos="4320"/>
        </w:tabs>
        <w:ind w:left="4320" w:hanging="360"/>
      </w:pPr>
      <w:rPr>
        <w:rFonts w:ascii="Arial" w:hAnsi="Arial" w:hint="default"/>
      </w:rPr>
    </w:lvl>
    <w:lvl w:ilvl="6" w:tplc="758C084C" w:tentative="1">
      <w:start w:val="1"/>
      <w:numFmt w:val="bullet"/>
      <w:lvlText w:val="•"/>
      <w:lvlJc w:val="left"/>
      <w:pPr>
        <w:tabs>
          <w:tab w:val="num" w:pos="5040"/>
        </w:tabs>
        <w:ind w:left="5040" w:hanging="360"/>
      </w:pPr>
      <w:rPr>
        <w:rFonts w:ascii="Arial" w:hAnsi="Arial" w:hint="default"/>
      </w:rPr>
    </w:lvl>
    <w:lvl w:ilvl="7" w:tplc="92F430B0" w:tentative="1">
      <w:start w:val="1"/>
      <w:numFmt w:val="bullet"/>
      <w:lvlText w:val="•"/>
      <w:lvlJc w:val="left"/>
      <w:pPr>
        <w:tabs>
          <w:tab w:val="num" w:pos="5760"/>
        </w:tabs>
        <w:ind w:left="5760" w:hanging="360"/>
      </w:pPr>
      <w:rPr>
        <w:rFonts w:ascii="Arial" w:hAnsi="Arial" w:hint="default"/>
      </w:rPr>
    </w:lvl>
    <w:lvl w:ilvl="8" w:tplc="4402851A"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11F17C6A"/>
    <w:multiLevelType w:val="hybridMultilevel"/>
    <w:tmpl w:val="7A963070"/>
    <w:lvl w:ilvl="0" w:tplc="A8508260">
      <w:start w:val="1"/>
      <w:numFmt w:val="bullet"/>
      <w:lvlText w:val="•"/>
      <w:lvlJc w:val="left"/>
      <w:pPr>
        <w:tabs>
          <w:tab w:val="num" w:pos="720"/>
        </w:tabs>
        <w:ind w:left="720" w:hanging="360"/>
      </w:pPr>
      <w:rPr>
        <w:rFonts w:ascii="Arial" w:hAnsi="Arial" w:hint="default"/>
      </w:rPr>
    </w:lvl>
    <w:lvl w:ilvl="1" w:tplc="16AC0588" w:tentative="1">
      <w:start w:val="1"/>
      <w:numFmt w:val="bullet"/>
      <w:lvlText w:val="•"/>
      <w:lvlJc w:val="left"/>
      <w:pPr>
        <w:tabs>
          <w:tab w:val="num" w:pos="1440"/>
        </w:tabs>
        <w:ind w:left="1440" w:hanging="360"/>
      </w:pPr>
      <w:rPr>
        <w:rFonts w:ascii="Arial" w:hAnsi="Arial" w:hint="default"/>
      </w:rPr>
    </w:lvl>
    <w:lvl w:ilvl="2" w:tplc="A170EBFE" w:tentative="1">
      <w:start w:val="1"/>
      <w:numFmt w:val="bullet"/>
      <w:lvlText w:val="•"/>
      <w:lvlJc w:val="left"/>
      <w:pPr>
        <w:tabs>
          <w:tab w:val="num" w:pos="2160"/>
        </w:tabs>
        <w:ind w:left="2160" w:hanging="360"/>
      </w:pPr>
      <w:rPr>
        <w:rFonts w:ascii="Arial" w:hAnsi="Arial" w:hint="default"/>
      </w:rPr>
    </w:lvl>
    <w:lvl w:ilvl="3" w:tplc="22DE2BD2" w:tentative="1">
      <w:start w:val="1"/>
      <w:numFmt w:val="bullet"/>
      <w:lvlText w:val="•"/>
      <w:lvlJc w:val="left"/>
      <w:pPr>
        <w:tabs>
          <w:tab w:val="num" w:pos="2880"/>
        </w:tabs>
        <w:ind w:left="2880" w:hanging="360"/>
      </w:pPr>
      <w:rPr>
        <w:rFonts w:ascii="Arial" w:hAnsi="Arial" w:hint="default"/>
      </w:rPr>
    </w:lvl>
    <w:lvl w:ilvl="4" w:tplc="5FEE9B68" w:tentative="1">
      <w:start w:val="1"/>
      <w:numFmt w:val="bullet"/>
      <w:lvlText w:val="•"/>
      <w:lvlJc w:val="left"/>
      <w:pPr>
        <w:tabs>
          <w:tab w:val="num" w:pos="3600"/>
        </w:tabs>
        <w:ind w:left="3600" w:hanging="360"/>
      </w:pPr>
      <w:rPr>
        <w:rFonts w:ascii="Arial" w:hAnsi="Arial" w:hint="default"/>
      </w:rPr>
    </w:lvl>
    <w:lvl w:ilvl="5" w:tplc="635AFBBA" w:tentative="1">
      <w:start w:val="1"/>
      <w:numFmt w:val="bullet"/>
      <w:lvlText w:val="•"/>
      <w:lvlJc w:val="left"/>
      <w:pPr>
        <w:tabs>
          <w:tab w:val="num" w:pos="4320"/>
        </w:tabs>
        <w:ind w:left="4320" w:hanging="360"/>
      </w:pPr>
      <w:rPr>
        <w:rFonts w:ascii="Arial" w:hAnsi="Arial" w:hint="default"/>
      </w:rPr>
    </w:lvl>
    <w:lvl w:ilvl="6" w:tplc="BC827C3A" w:tentative="1">
      <w:start w:val="1"/>
      <w:numFmt w:val="bullet"/>
      <w:lvlText w:val="•"/>
      <w:lvlJc w:val="left"/>
      <w:pPr>
        <w:tabs>
          <w:tab w:val="num" w:pos="5040"/>
        </w:tabs>
        <w:ind w:left="5040" w:hanging="360"/>
      </w:pPr>
      <w:rPr>
        <w:rFonts w:ascii="Arial" w:hAnsi="Arial" w:hint="default"/>
      </w:rPr>
    </w:lvl>
    <w:lvl w:ilvl="7" w:tplc="2084B14C" w:tentative="1">
      <w:start w:val="1"/>
      <w:numFmt w:val="bullet"/>
      <w:lvlText w:val="•"/>
      <w:lvlJc w:val="left"/>
      <w:pPr>
        <w:tabs>
          <w:tab w:val="num" w:pos="5760"/>
        </w:tabs>
        <w:ind w:left="5760" w:hanging="360"/>
      </w:pPr>
      <w:rPr>
        <w:rFonts w:ascii="Arial" w:hAnsi="Arial" w:hint="default"/>
      </w:rPr>
    </w:lvl>
    <w:lvl w:ilvl="8" w:tplc="3D425948"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33A73E0A"/>
    <w:multiLevelType w:val="hybridMultilevel"/>
    <w:tmpl w:val="6DBC3F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45431DB"/>
    <w:multiLevelType w:val="hybridMultilevel"/>
    <w:tmpl w:val="9F44A3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66211DB"/>
    <w:multiLevelType w:val="hybridMultilevel"/>
    <w:tmpl w:val="69F8B1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7B268BF"/>
    <w:multiLevelType w:val="hybridMultilevel"/>
    <w:tmpl w:val="5A946414"/>
    <w:lvl w:ilvl="0" w:tplc="AAB8EE8C">
      <w:start w:val="1"/>
      <w:numFmt w:val="bullet"/>
      <w:lvlText w:val="•"/>
      <w:lvlJc w:val="left"/>
      <w:pPr>
        <w:tabs>
          <w:tab w:val="num" w:pos="720"/>
        </w:tabs>
        <w:ind w:left="720" w:hanging="360"/>
      </w:pPr>
      <w:rPr>
        <w:rFonts w:ascii="Arial" w:hAnsi="Arial" w:hint="default"/>
      </w:rPr>
    </w:lvl>
    <w:lvl w:ilvl="1" w:tplc="21922880" w:tentative="1">
      <w:start w:val="1"/>
      <w:numFmt w:val="bullet"/>
      <w:lvlText w:val="•"/>
      <w:lvlJc w:val="left"/>
      <w:pPr>
        <w:tabs>
          <w:tab w:val="num" w:pos="1440"/>
        </w:tabs>
        <w:ind w:left="1440" w:hanging="360"/>
      </w:pPr>
      <w:rPr>
        <w:rFonts w:ascii="Arial" w:hAnsi="Arial" w:hint="default"/>
      </w:rPr>
    </w:lvl>
    <w:lvl w:ilvl="2" w:tplc="1D4AEED2" w:tentative="1">
      <w:start w:val="1"/>
      <w:numFmt w:val="bullet"/>
      <w:lvlText w:val="•"/>
      <w:lvlJc w:val="left"/>
      <w:pPr>
        <w:tabs>
          <w:tab w:val="num" w:pos="2160"/>
        </w:tabs>
        <w:ind w:left="2160" w:hanging="360"/>
      </w:pPr>
      <w:rPr>
        <w:rFonts w:ascii="Arial" w:hAnsi="Arial" w:hint="default"/>
      </w:rPr>
    </w:lvl>
    <w:lvl w:ilvl="3" w:tplc="731EE79A" w:tentative="1">
      <w:start w:val="1"/>
      <w:numFmt w:val="bullet"/>
      <w:lvlText w:val="•"/>
      <w:lvlJc w:val="left"/>
      <w:pPr>
        <w:tabs>
          <w:tab w:val="num" w:pos="2880"/>
        </w:tabs>
        <w:ind w:left="2880" w:hanging="360"/>
      </w:pPr>
      <w:rPr>
        <w:rFonts w:ascii="Arial" w:hAnsi="Arial" w:hint="default"/>
      </w:rPr>
    </w:lvl>
    <w:lvl w:ilvl="4" w:tplc="A5483A7C" w:tentative="1">
      <w:start w:val="1"/>
      <w:numFmt w:val="bullet"/>
      <w:lvlText w:val="•"/>
      <w:lvlJc w:val="left"/>
      <w:pPr>
        <w:tabs>
          <w:tab w:val="num" w:pos="3600"/>
        </w:tabs>
        <w:ind w:left="3600" w:hanging="360"/>
      </w:pPr>
      <w:rPr>
        <w:rFonts w:ascii="Arial" w:hAnsi="Arial" w:hint="default"/>
      </w:rPr>
    </w:lvl>
    <w:lvl w:ilvl="5" w:tplc="2572F4B2" w:tentative="1">
      <w:start w:val="1"/>
      <w:numFmt w:val="bullet"/>
      <w:lvlText w:val="•"/>
      <w:lvlJc w:val="left"/>
      <w:pPr>
        <w:tabs>
          <w:tab w:val="num" w:pos="4320"/>
        </w:tabs>
        <w:ind w:left="4320" w:hanging="360"/>
      </w:pPr>
      <w:rPr>
        <w:rFonts w:ascii="Arial" w:hAnsi="Arial" w:hint="default"/>
      </w:rPr>
    </w:lvl>
    <w:lvl w:ilvl="6" w:tplc="DC2C1E86" w:tentative="1">
      <w:start w:val="1"/>
      <w:numFmt w:val="bullet"/>
      <w:lvlText w:val="•"/>
      <w:lvlJc w:val="left"/>
      <w:pPr>
        <w:tabs>
          <w:tab w:val="num" w:pos="5040"/>
        </w:tabs>
        <w:ind w:left="5040" w:hanging="360"/>
      </w:pPr>
      <w:rPr>
        <w:rFonts w:ascii="Arial" w:hAnsi="Arial" w:hint="default"/>
      </w:rPr>
    </w:lvl>
    <w:lvl w:ilvl="7" w:tplc="6276D354" w:tentative="1">
      <w:start w:val="1"/>
      <w:numFmt w:val="bullet"/>
      <w:lvlText w:val="•"/>
      <w:lvlJc w:val="left"/>
      <w:pPr>
        <w:tabs>
          <w:tab w:val="num" w:pos="5760"/>
        </w:tabs>
        <w:ind w:left="5760" w:hanging="360"/>
      </w:pPr>
      <w:rPr>
        <w:rFonts w:ascii="Arial" w:hAnsi="Arial" w:hint="default"/>
      </w:rPr>
    </w:lvl>
    <w:lvl w:ilvl="8" w:tplc="EF30B9EE"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3DE66C5F"/>
    <w:multiLevelType w:val="hybridMultilevel"/>
    <w:tmpl w:val="72302F6A"/>
    <w:lvl w:ilvl="0" w:tplc="6FC2D6A6">
      <w:start w:val="1"/>
      <w:numFmt w:val="bullet"/>
      <w:lvlText w:val="•"/>
      <w:lvlJc w:val="left"/>
      <w:pPr>
        <w:tabs>
          <w:tab w:val="num" w:pos="720"/>
        </w:tabs>
        <w:ind w:left="720" w:hanging="360"/>
      </w:pPr>
      <w:rPr>
        <w:rFonts w:ascii="Arial" w:hAnsi="Arial" w:hint="default"/>
      </w:rPr>
    </w:lvl>
    <w:lvl w:ilvl="1" w:tplc="3846611E" w:tentative="1">
      <w:start w:val="1"/>
      <w:numFmt w:val="bullet"/>
      <w:lvlText w:val="•"/>
      <w:lvlJc w:val="left"/>
      <w:pPr>
        <w:tabs>
          <w:tab w:val="num" w:pos="1440"/>
        </w:tabs>
        <w:ind w:left="1440" w:hanging="360"/>
      </w:pPr>
      <w:rPr>
        <w:rFonts w:ascii="Arial" w:hAnsi="Arial" w:hint="default"/>
      </w:rPr>
    </w:lvl>
    <w:lvl w:ilvl="2" w:tplc="38321FD6" w:tentative="1">
      <w:start w:val="1"/>
      <w:numFmt w:val="bullet"/>
      <w:lvlText w:val="•"/>
      <w:lvlJc w:val="left"/>
      <w:pPr>
        <w:tabs>
          <w:tab w:val="num" w:pos="2160"/>
        </w:tabs>
        <w:ind w:left="2160" w:hanging="360"/>
      </w:pPr>
      <w:rPr>
        <w:rFonts w:ascii="Arial" w:hAnsi="Arial" w:hint="default"/>
      </w:rPr>
    </w:lvl>
    <w:lvl w:ilvl="3" w:tplc="9C76D20A" w:tentative="1">
      <w:start w:val="1"/>
      <w:numFmt w:val="bullet"/>
      <w:lvlText w:val="•"/>
      <w:lvlJc w:val="left"/>
      <w:pPr>
        <w:tabs>
          <w:tab w:val="num" w:pos="2880"/>
        </w:tabs>
        <w:ind w:left="2880" w:hanging="360"/>
      </w:pPr>
      <w:rPr>
        <w:rFonts w:ascii="Arial" w:hAnsi="Arial" w:hint="default"/>
      </w:rPr>
    </w:lvl>
    <w:lvl w:ilvl="4" w:tplc="4520719C" w:tentative="1">
      <w:start w:val="1"/>
      <w:numFmt w:val="bullet"/>
      <w:lvlText w:val="•"/>
      <w:lvlJc w:val="left"/>
      <w:pPr>
        <w:tabs>
          <w:tab w:val="num" w:pos="3600"/>
        </w:tabs>
        <w:ind w:left="3600" w:hanging="360"/>
      </w:pPr>
      <w:rPr>
        <w:rFonts w:ascii="Arial" w:hAnsi="Arial" w:hint="default"/>
      </w:rPr>
    </w:lvl>
    <w:lvl w:ilvl="5" w:tplc="E222EE76" w:tentative="1">
      <w:start w:val="1"/>
      <w:numFmt w:val="bullet"/>
      <w:lvlText w:val="•"/>
      <w:lvlJc w:val="left"/>
      <w:pPr>
        <w:tabs>
          <w:tab w:val="num" w:pos="4320"/>
        </w:tabs>
        <w:ind w:left="4320" w:hanging="360"/>
      </w:pPr>
      <w:rPr>
        <w:rFonts w:ascii="Arial" w:hAnsi="Arial" w:hint="default"/>
      </w:rPr>
    </w:lvl>
    <w:lvl w:ilvl="6" w:tplc="ADB6B56C" w:tentative="1">
      <w:start w:val="1"/>
      <w:numFmt w:val="bullet"/>
      <w:lvlText w:val="•"/>
      <w:lvlJc w:val="left"/>
      <w:pPr>
        <w:tabs>
          <w:tab w:val="num" w:pos="5040"/>
        </w:tabs>
        <w:ind w:left="5040" w:hanging="360"/>
      </w:pPr>
      <w:rPr>
        <w:rFonts w:ascii="Arial" w:hAnsi="Arial" w:hint="default"/>
      </w:rPr>
    </w:lvl>
    <w:lvl w:ilvl="7" w:tplc="943C303A" w:tentative="1">
      <w:start w:val="1"/>
      <w:numFmt w:val="bullet"/>
      <w:lvlText w:val="•"/>
      <w:lvlJc w:val="left"/>
      <w:pPr>
        <w:tabs>
          <w:tab w:val="num" w:pos="5760"/>
        </w:tabs>
        <w:ind w:left="5760" w:hanging="360"/>
      </w:pPr>
      <w:rPr>
        <w:rFonts w:ascii="Arial" w:hAnsi="Arial" w:hint="default"/>
      </w:rPr>
    </w:lvl>
    <w:lvl w:ilvl="8" w:tplc="9BCC5BB4"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43704F77"/>
    <w:multiLevelType w:val="hybridMultilevel"/>
    <w:tmpl w:val="A0EC2C96"/>
    <w:lvl w:ilvl="0" w:tplc="C26E79C6">
      <w:start w:val="1"/>
      <w:numFmt w:val="bullet"/>
      <w:lvlText w:val="•"/>
      <w:lvlJc w:val="left"/>
      <w:pPr>
        <w:tabs>
          <w:tab w:val="num" w:pos="720"/>
        </w:tabs>
        <w:ind w:left="720" w:hanging="360"/>
      </w:pPr>
      <w:rPr>
        <w:rFonts w:ascii="Arial" w:hAnsi="Arial" w:hint="default"/>
      </w:rPr>
    </w:lvl>
    <w:lvl w:ilvl="1" w:tplc="0D54AF1E" w:tentative="1">
      <w:start w:val="1"/>
      <w:numFmt w:val="bullet"/>
      <w:lvlText w:val="•"/>
      <w:lvlJc w:val="left"/>
      <w:pPr>
        <w:tabs>
          <w:tab w:val="num" w:pos="1440"/>
        </w:tabs>
        <w:ind w:left="1440" w:hanging="360"/>
      </w:pPr>
      <w:rPr>
        <w:rFonts w:ascii="Arial" w:hAnsi="Arial" w:hint="default"/>
      </w:rPr>
    </w:lvl>
    <w:lvl w:ilvl="2" w:tplc="827093C8" w:tentative="1">
      <w:start w:val="1"/>
      <w:numFmt w:val="bullet"/>
      <w:lvlText w:val="•"/>
      <w:lvlJc w:val="left"/>
      <w:pPr>
        <w:tabs>
          <w:tab w:val="num" w:pos="2160"/>
        </w:tabs>
        <w:ind w:left="2160" w:hanging="360"/>
      </w:pPr>
      <w:rPr>
        <w:rFonts w:ascii="Arial" w:hAnsi="Arial" w:hint="default"/>
      </w:rPr>
    </w:lvl>
    <w:lvl w:ilvl="3" w:tplc="C564100E" w:tentative="1">
      <w:start w:val="1"/>
      <w:numFmt w:val="bullet"/>
      <w:lvlText w:val="•"/>
      <w:lvlJc w:val="left"/>
      <w:pPr>
        <w:tabs>
          <w:tab w:val="num" w:pos="2880"/>
        </w:tabs>
        <w:ind w:left="2880" w:hanging="360"/>
      </w:pPr>
      <w:rPr>
        <w:rFonts w:ascii="Arial" w:hAnsi="Arial" w:hint="default"/>
      </w:rPr>
    </w:lvl>
    <w:lvl w:ilvl="4" w:tplc="58645B72" w:tentative="1">
      <w:start w:val="1"/>
      <w:numFmt w:val="bullet"/>
      <w:lvlText w:val="•"/>
      <w:lvlJc w:val="left"/>
      <w:pPr>
        <w:tabs>
          <w:tab w:val="num" w:pos="3600"/>
        </w:tabs>
        <w:ind w:left="3600" w:hanging="360"/>
      </w:pPr>
      <w:rPr>
        <w:rFonts w:ascii="Arial" w:hAnsi="Arial" w:hint="default"/>
      </w:rPr>
    </w:lvl>
    <w:lvl w:ilvl="5" w:tplc="95C65086" w:tentative="1">
      <w:start w:val="1"/>
      <w:numFmt w:val="bullet"/>
      <w:lvlText w:val="•"/>
      <w:lvlJc w:val="left"/>
      <w:pPr>
        <w:tabs>
          <w:tab w:val="num" w:pos="4320"/>
        </w:tabs>
        <w:ind w:left="4320" w:hanging="360"/>
      </w:pPr>
      <w:rPr>
        <w:rFonts w:ascii="Arial" w:hAnsi="Arial" w:hint="default"/>
      </w:rPr>
    </w:lvl>
    <w:lvl w:ilvl="6" w:tplc="A3489408" w:tentative="1">
      <w:start w:val="1"/>
      <w:numFmt w:val="bullet"/>
      <w:lvlText w:val="•"/>
      <w:lvlJc w:val="left"/>
      <w:pPr>
        <w:tabs>
          <w:tab w:val="num" w:pos="5040"/>
        </w:tabs>
        <w:ind w:left="5040" w:hanging="360"/>
      </w:pPr>
      <w:rPr>
        <w:rFonts w:ascii="Arial" w:hAnsi="Arial" w:hint="default"/>
      </w:rPr>
    </w:lvl>
    <w:lvl w:ilvl="7" w:tplc="698EFD50" w:tentative="1">
      <w:start w:val="1"/>
      <w:numFmt w:val="bullet"/>
      <w:lvlText w:val="•"/>
      <w:lvlJc w:val="left"/>
      <w:pPr>
        <w:tabs>
          <w:tab w:val="num" w:pos="5760"/>
        </w:tabs>
        <w:ind w:left="5760" w:hanging="360"/>
      </w:pPr>
      <w:rPr>
        <w:rFonts w:ascii="Arial" w:hAnsi="Arial" w:hint="default"/>
      </w:rPr>
    </w:lvl>
    <w:lvl w:ilvl="8" w:tplc="8488B91A"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46E759CA"/>
    <w:multiLevelType w:val="hybridMultilevel"/>
    <w:tmpl w:val="C22CB7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7C05017"/>
    <w:multiLevelType w:val="hybridMultilevel"/>
    <w:tmpl w:val="7E121676"/>
    <w:lvl w:ilvl="0" w:tplc="0DD4D290">
      <w:start w:val="1"/>
      <w:numFmt w:val="bullet"/>
      <w:lvlText w:val="•"/>
      <w:lvlJc w:val="left"/>
      <w:pPr>
        <w:tabs>
          <w:tab w:val="num" w:pos="720"/>
        </w:tabs>
        <w:ind w:left="720" w:hanging="360"/>
      </w:pPr>
      <w:rPr>
        <w:rFonts w:ascii="Arial" w:hAnsi="Arial" w:hint="default"/>
      </w:rPr>
    </w:lvl>
    <w:lvl w:ilvl="1" w:tplc="73BE9D9A" w:tentative="1">
      <w:start w:val="1"/>
      <w:numFmt w:val="bullet"/>
      <w:lvlText w:val="•"/>
      <w:lvlJc w:val="left"/>
      <w:pPr>
        <w:tabs>
          <w:tab w:val="num" w:pos="1440"/>
        </w:tabs>
        <w:ind w:left="1440" w:hanging="360"/>
      </w:pPr>
      <w:rPr>
        <w:rFonts w:ascii="Arial" w:hAnsi="Arial" w:hint="default"/>
      </w:rPr>
    </w:lvl>
    <w:lvl w:ilvl="2" w:tplc="A022DBB8" w:tentative="1">
      <w:start w:val="1"/>
      <w:numFmt w:val="bullet"/>
      <w:lvlText w:val="•"/>
      <w:lvlJc w:val="left"/>
      <w:pPr>
        <w:tabs>
          <w:tab w:val="num" w:pos="2160"/>
        </w:tabs>
        <w:ind w:left="2160" w:hanging="360"/>
      </w:pPr>
      <w:rPr>
        <w:rFonts w:ascii="Arial" w:hAnsi="Arial" w:hint="default"/>
      </w:rPr>
    </w:lvl>
    <w:lvl w:ilvl="3" w:tplc="C21E8B5C" w:tentative="1">
      <w:start w:val="1"/>
      <w:numFmt w:val="bullet"/>
      <w:lvlText w:val="•"/>
      <w:lvlJc w:val="left"/>
      <w:pPr>
        <w:tabs>
          <w:tab w:val="num" w:pos="2880"/>
        </w:tabs>
        <w:ind w:left="2880" w:hanging="360"/>
      </w:pPr>
      <w:rPr>
        <w:rFonts w:ascii="Arial" w:hAnsi="Arial" w:hint="default"/>
      </w:rPr>
    </w:lvl>
    <w:lvl w:ilvl="4" w:tplc="AF24921A" w:tentative="1">
      <w:start w:val="1"/>
      <w:numFmt w:val="bullet"/>
      <w:lvlText w:val="•"/>
      <w:lvlJc w:val="left"/>
      <w:pPr>
        <w:tabs>
          <w:tab w:val="num" w:pos="3600"/>
        </w:tabs>
        <w:ind w:left="3600" w:hanging="360"/>
      </w:pPr>
      <w:rPr>
        <w:rFonts w:ascii="Arial" w:hAnsi="Arial" w:hint="default"/>
      </w:rPr>
    </w:lvl>
    <w:lvl w:ilvl="5" w:tplc="5532F9D2" w:tentative="1">
      <w:start w:val="1"/>
      <w:numFmt w:val="bullet"/>
      <w:lvlText w:val="•"/>
      <w:lvlJc w:val="left"/>
      <w:pPr>
        <w:tabs>
          <w:tab w:val="num" w:pos="4320"/>
        </w:tabs>
        <w:ind w:left="4320" w:hanging="360"/>
      </w:pPr>
      <w:rPr>
        <w:rFonts w:ascii="Arial" w:hAnsi="Arial" w:hint="default"/>
      </w:rPr>
    </w:lvl>
    <w:lvl w:ilvl="6" w:tplc="8D4881C0" w:tentative="1">
      <w:start w:val="1"/>
      <w:numFmt w:val="bullet"/>
      <w:lvlText w:val="•"/>
      <w:lvlJc w:val="left"/>
      <w:pPr>
        <w:tabs>
          <w:tab w:val="num" w:pos="5040"/>
        </w:tabs>
        <w:ind w:left="5040" w:hanging="360"/>
      </w:pPr>
      <w:rPr>
        <w:rFonts w:ascii="Arial" w:hAnsi="Arial" w:hint="default"/>
      </w:rPr>
    </w:lvl>
    <w:lvl w:ilvl="7" w:tplc="49665646" w:tentative="1">
      <w:start w:val="1"/>
      <w:numFmt w:val="bullet"/>
      <w:lvlText w:val="•"/>
      <w:lvlJc w:val="left"/>
      <w:pPr>
        <w:tabs>
          <w:tab w:val="num" w:pos="5760"/>
        </w:tabs>
        <w:ind w:left="5760" w:hanging="360"/>
      </w:pPr>
      <w:rPr>
        <w:rFonts w:ascii="Arial" w:hAnsi="Arial" w:hint="default"/>
      </w:rPr>
    </w:lvl>
    <w:lvl w:ilvl="8" w:tplc="4DBEE976"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4D7A0E89"/>
    <w:multiLevelType w:val="hybridMultilevel"/>
    <w:tmpl w:val="8EE08B60"/>
    <w:lvl w:ilvl="0" w:tplc="5D781D60">
      <w:start w:val="1"/>
      <w:numFmt w:val="bullet"/>
      <w:lvlText w:val="•"/>
      <w:lvlJc w:val="left"/>
      <w:pPr>
        <w:tabs>
          <w:tab w:val="num" w:pos="720"/>
        </w:tabs>
        <w:ind w:left="720" w:hanging="360"/>
      </w:pPr>
      <w:rPr>
        <w:rFonts w:ascii="Arial" w:hAnsi="Arial" w:hint="default"/>
      </w:rPr>
    </w:lvl>
    <w:lvl w:ilvl="1" w:tplc="638433FC" w:tentative="1">
      <w:start w:val="1"/>
      <w:numFmt w:val="bullet"/>
      <w:lvlText w:val="•"/>
      <w:lvlJc w:val="left"/>
      <w:pPr>
        <w:tabs>
          <w:tab w:val="num" w:pos="1440"/>
        </w:tabs>
        <w:ind w:left="1440" w:hanging="360"/>
      </w:pPr>
      <w:rPr>
        <w:rFonts w:ascii="Arial" w:hAnsi="Arial" w:hint="default"/>
      </w:rPr>
    </w:lvl>
    <w:lvl w:ilvl="2" w:tplc="9962DD98" w:tentative="1">
      <w:start w:val="1"/>
      <w:numFmt w:val="bullet"/>
      <w:lvlText w:val="•"/>
      <w:lvlJc w:val="left"/>
      <w:pPr>
        <w:tabs>
          <w:tab w:val="num" w:pos="2160"/>
        </w:tabs>
        <w:ind w:left="2160" w:hanging="360"/>
      </w:pPr>
      <w:rPr>
        <w:rFonts w:ascii="Arial" w:hAnsi="Arial" w:hint="default"/>
      </w:rPr>
    </w:lvl>
    <w:lvl w:ilvl="3" w:tplc="9D8C7D3A" w:tentative="1">
      <w:start w:val="1"/>
      <w:numFmt w:val="bullet"/>
      <w:lvlText w:val="•"/>
      <w:lvlJc w:val="left"/>
      <w:pPr>
        <w:tabs>
          <w:tab w:val="num" w:pos="2880"/>
        </w:tabs>
        <w:ind w:left="2880" w:hanging="360"/>
      </w:pPr>
      <w:rPr>
        <w:rFonts w:ascii="Arial" w:hAnsi="Arial" w:hint="default"/>
      </w:rPr>
    </w:lvl>
    <w:lvl w:ilvl="4" w:tplc="B8AC1CE2" w:tentative="1">
      <w:start w:val="1"/>
      <w:numFmt w:val="bullet"/>
      <w:lvlText w:val="•"/>
      <w:lvlJc w:val="left"/>
      <w:pPr>
        <w:tabs>
          <w:tab w:val="num" w:pos="3600"/>
        </w:tabs>
        <w:ind w:left="3600" w:hanging="360"/>
      </w:pPr>
      <w:rPr>
        <w:rFonts w:ascii="Arial" w:hAnsi="Arial" w:hint="default"/>
      </w:rPr>
    </w:lvl>
    <w:lvl w:ilvl="5" w:tplc="4F668B2A" w:tentative="1">
      <w:start w:val="1"/>
      <w:numFmt w:val="bullet"/>
      <w:lvlText w:val="•"/>
      <w:lvlJc w:val="left"/>
      <w:pPr>
        <w:tabs>
          <w:tab w:val="num" w:pos="4320"/>
        </w:tabs>
        <w:ind w:left="4320" w:hanging="360"/>
      </w:pPr>
      <w:rPr>
        <w:rFonts w:ascii="Arial" w:hAnsi="Arial" w:hint="default"/>
      </w:rPr>
    </w:lvl>
    <w:lvl w:ilvl="6" w:tplc="6DA6F3A6" w:tentative="1">
      <w:start w:val="1"/>
      <w:numFmt w:val="bullet"/>
      <w:lvlText w:val="•"/>
      <w:lvlJc w:val="left"/>
      <w:pPr>
        <w:tabs>
          <w:tab w:val="num" w:pos="5040"/>
        </w:tabs>
        <w:ind w:left="5040" w:hanging="360"/>
      </w:pPr>
      <w:rPr>
        <w:rFonts w:ascii="Arial" w:hAnsi="Arial" w:hint="default"/>
      </w:rPr>
    </w:lvl>
    <w:lvl w:ilvl="7" w:tplc="E3F85EBA" w:tentative="1">
      <w:start w:val="1"/>
      <w:numFmt w:val="bullet"/>
      <w:lvlText w:val="•"/>
      <w:lvlJc w:val="left"/>
      <w:pPr>
        <w:tabs>
          <w:tab w:val="num" w:pos="5760"/>
        </w:tabs>
        <w:ind w:left="5760" w:hanging="360"/>
      </w:pPr>
      <w:rPr>
        <w:rFonts w:ascii="Arial" w:hAnsi="Arial" w:hint="default"/>
      </w:rPr>
    </w:lvl>
    <w:lvl w:ilvl="8" w:tplc="5A061088"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51C37694"/>
    <w:multiLevelType w:val="hybridMultilevel"/>
    <w:tmpl w:val="9A2618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1D82298"/>
    <w:multiLevelType w:val="hybridMultilevel"/>
    <w:tmpl w:val="9A927D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70C7FA1"/>
    <w:multiLevelType w:val="hybridMultilevel"/>
    <w:tmpl w:val="1598E8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F2F27C7"/>
    <w:multiLevelType w:val="hybridMultilevel"/>
    <w:tmpl w:val="91D2BA90"/>
    <w:lvl w:ilvl="0" w:tplc="DCAEBDAA">
      <w:start w:val="1"/>
      <w:numFmt w:val="bullet"/>
      <w:lvlText w:val="•"/>
      <w:lvlJc w:val="left"/>
      <w:pPr>
        <w:tabs>
          <w:tab w:val="num" w:pos="720"/>
        </w:tabs>
        <w:ind w:left="720" w:hanging="360"/>
      </w:pPr>
      <w:rPr>
        <w:rFonts w:ascii="Arial" w:hAnsi="Arial" w:hint="default"/>
      </w:rPr>
    </w:lvl>
    <w:lvl w:ilvl="1" w:tplc="C4989298" w:tentative="1">
      <w:start w:val="1"/>
      <w:numFmt w:val="bullet"/>
      <w:lvlText w:val="•"/>
      <w:lvlJc w:val="left"/>
      <w:pPr>
        <w:tabs>
          <w:tab w:val="num" w:pos="1440"/>
        </w:tabs>
        <w:ind w:left="1440" w:hanging="360"/>
      </w:pPr>
      <w:rPr>
        <w:rFonts w:ascii="Arial" w:hAnsi="Arial" w:hint="default"/>
      </w:rPr>
    </w:lvl>
    <w:lvl w:ilvl="2" w:tplc="5022BCFA" w:tentative="1">
      <w:start w:val="1"/>
      <w:numFmt w:val="bullet"/>
      <w:lvlText w:val="•"/>
      <w:lvlJc w:val="left"/>
      <w:pPr>
        <w:tabs>
          <w:tab w:val="num" w:pos="2160"/>
        </w:tabs>
        <w:ind w:left="2160" w:hanging="360"/>
      </w:pPr>
      <w:rPr>
        <w:rFonts w:ascii="Arial" w:hAnsi="Arial" w:hint="default"/>
      </w:rPr>
    </w:lvl>
    <w:lvl w:ilvl="3" w:tplc="42948544" w:tentative="1">
      <w:start w:val="1"/>
      <w:numFmt w:val="bullet"/>
      <w:lvlText w:val="•"/>
      <w:lvlJc w:val="left"/>
      <w:pPr>
        <w:tabs>
          <w:tab w:val="num" w:pos="2880"/>
        </w:tabs>
        <w:ind w:left="2880" w:hanging="360"/>
      </w:pPr>
      <w:rPr>
        <w:rFonts w:ascii="Arial" w:hAnsi="Arial" w:hint="default"/>
      </w:rPr>
    </w:lvl>
    <w:lvl w:ilvl="4" w:tplc="E16EEA58" w:tentative="1">
      <w:start w:val="1"/>
      <w:numFmt w:val="bullet"/>
      <w:lvlText w:val="•"/>
      <w:lvlJc w:val="left"/>
      <w:pPr>
        <w:tabs>
          <w:tab w:val="num" w:pos="3600"/>
        </w:tabs>
        <w:ind w:left="3600" w:hanging="360"/>
      </w:pPr>
      <w:rPr>
        <w:rFonts w:ascii="Arial" w:hAnsi="Arial" w:hint="default"/>
      </w:rPr>
    </w:lvl>
    <w:lvl w:ilvl="5" w:tplc="B3BE2F4A" w:tentative="1">
      <w:start w:val="1"/>
      <w:numFmt w:val="bullet"/>
      <w:lvlText w:val="•"/>
      <w:lvlJc w:val="left"/>
      <w:pPr>
        <w:tabs>
          <w:tab w:val="num" w:pos="4320"/>
        </w:tabs>
        <w:ind w:left="4320" w:hanging="360"/>
      </w:pPr>
      <w:rPr>
        <w:rFonts w:ascii="Arial" w:hAnsi="Arial" w:hint="default"/>
      </w:rPr>
    </w:lvl>
    <w:lvl w:ilvl="6" w:tplc="A4C81770" w:tentative="1">
      <w:start w:val="1"/>
      <w:numFmt w:val="bullet"/>
      <w:lvlText w:val="•"/>
      <w:lvlJc w:val="left"/>
      <w:pPr>
        <w:tabs>
          <w:tab w:val="num" w:pos="5040"/>
        </w:tabs>
        <w:ind w:left="5040" w:hanging="360"/>
      </w:pPr>
      <w:rPr>
        <w:rFonts w:ascii="Arial" w:hAnsi="Arial" w:hint="default"/>
      </w:rPr>
    </w:lvl>
    <w:lvl w:ilvl="7" w:tplc="90E08F2E" w:tentative="1">
      <w:start w:val="1"/>
      <w:numFmt w:val="bullet"/>
      <w:lvlText w:val="•"/>
      <w:lvlJc w:val="left"/>
      <w:pPr>
        <w:tabs>
          <w:tab w:val="num" w:pos="5760"/>
        </w:tabs>
        <w:ind w:left="5760" w:hanging="360"/>
      </w:pPr>
      <w:rPr>
        <w:rFonts w:ascii="Arial" w:hAnsi="Arial" w:hint="default"/>
      </w:rPr>
    </w:lvl>
    <w:lvl w:ilvl="8" w:tplc="4B58CD9A"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72A86B0B"/>
    <w:multiLevelType w:val="hybridMultilevel"/>
    <w:tmpl w:val="8DB4D428"/>
    <w:lvl w:ilvl="0" w:tplc="B77ED198">
      <w:start w:val="1"/>
      <w:numFmt w:val="bullet"/>
      <w:lvlText w:val="•"/>
      <w:lvlJc w:val="left"/>
      <w:pPr>
        <w:tabs>
          <w:tab w:val="num" w:pos="720"/>
        </w:tabs>
        <w:ind w:left="720" w:hanging="360"/>
      </w:pPr>
      <w:rPr>
        <w:rFonts w:ascii="Arial" w:hAnsi="Arial" w:hint="default"/>
      </w:rPr>
    </w:lvl>
    <w:lvl w:ilvl="1" w:tplc="3FDA1C64" w:tentative="1">
      <w:start w:val="1"/>
      <w:numFmt w:val="bullet"/>
      <w:lvlText w:val="•"/>
      <w:lvlJc w:val="left"/>
      <w:pPr>
        <w:tabs>
          <w:tab w:val="num" w:pos="1440"/>
        </w:tabs>
        <w:ind w:left="1440" w:hanging="360"/>
      </w:pPr>
      <w:rPr>
        <w:rFonts w:ascii="Arial" w:hAnsi="Arial" w:hint="default"/>
      </w:rPr>
    </w:lvl>
    <w:lvl w:ilvl="2" w:tplc="9C8414EA" w:tentative="1">
      <w:start w:val="1"/>
      <w:numFmt w:val="bullet"/>
      <w:lvlText w:val="•"/>
      <w:lvlJc w:val="left"/>
      <w:pPr>
        <w:tabs>
          <w:tab w:val="num" w:pos="2160"/>
        </w:tabs>
        <w:ind w:left="2160" w:hanging="360"/>
      </w:pPr>
      <w:rPr>
        <w:rFonts w:ascii="Arial" w:hAnsi="Arial" w:hint="default"/>
      </w:rPr>
    </w:lvl>
    <w:lvl w:ilvl="3" w:tplc="CC4047FA" w:tentative="1">
      <w:start w:val="1"/>
      <w:numFmt w:val="bullet"/>
      <w:lvlText w:val="•"/>
      <w:lvlJc w:val="left"/>
      <w:pPr>
        <w:tabs>
          <w:tab w:val="num" w:pos="2880"/>
        </w:tabs>
        <w:ind w:left="2880" w:hanging="360"/>
      </w:pPr>
      <w:rPr>
        <w:rFonts w:ascii="Arial" w:hAnsi="Arial" w:hint="default"/>
      </w:rPr>
    </w:lvl>
    <w:lvl w:ilvl="4" w:tplc="C56A2574" w:tentative="1">
      <w:start w:val="1"/>
      <w:numFmt w:val="bullet"/>
      <w:lvlText w:val="•"/>
      <w:lvlJc w:val="left"/>
      <w:pPr>
        <w:tabs>
          <w:tab w:val="num" w:pos="3600"/>
        </w:tabs>
        <w:ind w:left="3600" w:hanging="360"/>
      </w:pPr>
      <w:rPr>
        <w:rFonts w:ascii="Arial" w:hAnsi="Arial" w:hint="default"/>
      </w:rPr>
    </w:lvl>
    <w:lvl w:ilvl="5" w:tplc="2098B8EA" w:tentative="1">
      <w:start w:val="1"/>
      <w:numFmt w:val="bullet"/>
      <w:lvlText w:val="•"/>
      <w:lvlJc w:val="left"/>
      <w:pPr>
        <w:tabs>
          <w:tab w:val="num" w:pos="4320"/>
        </w:tabs>
        <w:ind w:left="4320" w:hanging="360"/>
      </w:pPr>
      <w:rPr>
        <w:rFonts w:ascii="Arial" w:hAnsi="Arial" w:hint="default"/>
      </w:rPr>
    </w:lvl>
    <w:lvl w:ilvl="6" w:tplc="87FC2DEE" w:tentative="1">
      <w:start w:val="1"/>
      <w:numFmt w:val="bullet"/>
      <w:lvlText w:val="•"/>
      <w:lvlJc w:val="left"/>
      <w:pPr>
        <w:tabs>
          <w:tab w:val="num" w:pos="5040"/>
        </w:tabs>
        <w:ind w:left="5040" w:hanging="360"/>
      </w:pPr>
      <w:rPr>
        <w:rFonts w:ascii="Arial" w:hAnsi="Arial" w:hint="default"/>
      </w:rPr>
    </w:lvl>
    <w:lvl w:ilvl="7" w:tplc="89F61D20" w:tentative="1">
      <w:start w:val="1"/>
      <w:numFmt w:val="bullet"/>
      <w:lvlText w:val="•"/>
      <w:lvlJc w:val="left"/>
      <w:pPr>
        <w:tabs>
          <w:tab w:val="num" w:pos="5760"/>
        </w:tabs>
        <w:ind w:left="5760" w:hanging="360"/>
      </w:pPr>
      <w:rPr>
        <w:rFonts w:ascii="Arial" w:hAnsi="Arial" w:hint="default"/>
      </w:rPr>
    </w:lvl>
    <w:lvl w:ilvl="8" w:tplc="C262C480"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73236548"/>
    <w:multiLevelType w:val="hybridMultilevel"/>
    <w:tmpl w:val="B46AF7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8"/>
  </w:num>
  <w:num w:numId="2">
    <w:abstractNumId w:val="1"/>
  </w:num>
  <w:num w:numId="3">
    <w:abstractNumId w:val="6"/>
  </w:num>
  <w:num w:numId="4">
    <w:abstractNumId w:val="10"/>
  </w:num>
  <w:num w:numId="5">
    <w:abstractNumId w:val="13"/>
  </w:num>
  <w:num w:numId="6">
    <w:abstractNumId w:val="5"/>
  </w:num>
  <w:num w:numId="7">
    <w:abstractNumId w:val="4"/>
  </w:num>
  <w:num w:numId="8">
    <w:abstractNumId w:val="16"/>
  </w:num>
  <w:num w:numId="9">
    <w:abstractNumId w:val="3"/>
  </w:num>
  <w:num w:numId="10">
    <w:abstractNumId w:val="14"/>
  </w:num>
  <w:num w:numId="11">
    <w:abstractNumId w:val="9"/>
  </w:num>
  <w:num w:numId="12">
    <w:abstractNumId w:val="0"/>
  </w:num>
  <w:num w:numId="13">
    <w:abstractNumId w:val="17"/>
  </w:num>
  <w:num w:numId="14">
    <w:abstractNumId w:val="15"/>
  </w:num>
  <w:num w:numId="15">
    <w:abstractNumId w:val="11"/>
  </w:num>
  <w:num w:numId="16">
    <w:abstractNumId w:val="8"/>
  </w:num>
  <w:num w:numId="17">
    <w:abstractNumId w:val="7"/>
  </w:num>
  <w:num w:numId="18">
    <w:abstractNumId w:val="12"/>
  </w:num>
  <w:num w:numId="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1AAF"/>
    <w:rsid w:val="00064D64"/>
    <w:rsid w:val="001324E8"/>
    <w:rsid w:val="00151926"/>
    <w:rsid w:val="0015570E"/>
    <w:rsid w:val="00191AAF"/>
    <w:rsid w:val="0021012B"/>
    <w:rsid w:val="00213CE7"/>
    <w:rsid w:val="00243ABA"/>
    <w:rsid w:val="00254CA6"/>
    <w:rsid w:val="002971CD"/>
    <w:rsid w:val="003102AD"/>
    <w:rsid w:val="00310F92"/>
    <w:rsid w:val="003A2F93"/>
    <w:rsid w:val="0059654F"/>
    <w:rsid w:val="00687CBC"/>
    <w:rsid w:val="00753D0D"/>
    <w:rsid w:val="0077214E"/>
    <w:rsid w:val="007A58A7"/>
    <w:rsid w:val="00825551"/>
    <w:rsid w:val="00886D58"/>
    <w:rsid w:val="00BA2D5D"/>
    <w:rsid w:val="00BF2A90"/>
    <w:rsid w:val="00D33243"/>
    <w:rsid w:val="00DB2A03"/>
    <w:rsid w:val="00E17F4D"/>
    <w:rsid w:val="00E4125F"/>
    <w:rsid w:val="00EA33FF"/>
    <w:rsid w:val="00EA4BC4"/>
    <w:rsid w:val="00F829D7"/>
    <w:rsid w:val="00FA2231"/>
    <w:rsid w:val="00FA4FFD"/>
    <w:rsid w:val="00FB224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979374"/>
  <w15:chartTrackingRefBased/>
  <w15:docId w15:val="{CDC2BFD3-E81E-44DB-A1A5-AD0925676E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91AAF"/>
    <w:pPr>
      <w:ind w:left="720"/>
      <w:contextualSpacing/>
    </w:pPr>
  </w:style>
  <w:style w:type="paragraph" w:styleId="Bibliography">
    <w:name w:val="Bibliography"/>
    <w:basedOn w:val="Normal"/>
    <w:next w:val="Normal"/>
    <w:uiPriority w:val="37"/>
    <w:unhideWhenUsed/>
    <w:rsid w:val="007A58A7"/>
  </w:style>
  <w:style w:type="character" w:styleId="Hyperlink">
    <w:name w:val="Hyperlink"/>
    <w:basedOn w:val="DefaultParagraphFont"/>
    <w:uiPriority w:val="99"/>
    <w:unhideWhenUsed/>
    <w:rsid w:val="00EA4BC4"/>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272663">
      <w:bodyDiv w:val="1"/>
      <w:marLeft w:val="0"/>
      <w:marRight w:val="0"/>
      <w:marTop w:val="0"/>
      <w:marBottom w:val="0"/>
      <w:divBdr>
        <w:top w:val="none" w:sz="0" w:space="0" w:color="auto"/>
        <w:left w:val="none" w:sz="0" w:space="0" w:color="auto"/>
        <w:bottom w:val="none" w:sz="0" w:space="0" w:color="auto"/>
        <w:right w:val="none" w:sz="0" w:space="0" w:color="auto"/>
      </w:divBdr>
    </w:div>
    <w:div w:id="216670069">
      <w:bodyDiv w:val="1"/>
      <w:marLeft w:val="0"/>
      <w:marRight w:val="0"/>
      <w:marTop w:val="0"/>
      <w:marBottom w:val="0"/>
      <w:divBdr>
        <w:top w:val="none" w:sz="0" w:space="0" w:color="auto"/>
        <w:left w:val="none" w:sz="0" w:space="0" w:color="auto"/>
        <w:bottom w:val="none" w:sz="0" w:space="0" w:color="auto"/>
        <w:right w:val="none" w:sz="0" w:space="0" w:color="auto"/>
      </w:divBdr>
      <w:divsChild>
        <w:div w:id="739594275">
          <w:marLeft w:val="446"/>
          <w:marRight w:val="0"/>
          <w:marTop w:val="0"/>
          <w:marBottom w:val="0"/>
          <w:divBdr>
            <w:top w:val="none" w:sz="0" w:space="0" w:color="auto"/>
            <w:left w:val="none" w:sz="0" w:space="0" w:color="auto"/>
            <w:bottom w:val="none" w:sz="0" w:space="0" w:color="auto"/>
            <w:right w:val="none" w:sz="0" w:space="0" w:color="auto"/>
          </w:divBdr>
        </w:div>
        <w:div w:id="566651807">
          <w:marLeft w:val="446"/>
          <w:marRight w:val="0"/>
          <w:marTop w:val="0"/>
          <w:marBottom w:val="0"/>
          <w:divBdr>
            <w:top w:val="none" w:sz="0" w:space="0" w:color="auto"/>
            <w:left w:val="none" w:sz="0" w:space="0" w:color="auto"/>
            <w:bottom w:val="none" w:sz="0" w:space="0" w:color="auto"/>
            <w:right w:val="none" w:sz="0" w:space="0" w:color="auto"/>
          </w:divBdr>
        </w:div>
        <w:div w:id="1813055624">
          <w:marLeft w:val="446"/>
          <w:marRight w:val="0"/>
          <w:marTop w:val="0"/>
          <w:marBottom w:val="0"/>
          <w:divBdr>
            <w:top w:val="none" w:sz="0" w:space="0" w:color="auto"/>
            <w:left w:val="none" w:sz="0" w:space="0" w:color="auto"/>
            <w:bottom w:val="none" w:sz="0" w:space="0" w:color="auto"/>
            <w:right w:val="none" w:sz="0" w:space="0" w:color="auto"/>
          </w:divBdr>
        </w:div>
        <w:div w:id="893195756">
          <w:marLeft w:val="446"/>
          <w:marRight w:val="0"/>
          <w:marTop w:val="0"/>
          <w:marBottom w:val="0"/>
          <w:divBdr>
            <w:top w:val="none" w:sz="0" w:space="0" w:color="auto"/>
            <w:left w:val="none" w:sz="0" w:space="0" w:color="auto"/>
            <w:bottom w:val="none" w:sz="0" w:space="0" w:color="auto"/>
            <w:right w:val="none" w:sz="0" w:space="0" w:color="auto"/>
          </w:divBdr>
        </w:div>
      </w:divsChild>
    </w:div>
    <w:div w:id="233009796">
      <w:bodyDiv w:val="1"/>
      <w:marLeft w:val="0"/>
      <w:marRight w:val="0"/>
      <w:marTop w:val="0"/>
      <w:marBottom w:val="0"/>
      <w:divBdr>
        <w:top w:val="none" w:sz="0" w:space="0" w:color="auto"/>
        <w:left w:val="none" w:sz="0" w:space="0" w:color="auto"/>
        <w:bottom w:val="none" w:sz="0" w:space="0" w:color="auto"/>
        <w:right w:val="none" w:sz="0" w:space="0" w:color="auto"/>
      </w:divBdr>
      <w:divsChild>
        <w:div w:id="1512183085">
          <w:marLeft w:val="446"/>
          <w:marRight w:val="0"/>
          <w:marTop w:val="0"/>
          <w:marBottom w:val="0"/>
          <w:divBdr>
            <w:top w:val="none" w:sz="0" w:space="0" w:color="auto"/>
            <w:left w:val="none" w:sz="0" w:space="0" w:color="auto"/>
            <w:bottom w:val="none" w:sz="0" w:space="0" w:color="auto"/>
            <w:right w:val="none" w:sz="0" w:space="0" w:color="auto"/>
          </w:divBdr>
        </w:div>
        <w:div w:id="1361013730">
          <w:marLeft w:val="446"/>
          <w:marRight w:val="0"/>
          <w:marTop w:val="0"/>
          <w:marBottom w:val="0"/>
          <w:divBdr>
            <w:top w:val="none" w:sz="0" w:space="0" w:color="auto"/>
            <w:left w:val="none" w:sz="0" w:space="0" w:color="auto"/>
            <w:bottom w:val="none" w:sz="0" w:space="0" w:color="auto"/>
            <w:right w:val="none" w:sz="0" w:space="0" w:color="auto"/>
          </w:divBdr>
        </w:div>
        <w:div w:id="1090658962">
          <w:marLeft w:val="446"/>
          <w:marRight w:val="0"/>
          <w:marTop w:val="0"/>
          <w:marBottom w:val="0"/>
          <w:divBdr>
            <w:top w:val="none" w:sz="0" w:space="0" w:color="auto"/>
            <w:left w:val="none" w:sz="0" w:space="0" w:color="auto"/>
            <w:bottom w:val="none" w:sz="0" w:space="0" w:color="auto"/>
            <w:right w:val="none" w:sz="0" w:space="0" w:color="auto"/>
          </w:divBdr>
        </w:div>
        <w:div w:id="1071274070">
          <w:marLeft w:val="446"/>
          <w:marRight w:val="0"/>
          <w:marTop w:val="0"/>
          <w:marBottom w:val="0"/>
          <w:divBdr>
            <w:top w:val="none" w:sz="0" w:space="0" w:color="auto"/>
            <w:left w:val="none" w:sz="0" w:space="0" w:color="auto"/>
            <w:bottom w:val="none" w:sz="0" w:space="0" w:color="auto"/>
            <w:right w:val="none" w:sz="0" w:space="0" w:color="auto"/>
          </w:divBdr>
        </w:div>
      </w:divsChild>
    </w:div>
    <w:div w:id="333800725">
      <w:bodyDiv w:val="1"/>
      <w:marLeft w:val="0"/>
      <w:marRight w:val="0"/>
      <w:marTop w:val="0"/>
      <w:marBottom w:val="0"/>
      <w:divBdr>
        <w:top w:val="none" w:sz="0" w:space="0" w:color="auto"/>
        <w:left w:val="none" w:sz="0" w:space="0" w:color="auto"/>
        <w:bottom w:val="none" w:sz="0" w:space="0" w:color="auto"/>
        <w:right w:val="none" w:sz="0" w:space="0" w:color="auto"/>
      </w:divBdr>
    </w:div>
    <w:div w:id="530336543">
      <w:bodyDiv w:val="1"/>
      <w:marLeft w:val="0"/>
      <w:marRight w:val="0"/>
      <w:marTop w:val="0"/>
      <w:marBottom w:val="0"/>
      <w:divBdr>
        <w:top w:val="none" w:sz="0" w:space="0" w:color="auto"/>
        <w:left w:val="none" w:sz="0" w:space="0" w:color="auto"/>
        <w:bottom w:val="none" w:sz="0" w:space="0" w:color="auto"/>
        <w:right w:val="none" w:sz="0" w:space="0" w:color="auto"/>
      </w:divBdr>
    </w:div>
    <w:div w:id="568661709">
      <w:bodyDiv w:val="1"/>
      <w:marLeft w:val="0"/>
      <w:marRight w:val="0"/>
      <w:marTop w:val="0"/>
      <w:marBottom w:val="0"/>
      <w:divBdr>
        <w:top w:val="none" w:sz="0" w:space="0" w:color="auto"/>
        <w:left w:val="none" w:sz="0" w:space="0" w:color="auto"/>
        <w:bottom w:val="none" w:sz="0" w:space="0" w:color="auto"/>
        <w:right w:val="none" w:sz="0" w:space="0" w:color="auto"/>
      </w:divBdr>
      <w:divsChild>
        <w:div w:id="423184249">
          <w:marLeft w:val="446"/>
          <w:marRight w:val="0"/>
          <w:marTop w:val="0"/>
          <w:marBottom w:val="0"/>
          <w:divBdr>
            <w:top w:val="none" w:sz="0" w:space="0" w:color="auto"/>
            <w:left w:val="none" w:sz="0" w:space="0" w:color="auto"/>
            <w:bottom w:val="none" w:sz="0" w:space="0" w:color="auto"/>
            <w:right w:val="none" w:sz="0" w:space="0" w:color="auto"/>
          </w:divBdr>
        </w:div>
        <w:div w:id="14306361">
          <w:marLeft w:val="446"/>
          <w:marRight w:val="0"/>
          <w:marTop w:val="0"/>
          <w:marBottom w:val="0"/>
          <w:divBdr>
            <w:top w:val="none" w:sz="0" w:space="0" w:color="auto"/>
            <w:left w:val="none" w:sz="0" w:space="0" w:color="auto"/>
            <w:bottom w:val="none" w:sz="0" w:space="0" w:color="auto"/>
            <w:right w:val="none" w:sz="0" w:space="0" w:color="auto"/>
          </w:divBdr>
        </w:div>
        <w:div w:id="1737586015">
          <w:marLeft w:val="446"/>
          <w:marRight w:val="0"/>
          <w:marTop w:val="0"/>
          <w:marBottom w:val="0"/>
          <w:divBdr>
            <w:top w:val="none" w:sz="0" w:space="0" w:color="auto"/>
            <w:left w:val="none" w:sz="0" w:space="0" w:color="auto"/>
            <w:bottom w:val="none" w:sz="0" w:space="0" w:color="auto"/>
            <w:right w:val="none" w:sz="0" w:space="0" w:color="auto"/>
          </w:divBdr>
        </w:div>
        <w:div w:id="1127507147">
          <w:marLeft w:val="446"/>
          <w:marRight w:val="0"/>
          <w:marTop w:val="0"/>
          <w:marBottom w:val="0"/>
          <w:divBdr>
            <w:top w:val="none" w:sz="0" w:space="0" w:color="auto"/>
            <w:left w:val="none" w:sz="0" w:space="0" w:color="auto"/>
            <w:bottom w:val="none" w:sz="0" w:space="0" w:color="auto"/>
            <w:right w:val="none" w:sz="0" w:space="0" w:color="auto"/>
          </w:divBdr>
        </w:div>
        <w:div w:id="1581059784">
          <w:marLeft w:val="446"/>
          <w:marRight w:val="0"/>
          <w:marTop w:val="0"/>
          <w:marBottom w:val="0"/>
          <w:divBdr>
            <w:top w:val="none" w:sz="0" w:space="0" w:color="auto"/>
            <w:left w:val="none" w:sz="0" w:space="0" w:color="auto"/>
            <w:bottom w:val="none" w:sz="0" w:space="0" w:color="auto"/>
            <w:right w:val="none" w:sz="0" w:space="0" w:color="auto"/>
          </w:divBdr>
        </w:div>
      </w:divsChild>
    </w:div>
    <w:div w:id="831995033">
      <w:bodyDiv w:val="1"/>
      <w:marLeft w:val="0"/>
      <w:marRight w:val="0"/>
      <w:marTop w:val="0"/>
      <w:marBottom w:val="0"/>
      <w:divBdr>
        <w:top w:val="none" w:sz="0" w:space="0" w:color="auto"/>
        <w:left w:val="none" w:sz="0" w:space="0" w:color="auto"/>
        <w:bottom w:val="none" w:sz="0" w:space="0" w:color="auto"/>
        <w:right w:val="none" w:sz="0" w:space="0" w:color="auto"/>
      </w:divBdr>
      <w:divsChild>
        <w:div w:id="1027292918">
          <w:marLeft w:val="446"/>
          <w:marRight w:val="0"/>
          <w:marTop w:val="0"/>
          <w:marBottom w:val="0"/>
          <w:divBdr>
            <w:top w:val="none" w:sz="0" w:space="0" w:color="auto"/>
            <w:left w:val="none" w:sz="0" w:space="0" w:color="auto"/>
            <w:bottom w:val="none" w:sz="0" w:space="0" w:color="auto"/>
            <w:right w:val="none" w:sz="0" w:space="0" w:color="auto"/>
          </w:divBdr>
        </w:div>
        <w:div w:id="1767729058">
          <w:marLeft w:val="446"/>
          <w:marRight w:val="0"/>
          <w:marTop w:val="0"/>
          <w:marBottom w:val="0"/>
          <w:divBdr>
            <w:top w:val="none" w:sz="0" w:space="0" w:color="auto"/>
            <w:left w:val="none" w:sz="0" w:space="0" w:color="auto"/>
            <w:bottom w:val="none" w:sz="0" w:space="0" w:color="auto"/>
            <w:right w:val="none" w:sz="0" w:space="0" w:color="auto"/>
          </w:divBdr>
        </w:div>
        <w:div w:id="1647667422">
          <w:marLeft w:val="446"/>
          <w:marRight w:val="0"/>
          <w:marTop w:val="0"/>
          <w:marBottom w:val="0"/>
          <w:divBdr>
            <w:top w:val="none" w:sz="0" w:space="0" w:color="auto"/>
            <w:left w:val="none" w:sz="0" w:space="0" w:color="auto"/>
            <w:bottom w:val="none" w:sz="0" w:space="0" w:color="auto"/>
            <w:right w:val="none" w:sz="0" w:space="0" w:color="auto"/>
          </w:divBdr>
        </w:div>
        <w:div w:id="1916747283">
          <w:marLeft w:val="446"/>
          <w:marRight w:val="0"/>
          <w:marTop w:val="0"/>
          <w:marBottom w:val="0"/>
          <w:divBdr>
            <w:top w:val="none" w:sz="0" w:space="0" w:color="auto"/>
            <w:left w:val="none" w:sz="0" w:space="0" w:color="auto"/>
            <w:bottom w:val="none" w:sz="0" w:space="0" w:color="auto"/>
            <w:right w:val="none" w:sz="0" w:space="0" w:color="auto"/>
          </w:divBdr>
        </w:div>
        <w:div w:id="1317346232">
          <w:marLeft w:val="446"/>
          <w:marRight w:val="0"/>
          <w:marTop w:val="0"/>
          <w:marBottom w:val="0"/>
          <w:divBdr>
            <w:top w:val="none" w:sz="0" w:space="0" w:color="auto"/>
            <w:left w:val="none" w:sz="0" w:space="0" w:color="auto"/>
            <w:bottom w:val="none" w:sz="0" w:space="0" w:color="auto"/>
            <w:right w:val="none" w:sz="0" w:space="0" w:color="auto"/>
          </w:divBdr>
        </w:div>
        <w:div w:id="1750273699">
          <w:marLeft w:val="446"/>
          <w:marRight w:val="0"/>
          <w:marTop w:val="0"/>
          <w:marBottom w:val="0"/>
          <w:divBdr>
            <w:top w:val="none" w:sz="0" w:space="0" w:color="auto"/>
            <w:left w:val="none" w:sz="0" w:space="0" w:color="auto"/>
            <w:bottom w:val="none" w:sz="0" w:space="0" w:color="auto"/>
            <w:right w:val="none" w:sz="0" w:space="0" w:color="auto"/>
          </w:divBdr>
        </w:div>
        <w:div w:id="1017119212">
          <w:marLeft w:val="446"/>
          <w:marRight w:val="0"/>
          <w:marTop w:val="0"/>
          <w:marBottom w:val="0"/>
          <w:divBdr>
            <w:top w:val="none" w:sz="0" w:space="0" w:color="auto"/>
            <w:left w:val="none" w:sz="0" w:space="0" w:color="auto"/>
            <w:bottom w:val="none" w:sz="0" w:space="0" w:color="auto"/>
            <w:right w:val="none" w:sz="0" w:space="0" w:color="auto"/>
          </w:divBdr>
        </w:div>
      </w:divsChild>
    </w:div>
    <w:div w:id="978001815">
      <w:bodyDiv w:val="1"/>
      <w:marLeft w:val="0"/>
      <w:marRight w:val="0"/>
      <w:marTop w:val="0"/>
      <w:marBottom w:val="0"/>
      <w:divBdr>
        <w:top w:val="none" w:sz="0" w:space="0" w:color="auto"/>
        <w:left w:val="none" w:sz="0" w:space="0" w:color="auto"/>
        <w:bottom w:val="none" w:sz="0" w:space="0" w:color="auto"/>
        <w:right w:val="none" w:sz="0" w:space="0" w:color="auto"/>
      </w:divBdr>
    </w:div>
    <w:div w:id="1071349668">
      <w:bodyDiv w:val="1"/>
      <w:marLeft w:val="0"/>
      <w:marRight w:val="0"/>
      <w:marTop w:val="0"/>
      <w:marBottom w:val="0"/>
      <w:divBdr>
        <w:top w:val="none" w:sz="0" w:space="0" w:color="auto"/>
        <w:left w:val="none" w:sz="0" w:space="0" w:color="auto"/>
        <w:bottom w:val="none" w:sz="0" w:space="0" w:color="auto"/>
        <w:right w:val="none" w:sz="0" w:space="0" w:color="auto"/>
      </w:divBdr>
      <w:divsChild>
        <w:div w:id="100035153">
          <w:marLeft w:val="446"/>
          <w:marRight w:val="0"/>
          <w:marTop w:val="0"/>
          <w:marBottom w:val="0"/>
          <w:divBdr>
            <w:top w:val="none" w:sz="0" w:space="0" w:color="auto"/>
            <w:left w:val="none" w:sz="0" w:space="0" w:color="auto"/>
            <w:bottom w:val="none" w:sz="0" w:space="0" w:color="auto"/>
            <w:right w:val="none" w:sz="0" w:space="0" w:color="auto"/>
          </w:divBdr>
        </w:div>
        <w:div w:id="907038367">
          <w:marLeft w:val="446"/>
          <w:marRight w:val="0"/>
          <w:marTop w:val="0"/>
          <w:marBottom w:val="0"/>
          <w:divBdr>
            <w:top w:val="none" w:sz="0" w:space="0" w:color="auto"/>
            <w:left w:val="none" w:sz="0" w:space="0" w:color="auto"/>
            <w:bottom w:val="none" w:sz="0" w:space="0" w:color="auto"/>
            <w:right w:val="none" w:sz="0" w:space="0" w:color="auto"/>
          </w:divBdr>
        </w:div>
        <w:div w:id="1836724455">
          <w:marLeft w:val="446"/>
          <w:marRight w:val="0"/>
          <w:marTop w:val="0"/>
          <w:marBottom w:val="0"/>
          <w:divBdr>
            <w:top w:val="none" w:sz="0" w:space="0" w:color="auto"/>
            <w:left w:val="none" w:sz="0" w:space="0" w:color="auto"/>
            <w:bottom w:val="none" w:sz="0" w:space="0" w:color="auto"/>
            <w:right w:val="none" w:sz="0" w:space="0" w:color="auto"/>
          </w:divBdr>
        </w:div>
        <w:div w:id="2106338848">
          <w:marLeft w:val="446"/>
          <w:marRight w:val="0"/>
          <w:marTop w:val="0"/>
          <w:marBottom w:val="0"/>
          <w:divBdr>
            <w:top w:val="none" w:sz="0" w:space="0" w:color="auto"/>
            <w:left w:val="none" w:sz="0" w:space="0" w:color="auto"/>
            <w:bottom w:val="none" w:sz="0" w:space="0" w:color="auto"/>
            <w:right w:val="none" w:sz="0" w:space="0" w:color="auto"/>
          </w:divBdr>
        </w:div>
        <w:div w:id="1397972381">
          <w:marLeft w:val="446"/>
          <w:marRight w:val="0"/>
          <w:marTop w:val="0"/>
          <w:marBottom w:val="0"/>
          <w:divBdr>
            <w:top w:val="none" w:sz="0" w:space="0" w:color="auto"/>
            <w:left w:val="none" w:sz="0" w:space="0" w:color="auto"/>
            <w:bottom w:val="none" w:sz="0" w:space="0" w:color="auto"/>
            <w:right w:val="none" w:sz="0" w:space="0" w:color="auto"/>
          </w:divBdr>
        </w:div>
        <w:div w:id="459609698">
          <w:marLeft w:val="446"/>
          <w:marRight w:val="0"/>
          <w:marTop w:val="0"/>
          <w:marBottom w:val="0"/>
          <w:divBdr>
            <w:top w:val="none" w:sz="0" w:space="0" w:color="auto"/>
            <w:left w:val="none" w:sz="0" w:space="0" w:color="auto"/>
            <w:bottom w:val="none" w:sz="0" w:space="0" w:color="auto"/>
            <w:right w:val="none" w:sz="0" w:space="0" w:color="auto"/>
          </w:divBdr>
        </w:div>
      </w:divsChild>
    </w:div>
    <w:div w:id="1285186442">
      <w:bodyDiv w:val="1"/>
      <w:marLeft w:val="0"/>
      <w:marRight w:val="0"/>
      <w:marTop w:val="0"/>
      <w:marBottom w:val="0"/>
      <w:divBdr>
        <w:top w:val="none" w:sz="0" w:space="0" w:color="auto"/>
        <w:left w:val="none" w:sz="0" w:space="0" w:color="auto"/>
        <w:bottom w:val="none" w:sz="0" w:space="0" w:color="auto"/>
        <w:right w:val="none" w:sz="0" w:space="0" w:color="auto"/>
      </w:divBdr>
    </w:div>
    <w:div w:id="1344626110">
      <w:bodyDiv w:val="1"/>
      <w:marLeft w:val="0"/>
      <w:marRight w:val="0"/>
      <w:marTop w:val="0"/>
      <w:marBottom w:val="0"/>
      <w:divBdr>
        <w:top w:val="none" w:sz="0" w:space="0" w:color="auto"/>
        <w:left w:val="none" w:sz="0" w:space="0" w:color="auto"/>
        <w:bottom w:val="none" w:sz="0" w:space="0" w:color="auto"/>
        <w:right w:val="none" w:sz="0" w:space="0" w:color="auto"/>
      </w:divBdr>
      <w:divsChild>
        <w:div w:id="362364388">
          <w:marLeft w:val="446"/>
          <w:marRight w:val="0"/>
          <w:marTop w:val="0"/>
          <w:marBottom w:val="0"/>
          <w:divBdr>
            <w:top w:val="none" w:sz="0" w:space="0" w:color="auto"/>
            <w:left w:val="none" w:sz="0" w:space="0" w:color="auto"/>
            <w:bottom w:val="none" w:sz="0" w:space="0" w:color="auto"/>
            <w:right w:val="none" w:sz="0" w:space="0" w:color="auto"/>
          </w:divBdr>
        </w:div>
        <w:div w:id="1364525570">
          <w:marLeft w:val="446"/>
          <w:marRight w:val="0"/>
          <w:marTop w:val="0"/>
          <w:marBottom w:val="0"/>
          <w:divBdr>
            <w:top w:val="none" w:sz="0" w:space="0" w:color="auto"/>
            <w:left w:val="none" w:sz="0" w:space="0" w:color="auto"/>
            <w:bottom w:val="none" w:sz="0" w:space="0" w:color="auto"/>
            <w:right w:val="none" w:sz="0" w:space="0" w:color="auto"/>
          </w:divBdr>
        </w:div>
        <w:div w:id="1277325569">
          <w:marLeft w:val="446"/>
          <w:marRight w:val="0"/>
          <w:marTop w:val="0"/>
          <w:marBottom w:val="0"/>
          <w:divBdr>
            <w:top w:val="none" w:sz="0" w:space="0" w:color="auto"/>
            <w:left w:val="none" w:sz="0" w:space="0" w:color="auto"/>
            <w:bottom w:val="none" w:sz="0" w:space="0" w:color="auto"/>
            <w:right w:val="none" w:sz="0" w:space="0" w:color="auto"/>
          </w:divBdr>
        </w:div>
      </w:divsChild>
    </w:div>
    <w:div w:id="1782609589">
      <w:bodyDiv w:val="1"/>
      <w:marLeft w:val="0"/>
      <w:marRight w:val="0"/>
      <w:marTop w:val="0"/>
      <w:marBottom w:val="0"/>
      <w:divBdr>
        <w:top w:val="none" w:sz="0" w:space="0" w:color="auto"/>
        <w:left w:val="none" w:sz="0" w:space="0" w:color="auto"/>
        <w:bottom w:val="none" w:sz="0" w:space="0" w:color="auto"/>
        <w:right w:val="none" w:sz="0" w:space="0" w:color="auto"/>
      </w:divBdr>
      <w:divsChild>
        <w:div w:id="1036271228">
          <w:marLeft w:val="446"/>
          <w:marRight w:val="0"/>
          <w:marTop w:val="0"/>
          <w:marBottom w:val="0"/>
          <w:divBdr>
            <w:top w:val="none" w:sz="0" w:space="0" w:color="auto"/>
            <w:left w:val="none" w:sz="0" w:space="0" w:color="auto"/>
            <w:bottom w:val="none" w:sz="0" w:space="0" w:color="auto"/>
            <w:right w:val="none" w:sz="0" w:space="0" w:color="auto"/>
          </w:divBdr>
        </w:div>
        <w:div w:id="573205232">
          <w:marLeft w:val="446"/>
          <w:marRight w:val="0"/>
          <w:marTop w:val="0"/>
          <w:marBottom w:val="0"/>
          <w:divBdr>
            <w:top w:val="none" w:sz="0" w:space="0" w:color="auto"/>
            <w:left w:val="none" w:sz="0" w:space="0" w:color="auto"/>
            <w:bottom w:val="none" w:sz="0" w:space="0" w:color="auto"/>
            <w:right w:val="none" w:sz="0" w:space="0" w:color="auto"/>
          </w:divBdr>
        </w:div>
        <w:div w:id="1600600785">
          <w:marLeft w:val="446"/>
          <w:marRight w:val="0"/>
          <w:marTop w:val="0"/>
          <w:marBottom w:val="0"/>
          <w:divBdr>
            <w:top w:val="none" w:sz="0" w:space="0" w:color="auto"/>
            <w:left w:val="none" w:sz="0" w:space="0" w:color="auto"/>
            <w:bottom w:val="none" w:sz="0" w:space="0" w:color="auto"/>
            <w:right w:val="none" w:sz="0" w:space="0" w:color="auto"/>
          </w:divBdr>
        </w:div>
        <w:div w:id="1069574998">
          <w:marLeft w:val="446"/>
          <w:marRight w:val="0"/>
          <w:marTop w:val="0"/>
          <w:marBottom w:val="0"/>
          <w:divBdr>
            <w:top w:val="none" w:sz="0" w:space="0" w:color="auto"/>
            <w:left w:val="none" w:sz="0" w:space="0" w:color="auto"/>
            <w:bottom w:val="none" w:sz="0" w:space="0" w:color="auto"/>
            <w:right w:val="none" w:sz="0" w:space="0" w:color="auto"/>
          </w:divBdr>
        </w:div>
      </w:divsChild>
    </w:div>
    <w:div w:id="1953397214">
      <w:bodyDiv w:val="1"/>
      <w:marLeft w:val="0"/>
      <w:marRight w:val="0"/>
      <w:marTop w:val="0"/>
      <w:marBottom w:val="0"/>
      <w:divBdr>
        <w:top w:val="none" w:sz="0" w:space="0" w:color="auto"/>
        <w:left w:val="none" w:sz="0" w:space="0" w:color="auto"/>
        <w:bottom w:val="none" w:sz="0" w:space="0" w:color="auto"/>
        <w:right w:val="none" w:sz="0" w:space="0" w:color="auto"/>
      </w:divBdr>
      <w:divsChild>
        <w:div w:id="1793745385">
          <w:marLeft w:val="446"/>
          <w:marRight w:val="0"/>
          <w:marTop w:val="0"/>
          <w:marBottom w:val="0"/>
          <w:divBdr>
            <w:top w:val="none" w:sz="0" w:space="0" w:color="auto"/>
            <w:left w:val="none" w:sz="0" w:space="0" w:color="auto"/>
            <w:bottom w:val="none" w:sz="0" w:space="0" w:color="auto"/>
            <w:right w:val="none" w:sz="0" w:space="0" w:color="auto"/>
          </w:divBdr>
        </w:div>
        <w:div w:id="1852640823">
          <w:marLeft w:val="446"/>
          <w:marRight w:val="0"/>
          <w:marTop w:val="0"/>
          <w:marBottom w:val="0"/>
          <w:divBdr>
            <w:top w:val="none" w:sz="0" w:space="0" w:color="auto"/>
            <w:left w:val="none" w:sz="0" w:space="0" w:color="auto"/>
            <w:bottom w:val="none" w:sz="0" w:space="0" w:color="auto"/>
            <w:right w:val="none" w:sz="0" w:space="0" w:color="auto"/>
          </w:divBdr>
        </w:div>
        <w:div w:id="1260914003">
          <w:marLeft w:val="446"/>
          <w:marRight w:val="0"/>
          <w:marTop w:val="0"/>
          <w:marBottom w:val="0"/>
          <w:divBdr>
            <w:top w:val="none" w:sz="0" w:space="0" w:color="auto"/>
            <w:left w:val="none" w:sz="0" w:space="0" w:color="auto"/>
            <w:bottom w:val="none" w:sz="0" w:space="0" w:color="auto"/>
            <w:right w:val="none" w:sz="0" w:space="0" w:color="auto"/>
          </w:divBdr>
        </w:div>
        <w:div w:id="257756601">
          <w:marLeft w:val="446"/>
          <w:marRight w:val="0"/>
          <w:marTop w:val="0"/>
          <w:marBottom w:val="0"/>
          <w:divBdr>
            <w:top w:val="none" w:sz="0" w:space="0" w:color="auto"/>
            <w:left w:val="none" w:sz="0" w:space="0" w:color="auto"/>
            <w:bottom w:val="none" w:sz="0" w:space="0" w:color="auto"/>
            <w:right w:val="none" w:sz="0" w:space="0" w:color="auto"/>
          </w:divBdr>
        </w:div>
        <w:div w:id="1090347455">
          <w:marLeft w:val="446"/>
          <w:marRight w:val="0"/>
          <w:marTop w:val="0"/>
          <w:marBottom w:val="0"/>
          <w:divBdr>
            <w:top w:val="none" w:sz="0" w:space="0" w:color="auto"/>
            <w:left w:val="none" w:sz="0" w:space="0" w:color="auto"/>
            <w:bottom w:val="none" w:sz="0" w:space="0" w:color="auto"/>
            <w:right w:val="none" w:sz="0" w:space="0" w:color="auto"/>
          </w:divBdr>
        </w:div>
      </w:divsChild>
    </w:div>
    <w:div w:id="1976176705">
      <w:bodyDiv w:val="1"/>
      <w:marLeft w:val="0"/>
      <w:marRight w:val="0"/>
      <w:marTop w:val="0"/>
      <w:marBottom w:val="0"/>
      <w:divBdr>
        <w:top w:val="none" w:sz="0" w:space="0" w:color="auto"/>
        <w:left w:val="none" w:sz="0" w:space="0" w:color="auto"/>
        <w:bottom w:val="none" w:sz="0" w:space="0" w:color="auto"/>
        <w:right w:val="none" w:sz="0" w:space="0" w:color="auto"/>
      </w:divBdr>
      <w:divsChild>
        <w:div w:id="1703049956">
          <w:marLeft w:val="446"/>
          <w:marRight w:val="0"/>
          <w:marTop w:val="0"/>
          <w:marBottom w:val="0"/>
          <w:divBdr>
            <w:top w:val="none" w:sz="0" w:space="0" w:color="auto"/>
            <w:left w:val="none" w:sz="0" w:space="0" w:color="auto"/>
            <w:bottom w:val="none" w:sz="0" w:space="0" w:color="auto"/>
            <w:right w:val="none" w:sz="0" w:space="0" w:color="auto"/>
          </w:divBdr>
        </w:div>
        <w:div w:id="1275480905">
          <w:marLeft w:val="446"/>
          <w:marRight w:val="0"/>
          <w:marTop w:val="0"/>
          <w:marBottom w:val="0"/>
          <w:divBdr>
            <w:top w:val="none" w:sz="0" w:space="0" w:color="auto"/>
            <w:left w:val="none" w:sz="0" w:space="0" w:color="auto"/>
            <w:bottom w:val="none" w:sz="0" w:space="0" w:color="auto"/>
            <w:right w:val="none" w:sz="0" w:space="0" w:color="auto"/>
          </w:divBdr>
        </w:div>
        <w:div w:id="1717582701">
          <w:marLeft w:val="446"/>
          <w:marRight w:val="0"/>
          <w:marTop w:val="0"/>
          <w:marBottom w:val="0"/>
          <w:divBdr>
            <w:top w:val="none" w:sz="0" w:space="0" w:color="auto"/>
            <w:left w:val="none" w:sz="0" w:space="0" w:color="auto"/>
            <w:bottom w:val="none" w:sz="0" w:space="0" w:color="auto"/>
            <w:right w:val="none" w:sz="0" w:space="0" w:color="auto"/>
          </w:divBdr>
        </w:div>
        <w:div w:id="525876625">
          <w:marLeft w:val="446"/>
          <w:marRight w:val="0"/>
          <w:marTop w:val="0"/>
          <w:marBottom w:val="0"/>
          <w:divBdr>
            <w:top w:val="none" w:sz="0" w:space="0" w:color="auto"/>
            <w:left w:val="none" w:sz="0" w:space="0" w:color="auto"/>
            <w:bottom w:val="none" w:sz="0" w:space="0" w:color="auto"/>
            <w:right w:val="none" w:sz="0" w:space="0" w:color="auto"/>
          </w:divBdr>
        </w:div>
        <w:div w:id="2032409122">
          <w:marLeft w:val="446"/>
          <w:marRight w:val="0"/>
          <w:marTop w:val="0"/>
          <w:marBottom w:val="0"/>
          <w:divBdr>
            <w:top w:val="none" w:sz="0" w:space="0" w:color="auto"/>
            <w:left w:val="none" w:sz="0" w:space="0" w:color="auto"/>
            <w:bottom w:val="none" w:sz="0" w:space="0" w:color="auto"/>
            <w:right w:val="none" w:sz="0" w:space="0" w:color="auto"/>
          </w:divBdr>
        </w:div>
        <w:div w:id="711854360">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Cha16</b:Tag>
    <b:SourceType>BookSection</b:SourceType>
    <b:Guid>{70AF3FE2-D8BD-4E97-B77F-559DA37599D1}</b:Guid>
    <b:Title>Britain before the Romans</b:Title>
    <b:Year>2016</b:Year>
    <b:City>Oxford</b:City>
    <b:Publisher>Oxford University Press</b:Publisher>
    <b:Author>
      <b:Author>
        <b:NameList>
          <b:Person>
            <b:Last>Champion</b:Last>
            <b:First>C.</b:First>
          </b:Person>
        </b:NameList>
      </b:Author>
      <b:Editor>
        <b:NameList>
          <b:Person>
            <b:Last>Millett</b:Last>
            <b:First>M.</b:First>
          </b:Person>
          <b:Person>
            <b:Last>Revell</b:Last>
            <b:First>L.</b:First>
          </b:Person>
          <b:Person>
            <b:Last>Moore</b:Last>
            <b:First>A.</b:First>
          </b:Person>
        </b:NameList>
      </b:Editor>
    </b:Author>
    <b:BookTitle>The Oxford Handbook of Roman Britain</b:BookTitle>
    <b:Pages>150-178</b:Pages>
    <b:RefOrder>1</b:RefOrder>
  </b:Source>
  <b:Source>
    <b:Tag>You21</b:Tag>
    <b:SourceType>InternetSite</b:SourceType>
    <b:Guid>{9AE548BA-DC5D-44E0-A713-739C0C4EFEED}</b:Guid>
    <b:Title>Battle of Medway: Vespasian and the Roman Conquest of Britain in 43 AD</b:Title>
    <b:Year>2021</b:Year>
    <b:Author>
      <b:Author>
        <b:NameList>
          <b:Person>
            <b:Last>Young</b:Last>
            <b:First>D.</b:First>
          </b:Person>
        </b:NameList>
      </b:Author>
    </b:Author>
    <b:InternetSiteTitle>BritishBattles.com</b:InternetSiteTitle>
    <b:URL>https://www.britishbattles.com/wars-of-roman-britain/battle-of-medway/</b:URL>
    <b:RefOrder>2</b:RefOrder>
  </b:Source>
  <b:Source>
    <b:Tag>Hal20</b:Tag>
    <b:SourceType>Book</b:SourceType>
    <b:Guid>{2163B291-A6C4-435E-997B-ED04DC94D387}</b:Guid>
    <b:Title>A People's History of Classics: Class and Greco-Roman Antiquity in Britain and Ireland 1689 to 1939</b:Title>
    <b:Year>2020</b:Year>
    <b:City>Abingdon-on-Thames</b:City>
    <b:Publisher>Routledge</b:Publisher>
    <b:Author>
      <b:Author>
        <b:NameList>
          <b:Person>
            <b:Last>Hall</b:Last>
            <b:First>E.</b:First>
          </b:Person>
          <b:Person>
            <b:Last>Stead</b:Last>
            <b:First>H.</b:First>
          </b:Person>
        </b:NameList>
      </b:Author>
    </b:Author>
    <b:RefOrder>3</b:RefOrder>
  </b:Source>
  <b:Source>
    <b:Tag>Hal201</b:Tag>
    <b:SourceType>BookSection</b:SourceType>
    <b:Guid>{ECFF0B4A-F33B-4E8B-A924-B7D409793DAA}</b:Guid>
    <b:Title>British Imperialist and/or Avatar of Welshness?: Caractacus Performances in the Long Nineteenth Century</b:Title>
    <b:Year>2020</b:Year>
    <b:Author>
      <b:Author>
        <b:NameList>
          <b:Person>
            <b:Last>Hall</b:Last>
            <b:First>E.</b:First>
          </b:Person>
        </b:NameList>
      </b:Author>
      <b:Editor>
        <b:NameList>
          <b:Person>
            <b:Last>Kaminski-Jones</b:Last>
            <b:First>F.</b:First>
          </b:Person>
          <b:Person>
            <b:Last>Kaminski-Jones</b:Last>
            <b:First>R.</b:First>
          </b:Person>
        </b:NameList>
      </b:Editor>
    </b:Author>
    <b:BookTitle>Celts, Romans, Britons: Classical and Celtic Influence in the Construction of British Identities</b:BookTitle>
    <b:Pages>141-159</b:Pages>
    <b:City>Oxford</b:City>
    <b:Publisher>Oxford University Press</b:Publisher>
    <b:RefOrder>4</b:RefOrder>
  </b:Source>
</b:Sources>
</file>

<file path=customXml/itemProps1.xml><?xml version="1.0" encoding="utf-8"?>
<ds:datastoreItem xmlns:ds="http://schemas.openxmlformats.org/officeDocument/2006/customXml" ds:itemID="{0ADD2FFB-DB01-4570-BD5A-7BB7044482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1665</TotalTime>
  <Pages>11</Pages>
  <Words>4899</Words>
  <Characters>27929</Characters>
  <Application>Microsoft Office Word</Application>
  <DocSecurity>0</DocSecurity>
  <Lines>232</Lines>
  <Paragraphs>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32763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PENMAN, GILES (PGR)</dc:creator>
  <cp:keywords/>
  <dc:description/>
  <cp:lastModifiedBy>Grigsby, Paul</cp:lastModifiedBy>
  <cp:revision>9</cp:revision>
  <dcterms:created xsi:type="dcterms:W3CDTF">2021-08-19T13:07:00Z</dcterms:created>
  <dcterms:modified xsi:type="dcterms:W3CDTF">2021-09-11T17:10:00Z</dcterms:modified>
</cp:coreProperties>
</file>