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8E1414" w14:textId="6F5B400A" w:rsidR="00692C2A" w:rsidRPr="00692C2A" w:rsidRDefault="00692C2A" w:rsidP="00012082">
      <w:pPr>
        <w:jc w:val="center"/>
        <w:rPr>
          <w:rFonts w:ascii="Gentium Plus" w:hAnsi="Gentium Plus" w:cs="Gentium Plus"/>
          <w:i/>
          <w:iCs/>
          <w:sz w:val="22"/>
          <w:szCs w:val="22"/>
        </w:rPr>
      </w:pPr>
      <w:bookmarkStart w:id="0" w:name="_GoBack"/>
      <w:bookmarkEnd w:id="0"/>
      <w:r w:rsidRPr="00692C2A">
        <w:rPr>
          <w:rFonts w:ascii="Gentium Plus" w:hAnsi="Gentium Plus" w:cs="Gentium Plus"/>
          <w:i/>
          <w:iCs/>
          <w:sz w:val="22"/>
          <w:szCs w:val="22"/>
        </w:rPr>
        <w:t>King’s College London Department of Classics</w:t>
      </w:r>
    </w:p>
    <w:p w14:paraId="1AB49F8B" w14:textId="1E595E28" w:rsidR="00692C2A" w:rsidRDefault="00692C2A" w:rsidP="00012082">
      <w:pPr>
        <w:jc w:val="center"/>
        <w:rPr>
          <w:rFonts w:ascii="Gentium Plus" w:hAnsi="Gentium Plus" w:cs="Gentium Plus"/>
          <w:sz w:val="22"/>
          <w:szCs w:val="22"/>
        </w:rPr>
      </w:pPr>
    </w:p>
    <w:p w14:paraId="657DE305" w14:textId="4CA24E9C" w:rsidR="00692C2A" w:rsidRPr="00692C2A" w:rsidRDefault="00692C2A" w:rsidP="00012082">
      <w:pPr>
        <w:jc w:val="center"/>
        <w:rPr>
          <w:rFonts w:ascii="Gentium Plus" w:hAnsi="Gentium Plus" w:cs="Gentium Plus"/>
          <w:b/>
          <w:bCs/>
          <w:sz w:val="22"/>
          <w:szCs w:val="22"/>
        </w:rPr>
      </w:pPr>
      <w:r w:rsidRPr="00692C2A">
        <w:rPr>
          <w:rFonts w:ascii="Gentium Plus" w:hAnsi="Gentium Plus" w:cs="Gentium Plus"/>
          <w:b/>
          <w:bCs/>
          <w:sz w:val="22"/>
          <w:szCs w:val="22"/>
        </w:rPr>
        <w:t>Classical Civilisation Summer School</w:t>
      </w:r>
    </w:p>
    <w:p w14:paraId="5DECD460" w14:textId="77777777" w:rsidR="00692C2A" w:rsidRDefault="00692C2A" w:rsidP="00012082">
      <w:pPr>
        <w:jc w:val="center"/>
        <w:rPr>
          <w:rFonts w:ascii="Gentium Plus" w:hAnsi="Gentium Plus" w:cs="Gentium Plus"/>
          <w:sz w:val="22"/>
          <w:szCs w:val="22"/>
        </w:rPr>
      </w:pPr>
    </w:p>
    <w:p w14:paraId="0EA3AD4C" w14:textId="06B6E431" w:rsidR="009A6E23" w:rsidRPr="00692C2A" w:rsidRDefault="00692C2A" w:rsidP="00012082">
      <w:pPr>
        <w:jc w:val="center"/>
        <w:rPr>
          <w:rFonts w:ascii="Gentium Plus" w:hAnsi="Gentium Plus" w:cs="Gentium Plus"/>
          <w:i/>
          <w:iCs/>
          <w:sz w:val="22"/>
          <w:szCs w:val="22"/>
        </w:rPr>
      </w:pPr>
      <w:r w:rsidRPr="00692C2A">
        <w:rPr>
          <w:rFonts w:ascii="Gentium Plus" w:hAnsi="Gentium Plus" w:cs="Gentium Plus"/>
          <w:i/>
          <w:iCs/>
          <w:sz w:val="22"/>
          <w:szCs w:val="22"/>
        </w:rPr>
        <w:t>A Level Greek Religion Activity – Methods of Divination</w:t>
      </w:r>
    </w:p>
    <w:p w14:paraId="6EAA0B55" w14:textId="71324005" w:rsidR="009A6E23" w:rsidRPr="00692C2A" w:rsidRDefault="009A6E23">
      <w:pPr>
        <w:rPr>
          <w:rFonts w:ascii="Gentium Plus" w:hAnsi="Gentium Plus" w:cs="Gentium Plus"/>
          <w:sz w:val="22"/>
          <w:szCs w:val="22"/>
        </w:rPr>
      </w:pPr>
    </w:p>
    <w:p w14:paraId="2FCEF049" w14:textId="646CA4E8" w:rsidR="00012082" w:rsidRPr="00692C2A" w:rsidRDefault="00012082">
      <w:pPr>
        <w:rPr>
          <w:rFonts w:ascii="Gentium Plus" w:hAnsi="Gentium Plus" w:cs="Gentium Plus"/>
          <w:sz w:val="22"/>
          <w:szCs w:val="22"/>
        </w:rPr>
      </w:pPr>
      <w:r w:rsidRPr="00692C2A">
        <w:rPr>
          <w:rFonts w:ascii="Gentium Plus" w:hAnsi="Gentium Plus" w:cs="Gentium Plus"/>
          <w:sz w:val="22"/>
          <w:szCs w:val="22"/>
        </w:rPr>
        <w:t>It is clear that a range of methods of divination were used by Greeks and Romans in both public and private circumstances. But we have surprisingly little evidence about how oracles and other forms of divination worked.</w:t>
      </w:r>
    </w:p>
    <w:p w14:paraId="36FF4A53" w14:textId="7AD31728" w:rsidR="00012082" w:rsidRPr="00692C2A" w:rsidRDefault="00012082">
      <w:pPr>
        <w:rPr>
          <w:rFonts w:ascii="Gentium Plus" w:hAnsi="Gentium Plus" w:cs="Gentium Plus"/>
          <w:sz w:val="22"/>
          <w:szCs w:val="22"/>
        </w:rPr>
      </w:pPr>
    </w:p>
    <w:p w14:paraId="0F2C64E7" w14:textId="15BD2CD0" w:rsidR="00012082" w:rsidRPr="00692C2A" w:rsidRDefault="00012082">
      <w:pPr>
        <w:rPr>
          <w:rFonts w:ascii="Gentium Plus" w:hAnsi="Gentium Plus" w:cs="Gentium Plus"/>
          <w:sz w:val="22"/>
          <w:szCs w:val="22"/>
        </w:rPr>
      </w:pPr>
      <w:r w:rsidRPr="00692C2A">
        <w:rPr>
          <w:rFonts w:ascii="Gentium Plus" w:hAnsi="Gentium Plus" w:cs="Gentium Plus"/>
          <w:sz w:val="22"/>
          <w:szCs w:val="22"/>
        </w:rPr>
        <w:t>This activity has two elements.</w:t>
      </w:r>
    </w:p>
    <w:p w14:paraId="156CE049" w14:textId="0CE51741" w:rsidR="00012082" w:rsidRPr="00692C2A" w:rsidRDefault="00012082">
      <w:pPr>
        <w:rPr>
          <w:rFonts w:ascii="Gentium Plus" w:hAnsi="Gentium Plus" w:cs="Gentium Plus"/>
          <w:sz w:val="22"/>
          <w:szCs w:val="22"/>
        </w:rPr>
      </w:pPr>
    </w:p>
    <w:p w14:paraId="4BB9DE12" w14:textId="315CEAE4" w:rsidR="00012082" w:rsidRDefault="00012082" w:rsidP="00012082">
      <w:pPr>
        <w:pStyle w:val="ListParagraph"/>
        <w:numPr>
          <w:ilvl w:val="0"/>
          <w:numId w:val="2"/>
        </w:numPr>
        <w:rPr>
          <w:rFonts w:ascii="Gentium Plus" w:hAnsi="Gentium Plus" w:cs="Gentium Plus"/>
          <w:sz w:val="22"/>
          <w:szCs w:val="22"/>
        </w:rPr>
      </w:pPr>
      <w:r w:rsidRPr="00692C2A">
        <w:rPr>
          <w:rFonts w:ascii="Gentium Plus" w:hAnsi="Gentium Plus" w:cs="Gentium Plus"/>
          <w:sz w:val="22"/>
          <w:szCs w:val="22"/>
        </w:rPr>
        <w:t xml:space="preserve">In your group look at one of the three images, and the accompanying text. See </w:t>
      </w:r>
      <w:r w:rsidR="00CF64AB" w:rsidRPr="00692C2A">
        <w:rPr>
          <w:rFonts w:ascii="Gentium Plus" w:hAnsi="Gentium Plus" w:cs="Gentium Plus"/>
          <w:sz w:val="22"/>
          <w:szCs w:val="22"/>
        </w:rPr>
        <w:t>what they can tell you about what a divination session might actually have involved. Do bring in any other information you have about the particular example – but bear in mind that not everything said about divination is reliable. It is worth noting that there is no scholarly agreement about how things worked in any of the three cases.</w:t>
      </w:r>
    </w:p>
    <w:p w14:paraId="54AC046B" w14:textId="77777777" w:rsidR="00692C2A" w:rsidRPr="00692C2A" w:rsidRDefault="00692C2A" w:rsidP="00692C2A">
      <w:pPr>
        <w:rPr>
          <w:rFonts w:ascii="Gentium Plus" w:hAnsi="Gentium Plus" w:cs="Gentium Plus"/>
          <w:sz w:val="22"/>
          <w:szCs w:val="22"/>
        </w:rPr>
      </w:pPr>
    </w:p>
    <w:p w14:paraId="6D86ED1A" w14:textId="2E54DAD4" w:rsidR="00CF64AB" w:rsidRPr="00692C2A" w:rsidRDefault="00CF64AB" w:rsidP="00012082">
      <w:pPr>
        <w:pStyle w:val="ListParagraph"/>
        <w:numPr>
          <w:ilvl w:val="0"/>
          <w:numId w:val="2"/>
        </w:numPr>
        <w:rPr>
          <w:rFonts w:ascii="Gentium Plus" w:hAnsi="Gentium Plus" w:cs="Gentium Plus"/>
          <w:sz w:val="22"/>
          <w:szCs w:val="22"/>
        </w:rPr>
      </w:pPr>
      <w:r w:rsidRPr="00692C2A">
        <w:rPr>
          <w:rFonts w:ascii="Gentium Plus" w:hAnsi="Gentium Plus" w:cs="Gentium Plus"/>
          <w:sz w:val="22"/>
          <w:szCs w:val="22"/>
        </w:rPr>
        <w:t xml:space="preserve">Once you think you know what the process involved, consider how far you would find the outcome of the divination </w:t>
      </w:r>
      <w:r w:rsidR="00692C2A" w:rsidRPr="00692C2A">
        <w:rPr>
          <w:rFonts w:ascii="Gentium Plus" w:hAnsi="Gentium Plus" w:cs="Gentium Plus"/>
          <w:sz w:val="22"/>
          <w:szCs w:val="22"/>
        </w:rPr>
        <w:t>trustworthy</w:t>
      </w:r>
      <w:r w:rsidRPr="00692C2A">
        <w:rPr>
          <w:rFonts w:ascii="Gentium Plus" w:hAnsi="Gentium Plus" w:cs="Gentium Plus"/>
          <w:sz w:val="22"/>
          <w:szCs w:val="22"/>
        </w:rPr>
        <w:t xml:space="preserve">. Famously, the anthropologist E.E. Evans-Pritchard said about the ‘poison oracle’ used by the Azande in </w:t>
      </w:r>
      <w:r w:rsidR="00692C2A" w:rsidRPr="00692C2A">
        <w:rPr>
          <w:rFonts w:ascii="Gentium Plus" w:hAnsi="Gentium Plus" w:cs="Gentium Plus"/>
          <w:sz w:val="22"/>
          <w:szCs w:val="22"/>
        </w:rPr>
        <w:t>Southern Sudan in the 1920s</w:t>
      </w:r>
      <w:r w:rsidRPr="00692C2A">
        <w:rPr>
          <w:rFonts w:ascii="Gentium Plus" w:hAnsi="Gentium Plus" w:cs="Gentium Plus"/>
          <w:sz w:val="22"/>
          <w:szCs w:val="22"/>
        </w:rPr>
        <w:t>, ‘I found it as satisfactory a way of running my home and affairs any other I know.’</w:t>
      </w:r>
    </w:p>
    <w:p w14:paraId="77ED5E89" w14:textId="77777777" w:rsidR="00012082" w:rsidRPr="00012082" w:rsidRDefault="00012082">
      <w:pPr>
        <w:rPr>
          <w:rFonts w:ascii="Gentium Plus" w:hAnsi="Gentium Plus" w:cs="Gentium Plus"/>
          <w:sz w:val="20"/>
          <w:szCs w:val="20"/>
        </w:rPr>
      </w:pPr>
      <w:r w:rsidRPr="00012082">
        <w:rPr>
          <w:rFonts w:ascii="Gentium Plus" w:hAnsi="Gentium Plus" w:cs="Gentium Plus"/>
          <w:sz w:val="20"/>
          <w:szCs w:val="20"/>
        </w:rPr>
        <w:br w:type="page"/>
      </w:r>
    </w:p>
    <w:p w14:paraId="29CDAB5E" w14:textId="7A82686F" w:rsidR="00205818" w:rsidRPr="00012082" w:rsidRDefault="00205818" w:rsidP="00205818">
      <w:pPr>
        <w:rPr>
          <w:rFonts w:ascii="Gentium Plus" w:hAnsi="Gentium Plus" w:cs="Gentium Plus"/>
          <w:b/>
          <w:bCs/>
          <w:sz w:val="20"/>
          <w:szCs w:val="20"/>
        </w:rPr>
      </w:pPr>
      <w:r w:rsidRPr="00012082">
        <w:rPr>
          <w:rFonts w:ascii="Gentium Plus" w:hAnsi="Gentium Plus" w:cs="Gentium Plus"/>
          <w:b/>
          <w:bCs/>
          <w:sz w:val="20"/>
          <w:szCs w:val="20"/>
        </w:rPr>
        <w:lastRenderedPageBreak/>
        <w:t>1. Oracle of Apollo at Delphi</w:t>
      </w:r>
    </w:p>
    <w:p w14:paraId="326BC440" w14:textId="6B54A2C4" w:rsidR="00205818" w:rsidRPr="00012082" w:rsidRDefault="00205818" w:rsidP="00205818">
      <w:pPr>
        <w:rPr>
          <w:rFonts w:ascii="Gentium Plus" w:hAnsi="Gentium Plus" w:cs="Gentium Plus"/>
          <w:sz w:val="20"/>
          <w:szCs w:val="20"/>
        </w:rPr>
      </w:pPr>
    </w:p>
    <w:p w14:paraId="28F5190A" w14:textId="67C44FB2" w:rsidR="00205818" w:rsidRPr="00012082" w:rsidRDefault="00205818" w:rsidP="00205818">
      <w:pPr>
        <w:rPr>
          <w:rFonts w:ascii="Gentium Plus" w:hAnsi="Gentium Plus" w:cs="Gentium Plus"/>
          <w:i/>
          <w:iCs/>
          <w:sz w:val="20"/>
          <w:szCs w:val="20"/>
        </w:rPr>
      </w:pPr>
      <w:r w:rsidRPr="00012082">
        <w:rPr>
          <w:rFonts w:ascii="Gentium Plus" w:hAnsi="Gentium Plus" w:cs="Gentium Plus"/>
          <w:i/>
          <w:iCs/>
          <w:sz w:val="20"/>
          <w:szCs w:val="20"/>
        </w:rPr>
        <w:t>Evidence: Red-figure Attic kylix depicting the Pythia and a consultant (440-430 BC).</w:t>
      </w:r>
      <w:r w:rsidR="00012082" w:rsidRPr="00012082">
        <w:rPr>
          <w:rFonts w:ascii="Gentium Plus" w:hAnsi="Gentium Plus" w:cs="Gentium Plus"/>
          <w:i/>
          <w:iCs/>
          <w:sz w:val="20"/>
          <w:szCs w:val="20"/>
        </w:rPr>
        <w:t xml:space="preserve"> The figures are named Themis and Aigeus.</w:t>
      </w:r>
      <w:r w:rsidRPr="00012082">
        <w:rPr>
          <w:rFonts w:ascii="Gentium Plus" w:hAnsi="Gentium Plus" w:cs="Gentium Plus"/>
          <w:i/>
          <w:iCs/>
          <w:sz w:val="20"/>
          <w:szCs w:val="20"/>
        </w:rPr>
        <w:t xml:space="preserve"> This is a prescribed source at A level.</w:t>
      </w:r>
    </w:p>
    <w:p w14:paraId="26EFE827" w14:textId="5CA9F7FC" w:rsidR="00205818" w:rsidRPr="00012082" w:rsidRDefault="00205818" w:rsidP="00205818">
      <w:pPr>
        <w:rPr>
          <w:rFonts w:ascii="Gentium Plus" w:hAnsi="Gentium Plus" w:cs="Gentium Plus"/>
          <w:sz w:val="20"/>
          <w:szCs w:val="20"/>
        </w:rPr>
      </w:pPr>
    </w:p>
    <w:p w14:paraId="4EC05A9E" w14:textId="5CDD97EC" w:rsidR="00205818" w:rsidRPr="00205818" w:rsidRDefault="00205818" w:rsidP="00205818">
      <w:pPr>
        <w:rPr>
          <w:rFonts w:ascii="Gentium Plus" w:eastAsia="Times New Roman" w:hAnsi="Gentium Plus" w:cs="Gentium Plus"/>
          <w:sz w:val="20"/>
          <w:szCs w:val="20"/>
        </w:rPr>
      </w:pPr>
      <w:r w:rsidRPr="00205818">
        <w:rPr>
          <w:rFonts w:ascii="Gentium Plus" w:eastAsia="Times New Roman" w:hAnsi="Gentium Plus" w:cs="Gentium Plus"/>
          <w:sz w:val="20"/>
          <w:szCs w:val="20"/>
        </w:rPr>
        <w:fldChar w:fldCharType="begin"/>
      </w:r>
      <w:r w:rsidR="00977B3F">
        <w:rPr>
          <w:rFonts w:ascii="Gentium Plus" w:eastAsia="Times New Roman" w:hAnsi="Gentium Plus" w:cs="Gentium Plus"/>
          <w:sz w:val="20"/>
          <w:szCs w:val="20"/>
        </w:rPr>
        <w:instrText xml:space="preserve"> INCLUDEPICTURE "C:\\var\\folders\\gj\\9_rwgj7n6lz_mg975532_rtr0000gn\\T\\com.microsoft.Word\\WebArchiveCopyPasteTempFiles\\file-20190121-100292-1qsueuj.jpg?ixlib=rb-1.1.0&amp;q=45&amp;auto=format&amp;w=496&amp;fit=clip" \* MERGEFORMAT </w:instrText>
      </w:r>
      <w:r w:rsidRPr="00205818">
        <w:rPr>
          <w:rFonts w:ascii="Gentium Plus" w:eastAsia="Times New Roman" w:hAnsi="Gentium Plus" w:cs="Gentium Plus"/>
          <w:sz w:val="20"/>
          <w:szCs w:val="20"/>
        </w:rPr>
        <w:fldChar w:fldCharType="separate"/>
      </w:r>
      <w:r w:rsidRPr="00012082">
        <w:rPr>
          <w:rFonts w:ascii="Gentium Plus" w:eastAsia="Times New Roman" w:hAnsi="Gentium Plus" w:cs="Gentium Plus"/>
          <w:noProof/>
          <w:sz w:val="20"/>
          <w:szCs w:val="20"/>
        </w:rPr>
        <w:drawing>
          <wp:inline distT="0" distB="0" distL="0" distR="0" wp14:anchorId="7AA60951" wp14:editId="0F5D399D">
            <wp:extent cx="3929204" cy="3929204"/>
            <wp:effectExtent l="0" t="0" r="0" b="0"/>
            <wp:docPr id="3" name="Picture 3" descr="Image result for pythia kyl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pythia kylix"/>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35589" cy="3935589"/>
                    </a:xfrm>
                    <a:prstGeom prst="rect">
                      <a:avLst/>
                    </a:prstGeom>
                    <a:noFill/>
                    <a:ln>
                      <a:noFill/>
                    </a:ln>
                  </pic:spPr>
                </pic:pic>
              </a:graphicData>
            </a:graphic>
          </wp:inline>
        </w:drawing>
      </w:r>
      <w:r w:rsidRPr="00205818">
        <w:rPr>
          <w:rFonts w:ascii="Gentium Plus" w:eastAsia="Times New Roman" w:hAnsi="Gentium Plus" w:cs="Gentium Plus"/>
          <w:sz w:val="20"/>
          <w:szCs w:val="20"/>
        </w:rPr>
        <w:fldChar w:fldCharType="end"/>
      </w:r>
    </w:p>
    <w:p w14:paraId="20617AFF" w14:textId="20659BF3" w:rsidR="00205818" w:rsidRPr="00205818" w:rsidRDefault="00205818" w:rsidP="00205818">
      <w:pPr>
        <w:rPr>
          <w:rFonts w:ascii="Gentium Plus" w:eastAsia="Times New Roman" w:hAnsi="Gentium Plus" w:cs="Gentium Plus"/>
          <w:sz w:val="20"/>
          <w:szCs w:val="20"/>
        </w:rPr>
      </w:pPr>
    </w:p>
    <w:p w14:paraId="7F9B53E3" w14:textId="35B910EA" w:rsidR="00205818" w:rsidRPr="00012082" w:rsidRDefault="00172E57" w:rsidP="00205818">
      <w:pPr>
        <w:rPr>
          <w:rFonts w:ascii="Gentium Plus" w:hAnsi="Gentium Plus" w:cs="Gentium Plus"/>
          <w:sz w:val="20"/>
          <w:szCs w:val="20"/>
        </w:rPr>
      </w:pPr>
      <w:r w:rsidRPr="00012082">
        <w:rPr>
          <w:rFonts w:ascii="Gentium Plus" w:hAnsi="Gentium Plus" w:cs="Gentium Plus"/>
          <w:sz w:val="20"/>
          <w:szCs w:val="20"/>
        </w:rPr>
        <w:t xml:space="preserve">Responses recorded </w:t>
      </w:r>
      <w:r w:rsidR="00012082" w:rsidRPr="00012082">
        <w:rPr>
          <w:rFonts w:ascii="Gentium Plus" w:hAnsi="Gentium Plus" w:cs="Gentium Plus"/>
          <w:sz w:val="20"/>
          <w:szCs w:val="20"/>
        </w:rPr>
        <w:t>in inscriptions:</w:t>
      </w:r>
    </w:p>
    <w:p w14:paraId="17CABE4C" w14:textId="57F3228E" w:rsidR="00012082" w:rsidRPr="00012082" w:rsidRDefault="00012082" w:rsidP="00205818">
      <w:pPr>
        <w:rPr>
          <w:rFonts w:ascii="Gentium Plus" w:hAnsi="Gentium Plus" w:cs="Gentium Plus"/>
          <w:sz w:val="20"/>
          <w:szCs w:val="20"/>
        </w:rPr>
      </w:pPr>
    </w:p>
    <w:p w14:paraId="16151176" w14:textId="734EF4C5" w:rsidR="00012082" w:rsidRPr="00012082" w:rsidRDefault="00012082" w:rsidP="00012082">
      <w:pPr>
        <w:rPr>
          <w:rFonts w:ascii="Gentium Plus" w:hAnsi="Gentium Plus" w:cs="Gentium Plus"/>
          <w:sz w:val="20"/>
          <w:szCs w:val="20"/>
        </w:rPr>
      </w:pPr>
      <w:r w:rsidRPr="00012082">
        <w:rPr>
          <w:rFonts w:ascii="Gentium Plus" w:hAnsi="Gentium Plus" w:cs="Gentium Plus"/>
          <w:sz w:val="20"/>
          <w:szCs w:val="20"/>
        </w:rPr>
        <w:t>Apollo prophesied that these things were in a[ccordance with custom for the Praxiergidae:] they should put on the peplos [of the goddess and make sacrifices to the Fa]tes, Zeus Moiragetês, Gê[... (c. 460-450 BC)</w:t>
      </w:r>
    </w:p>
    <w:p w14:paraId="414B8EE5" w14:textId="77777777" w:rsidR="00012082" w:rsidRPr="00012082" w:rsidRDefault="00012082" w:rsidP="00012082">
      <w:pPr>
        <w:rPr>
          <w:rFonts w:ascii="Gentium Plus" w:hAnsi="Gentium Plus" w:cs="Gentium Plus"/>
          <w:sz w:val="20"/>
          <w:szCs w:val="20"/>
        </w:rPr>
      </w:pPr>
    </w:p>
    <w:p w14:paraId="77FD959F" w14:textId="28E5F18F" w:rsidR="00012082" w:rsidRPr="00012082" w:rsidRDefault="00012082" w:rsidP="00012082">
      <w:pPr>
        <w:rPr>
          <w:rFonts w:ascii="Gentium Plus" w:hAnsi="Gentium Plus" w:cs="Gentium Plus"/>
          <w:sz w:val="20"/>
          <w:szCs w:val="20"/>
        </w:rPr>
      </w:pPr>
      <w:r w:rsidRPr="00012082">
        <w:rPr>
          <w:rFonts w:ascii="Gentium Plus" w:hAnsi="Gentium Plus" w:cs="Gentium Plus"/>
          <w:sz w:val="20"/>
          <w:szCs w:val="20"/>
        </w:rPr>
        <w:t>The god told the demos of the Athenians to dedicate the house of Demon, and the garden attached to it, to Asclepius, and that Demon himself should be his priest. (mid fourth century BC)</w:t>
      </w:r>
    </w:p>
    <w:p w14:paraId="5661E71A" w14:textId="77777777" w:rsidR="00012082" w:rsidRPr="00012082" w:rsidRDefault="00012082" w:rsidP="00012082">
      <w:pPr>
        <w:rPr>
          <w:rFonts w:ascii="Gentium Plus" w:hAnsi="Gentium Plus" w:cs="Gentium Plus"/>
          <w:sz w:val="20"/>
          <w:szCs w:val="20"/>
        </w:rPr>
      </w:pPr>
    </w:p>
    <w:p w14:paraId="610477C6" w14:textId="4731CD10" w:rsidR="00012082" w:rsidRPr="00012082" w:rsidRDefault="00012082" w:rsidP="00012082">
      <w:pPr>
        <w:rPr>
          <w:rFonts w:ascii="Gentium Plus" w:hAnsi="Gentium Plus" w:cs="Gentium Plus"/>
          <w:sz w:val="20"/>
          <w:szCs w:val="20"/>
        </w:rPr>
      </w:pPr>
      <w:r w:rsidRPr="00012082">
        <w:rPr>
          <w:rFonts w:ascii="Gentium Plus" w:hAnsi="Gentium Plus" w:cs="Gentium Plus"/>
          <w:sz w:val="20"/>
          <w:szCs w:val="20"/>
        </w:rPr>
        <w:t>The god said that it was better and more profitable for the demos of the Acharnians and the demos of the Athenians to build altars to Ares and Athena Areia, that the Acharnians and Athenians might act properly towards the gods. (mid fourth century BC)</w:t>
      </w:r>
    </w:p>
    <w:p w14:paraId="0373DAB3" w14:textId="77777777" w:rsidR="00012082" w:rsidRPr="00012082" w:rsidRDefault="00012082" w:rsidP="00012082">
      <w:pPr>
        <w:rPr>
          <w:rFonts w:ascii="Gentium Plus" w:hAnsi="Gentium Plus" w:cs="Gentium Plus"/>
          <w:sz w:val="20"/>
          <w:szCs w:val="20"/>
        </w:rPr>
      </w:pPr>
    </w:p>
    <w:p w14:paraId="382E76B8" w14:textId="41118F86" w:rsidR="00012082" w:rsidRPr="00012082" w:rsidRDefault="00012082" w:rsidP="00012082">
      <w:pPr>
        <w:rPr>
          <w:rFonts w:ascii="Gentium Plus" w:hAnsi="Gentium Plus" w:cs="Gentium Plus"/>
          <w:sz w:val="20"/>
          <w:szCs w:val="20"/>
        </w:rPr>
      </w:pPr>
      <w:r w:rsidRPr="00012082">
        <w:rPr>
          <w:rFonts w:ascii="Gentium Plus" w:hAnsi="Gentium Plus" w:cs="Gentium Plus"/>
          <w:sz w:val="20"/>
          <w:szCs w:val="20"/>
        </w:rPr>
        <w:t>and to as[k the g]od whether it is more profitable and better for the demos of the Athenians [to make the sacred adornments] of Arte[mis bigge]r and more beautiful than they now are. (335/4 BC)</w:t>
      </w:r>
    </w:p>
    <w:p w14:paraId="13EEDC62" w14:textId="77777777" w:rsidR="00205818" w:rsidRPr="00012082" w:rsidRDefault="00205818">
      <w:pPr>
        <w:rPr>
          <w:rFonts w:ascii="Gentium Plus" w:hAnsi="Gentium Plus" w:cs="Gentium Plus"/>
          <w:sz w:val="20"/>
          <w:szCs w:val="20"/>
        </w:rPr>
      </w:pPr>
      <w:r w:rsidRPr="00012082">
        <w:rPr>
          <w:rFonts w:ascii="Gentium Plus" w:hAnsi="Gentium Plus" w:cs="Gentium Plus"/>
          <w:sz w:val="20"/>
          <w:szCs w:val="20"/>
        </w:rPr>
        <w:br w:type="page"/>
      </w:r>
    </w:p>
    <w:p w14:paraId="79F05C1C" w14:textId="57C3F730" w:rsidR="00207EE3" w:rsidRPr="00012082" w:rsidRDefault="00205818">
      <w:pPr>
        <w:rPr>
          <w:rFonts w:ascii="Gentium Plus" w:hAnsi="Gentium Plus" w:cs="Gentium Plus"/>
          <w:b/>
          <w:bCs/>
          <w:sz w:val="20"/>
          <w:szCs w:val="20"/>
        </w:rPr>
      </w:pPr>
      <w:r w:rsidRPr="00012082">
        <w:rPr>
          <w:rFonts w:ascii="Gentium Plus" w:hAnsi="Gentium Plus" w:cs="Gentium Plus"/>
          <w:b/>
          <w:bCs/>
          <w:sz w:val="20"/>
          <w:szCs w:val="20"/>
        </w:rPr>
        <w:lastRenderedPageBreak/>
        <w:t xml:space="preserve">2. </w:t>
      </w:r>
      <w:r w:rsidR="009A6E23" w:rsidRPr="00012082">
        <w:rPr>
          <w:rFonts w:ascii="Gentium Plus" w:hAnsi="Gentium Plus" w:cs="Gentium Plus"/>
          <w:b/>
          <w:bCs/>
          <w:sz w:val="20"/>
          <w:szCs w:val="20"/>
        </w:rPr>
        <w:t>Oracle of Zeus and Dione at Dodona</w:t>
      </w:r>
    </w:p>
    <w:p w14:paraId="02E8AEB2" w14:textId="1FBEDD58" w:rsidR="009A6E23" w:rsidRPr="00012082" w:rsidRDefault="009A6E23">
      <w:pPr>
        <w:rPr>
          <w:rFonts w:ascii="Gentium Plus" w:hAnsi="Gentium Plus" w:cs="Gentium Plus"/>
          <w:sz w:val="20"/>
          <w:szCs w:val="20"/>
        </w:rPr>
      </w:pPr>
    </w:p>
    <w:p w14:paraId="783E46D1" w14:textId="03245751" w:rsidR="009A6E23" w:rsidRPr="00012082" w:rsidRDefault="009A6E23">
      <w:pPr>
        <w:rPr>
          <w:rFonts w:ascii="Gentium Plus" w:hAnsi="Gentium Plus" w:cs="Gentium Plus"/>
          <w:i/>
          <w:iCs/>
          <w:sz w:val="20"/>
          <w:szCs w:val="20"/>
        </w:rPr>
      </w:pPr>
      <w:r w:rsidRPr="00012082">
        <w:rPr>
          <w:rFonts w:ascii="Gentium Plus" w:hAnsi="Gentium Plus" w:cs="Gentium Plus"/>
          <w:i/>
          <w:iCs/>
          <w:sz w:val="20"/>
          <w:szCs w:val="20"/>
        </w:rPr>
        <w:t>Evidence. Documents written on lead.</w:t>
      </w:r>
      <w:r w:rsidR="00172E57" w:rsidRPr="00012082">
        <w:rPr>
          <w:rFonts w:ascii="Gentium Plus" w:hAnsi="Gentium Plus" w:cs="Gentium Plus"/>
          <w:i/>
          <w:iCs/>
          <w:sz w:val="20"/>
          <w:szCs w:val="20"/>
        </w:rPr>
        <w:t xml:space="preserve"> These are discussed on pp. 30-2 of the A-level textbook.</w:t>
      </w:r>
    </w:p>
    <w:p w14:paraId="243682B0" w14:textId="77777777" w:rsidR="00172E57" w:rsidRPr="00012082" w:rsidRDefault="00172E57">
      <w:pPr>
        <w:rPr>
          <w:rFonts w:ascii="Gentium Plus" w:hAnsi="Gentium Plus" w:cs="Gentium Plus"/>
          <w:sz w:val="20"/>
          <w:szCs w:val="20"/>
        </w:rPr>
      </w:pPr>
    </w:p>
    <w:p w14:paraId="3117B3AA" w14:textId="48125616" w:rsidR="009A6E23" w:rsidRPr="00012082" w:rsidRDefault="009A6E23">
      <w:pPr>
        <w:rPr>
          <w:rFonts w:ascii="Gentium Plus" w:hAnsi="Gentium Plus" w:cs="Gentium Plus"/>
          <w:sz w:val="20"/>
          <w:szCs w:val="20"/>
        </w:rPr>
      </w:pPr>
      <w:r w:rsidRPr="00012082">
        <w:rPr>
          <w:rFonts w:ascii="Gentium Plus" w:hAnsi="Gentium Plus" w:cs="Gentium Plus"/>
          <w:noProof/>
          <w:sz w:val="20"/>
          <w:szCs w:val="20"/>
        </w:rPr>
        <w:drawing>
          <wp:inline distT="0" distB="0" distL="0" distR="0" wp14:anchorId="7D214954" wp14:editId="25B3F0A9">
            <wp:extent cx="4356065" cy="2824681"/>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4EA58-DX.jpg"/>
                    <pic:cNvPicPr/>
                  </pic:nvPicPr>
                  <pic:blipFill>
                    <a:blip r:embed="rId8">
                      <a:extLst>
                        <a:ext uri="{28A0092B-C50C-407E-A947-70E740481C1C}">
                          <a14:useLocalDpi xmlns:a14="http://schemas.microsoft.com/office/drawing/2010/main" val="0"/>
                        </a:ext>
                      </a:extLst>
                    </a:blip>
                    <a:stretch>
                      <a:fillRect/>
                    </a:stretch>
                  </pic:blipFill>
                  <pic:spPr>
                    <a:xfrm>
                      <a:off x="0" y="0"/>
                      <a:ext cx="4364792" cy="2830340"/>
                    </a:xfrm>
                    <a:prstGeom prst="rect">
                      <a:avLst/>
                    </a:prstGeom>
                  </pic:spPr>
                </pic:pic>
              </a:graphicData>
            </a:graphic>
          </wp:inline>
        </w:drawing>
      </w:r>
    </w:p>
    <w:p w14:paraId="027D5AB2" w14:textId="53C957F2" w:rsidR="009A6E23" w:rsidRPr="00012082" w:rsidRDefault="009A6E23">
      <w:pPr>
        <w:rPr>
          <w:rFonts w:ascii="Gentium Plus" w:hAnsi="Gentium Plus" w:cs="Gentium Plus"/>
          <w:sz w:val="20"/>
          <w:szCs w:val="20"/>
        </w:rPr>
      </w:pPr>
    </w:p>
    <w:p w14:paraId="6E3FC6E9" w14:textId="706A0D74" w:rsidR="009A6E23" w:rsidRPr="00012082" w:rsidRDefault="009A6E23">
      <w:pPr>
        <w:rPr>
          <w:rFonts w:ascii="Gentium Plus" w:hAnsi="Gentium Plus" w:cs="Gentium Plus"/>
          <w:sz w:val="20"/>
          <w:szCs w:val="20"/>
        </w:rPr>
      </w:pPr>
      <w:r w:rsidRPr="00012082">
        <w:rPr>
          <w:rFonts w:ascii="Gentium Plus" w:hAnsi="Gentium Plus" w:cs="Gentium Plus"/>
          <w:sz w:val="20"/>
          <w:szCs w:val="20"/>
        </w:rPr>
        <w:t>Sample texts:</w:t>
      </w:r>
    </w:p>
    <w:p w14:paraId="2F93088A" w14:textId="36BB511A" w:rsidR="009A6E23" w:rsidRPr="00012082" w:rsidRDefault="009A6E23">
      <w:pPr>
        <w:rPr>
          <w:rFonts w:ascii="Gentium Plus" w:hAnsi="Gentium Plus" w:cs="Gentium Plus"/>
          <w:sz w:val="20"/>
          <w:szCs w:val="20"/>
        </w:rPr>
      </w:pPr>
    </w:p>
    <w:p w14:paraId="1EB7F5F9" w14:textId="544ACF88" w:rsidR="009A6E23" w:rsidRPr="00012082" w:rsidRDefault="009A6E23" w:rsidP="009A6E23">
      <w:pPr>
        <w:rPr>
          <w:rFonts w:ascii="Gentium Plus" w:hAnsi="Gentium Plus" w:cs="Gentium Plus"/>
          <w:sz w:val="20"/>
          <w:szCs w:val="20"/>
        </w:rPr>
      </w:pPr>
      <w:r w:rsidRPr="00012082">
        <w:rPr>
          <w:rFonts w:ascii="Gentium Plus" w:hAnsi="Gentium Plus" w:cs="Gentium Plus"/>
          <w:sz w:val="20"/>
          <w:szCs w:val="20"/>
        </w:rPr>
        <w:t>219b. [God]. Iphiates (?) [(asks Zeus?)] to which god to address prayers [— concerning] his household and safety.</w:t>
      </w:r>
    </w:p>
    <w:p w14:paraId="55086ADF" w14:textId="3EF8DE61" w:rsidR="009A6E23" w:rsidRPr="00012082" w:rsidRDefault="009A6E23" w:rsidP="009A6E23">
      <w:pPr>
        <w:rPr>
          <w:rFonts w:ascii="Gentium Plus" w:hAnsi="Gentium Plus" w:cs="Gentium Plus"/>
          <w:sz w:val="20"/>
          <w:szCs w:val="20"/>
        </w:rPr>
      </w:pPr>
    </w:p>
    <w:p w14:paraId="73879616" w14:textId="77777777" w:rsidR="009A6E23" w:rsidRPr="00012082" w:rsidRDefault="009A6E23" w:rsidP="009A6E23">
      <w:pPr>
        <w:rPr>
          <w:rFonts w:ascii="Gentium Plus" w:hAnsi="Gentium Plus" w:cs="Gentium Plus"/>
          <w:sz w:val="20"/>
          <w:szCs w:val="20"/>
        </w:rPr>
      </w:pPr>
      <w:r w:rsidRPr="00012082">
        <w:rPr>
          <w:rFonts w:ascii="Gentium Plus" w:hAnsi="Gentium Plus" w:cs="Gentium Plus"/>
          <w:sz w:val="20"/>
          <w:szCs w:val="20"/>
        </w:rPr>
        <w:t>268a. [God. The city of the — (asks)] Zeus Naios and Dione concerning the sign which happened, what would be more advantageous and better [—] nothing [—]</w:t>
      </w:r>
    </w:p>
    <w:p w14:paraId="6C780242" w14:textId="13F0B81F" w:rsidR="009A6E23" w:rsidRPr="00012082" w:rsidRDefault="009A6E23" w:rsidP="009A6E23">
      <w:pPr>
        <w:rPr>
          <w:rFonts w:ascii="Gentium Plus" w:hAnsi="Gentium Plus" w:cs="Gentium Plus"/>
          <w:sz w:val="20"/>
          <w:szCs w:val="20"/>
        </w:rPr>
      </w:pPr>
    </w:p>
    <w:p w14:paraId="26FA0D6B" w14:textId="77777777" w:rsidR="009A6E23" w:rsidRPr="00012082" w:rsidRDefault="009A6E23" w:rsidP="009A6E23">
      <w:pPr>
        <w:rPr>
          <w:rFonts w:ascii="Gentium Plus" w:hAnsi="Gentium Plus" w:cs="Gentium Plus"/>
          <w:sz w:val="20"/>
          <w:szCs w:val="20"/>
        </w:rPr>
      </w:pPr>
      <w:r w:rsidRPr="00012082">
        <w:rPr>
          <w:rFonts w:ascii="Gentium Plus" w:hAnsi="Gentium Plus" w:cs="Gentium Plus"/>
          <w:sz w:val="20"/>
          <w:szCs w:val="20"/>
        </w:rPr>
        <w:t>272a. If not, (I ask) whether the shipowner has had evil worked against him by means of poison/potion, and if it will no longer be possible for him to transact any other business; and, without business, (I ask) if Aristobia [keeps ready what] this rogue Onasiphoros will get?</w:t>
      </w:r>
    </w:p>
    <w:p w14:paraId="14D43D41" w14:textId="21CCE417" w:rsidR="009A6E23" w:rsidRPr="00012082" w:rsidRDefault="009A6E23" w:rsidP="009A6E23">
      <w:pPr>
        <w:rPr>
          <w:rFonts w:ascii="Gentium Plus" w:hAnsi="Gentium Plus" w:cs="Gentium Plus"/>
          <w:sz w:val="20"/>
          <w:szCs w:val="20"/>
        </w:rPr>
      </w:pPr>
    </w:p>
    <w:p w14:paraId="4C571C99" w14:textId="265CC7B2" w:rsidR="009A6E23" w:rsidRPr="00012082" w:rsidRDefault="009A6E23" w:rsidP="009A6E23">
      <w:pPr>
        <w:rPr>
          <w:rFonts w:ascii="Gentium Plus" w:hAnsi="Gentium Plus" w:cs="Gentium Plus"/>
          <w:sz w:val="20"/>
          <w:szCs w:val="20"/>
        </w:rPr>
      </w:pPr>
      <w:r w:rsidRPr="00012082">
        <w:rPr>
          <w:rFonts w:ascii="Gentium Plus" w:hAnsi="Gentium Plus" w:cs="Gentium Plus"/>
          <w:sz w:val="20"/>
          <w:szCs w:val="20"/>
        </w:rPr>
        <w:t>1077b. ΕΣΣΤΙ (Is it? or It is.)</w:t>
      </w:r>
    </w:p>
    <w:p w14:paraId="5065CC8F" w14:textId="6C655C11" w:rsidR="009A6E23" w:rsidRPr="00012082" w:rsidRDefault="009A6E23" w:rsidP="009A6E23">
      <w:pPr>
        <w:rPr>
          <w:rFonts w:ascii="Gentium Plus" w:hAnsi="Gentium Plus" w:cs="Gentium Plus"/>
          <w:sz w:val="20"/>
          <w:szCs w:val="20"/>
        </w:rPr>
      </w:pPr>
    </w:p>
    <w:p w14:paraId="0789FB61" w14:textId="2E95ABD2" w:rsidR="009A6E23" w:rsidRPr="00012082" w:rsidRDefault="009A6E23" w:rsidP="009A6E23">
      <w:pPr>
        <w:rPr>
          <w:rFonts w:ascii="Gentium Plus" w:hAnsi="Gentium Plus" w:cs="Gentium Plus"/>
          <w:sz w:val="20"/>
          <w:szCs w:val="20"/>
        </w:rPr>
      </w:pPr>
      <w:r w:rsidRPr="00012082">
        <w:rPr>
          <w:rFonts w:ascii="Gentium Plus" w:hAnsi="Gentium Plus" w:cs="Gentium Plus"/>
          <w:sz w:val="20"/>
          <w:szCs w:val="20"/>
        </w:rPr>
        <w:t>2432. Set apart (or: uproot) the wild olive-tree; and to the hero offer pure pounded flour by way of seasonal fruit-offerings.</w:t>
      </w:r>
    </w:p>
    <w:p w14:paraId="4B232A69" w14:textId="711CB328" w:rsidR="00205818" w:rsidRPr="00012082" w:rsidRDefault="00205818">
      <w:pPr>
        <w:rPr>
          <w:rFonts w:ascii="Gentium Plus" w:hAnsi="Gentium Plus" w:cs="Gentium Plus"/>
          <w:sz w:val="20"/>
          <w:szCs w:val="20"/>
        </w:rPr>
      </w:pPr>
      <w:r w:rsidRPr="00012082">
        <w:rPr>
          <w:rFonts w:ascii="Gentium Plus" w:hAnsi="Gentium Plus" w:cs="Gentium Plus"/>
          <w:sz w:val="20"/>
          <w:szCs w:val="20"/>
        </w:rPr>
        <w:br w:type="page"/>
      </w:r>
    </w:p>
    <w:p w14:paraId="506CF0D5" w14:textId="2AE1598B" w:rsidR="00205818" w:rsidRPr="00012082" w:rsidRDefault="00205818">
      <w:pPr>
        <w:rPr>
          <w:rFonts w:ascii="Gentium Plus" w:hAnsi="Gentium Plus" w:cs="Gentium Plus"/>
          <w:b/>
          <w:bCs/>
          <w:sz w:val="20"/>
          <w:szCs w:val="20"/>
        </w:rPr>
      </w:pPr>
      <w:r w:rsidRPr="00012082">
        <w:rPr>
          <w:rFonts w:ascii="Gentium Plus" w:hAnsi="Gentium Plus" w:cs="Gentium Plus"/>
          <w:b/>
          <w:bCs/>
          <w:sz w:val="20"/>
          <w:szCs w:val="20"/>
        </w:rPr>
        <w:t>3. Etruscan Haruspicy</w:t>
      </w:r>
    </w:p>
    <w:p w14:paraId="436EAA15" w14:textId="77777777" w:rsidR="00205818" w:rsidRPr="00012082" w:rsidRDefault="00205818">
      <w:pPr>
        <w:rPr>
          <w:rFonts w:ascii="Gentium Plus" w:hAnsi="Gentium Plus" w:cs="Gentium Plus"/>
          <w:sz w:val="20"/>
          <w:szCs w:val="20"/>
        </w:rPr>
      </w:pPr>
    </w:p>
    <w:p w14:paraId="751200DC" w14:textId="02C33284" w:rsidR="009A6E23" w:rsidRPr="00012082" w:rsidRDefault="00205818">
      <w:pPr>
        <w:rPr>
          <w:rFonts w:ascii="Gentium Plus" w:hAnsi="Gentium Plus" w:cs="Gentium Plus"/>
          <w:i/>
          <w:iCs/>
          <w:sz w:val="20"/>
          <w:szCs w:val="20"/>
        </w:rPr>
      </w:pPr>
      <w:r w:rsidRPr="00012082">
        <w:rPr>
          <w:rFonts w:ascii="Gentium Plus" w:hAnsi="Gentium Plus" w:cs="Gentium Plus"/>
          <w:i/>
          <w:iCs/>
          <w:sz w:val="20"/>
          <w:szCs w:val="20"/>
        </w:rPr>
        <w:t>Evidence. Bronze Liver from Piacenza (c. 100 BC). This is referred to on p. 60 of the GCSE textbook.</w:t>
      </w:r>
    </w:p>
    <w:p w14:paraId="157591CD" w14:textId="5A672084" w:rsidR="00172E57" w:rsidRPr="00012082" w:rsidRDefault="00172E57">
      <w:pPr>
        <w:rPr>
          <w:rFonts w:ascii="Gentium Plus" w:hAnsi="Gentium Plus" w:cs="Gentium Plus"/>
          <w:sz w:val="20"/>
          <w:szCs w:val="20"/>
        </w:rPr>
      </w:pPr>
    </w:p>
    <w:p w14:paraId="41575DE4" w14:textId="4E07D35A" w:rsidR="00172E57" w:rsidRPr="00012082" w:rsidRDefault="00172E57">
      <w:pPr>
        <w:rPr>
          <w:rFonts w:ascii="Gentium Plus" w:hAnsi="Gentium Plus" w:cs="Gentium Plus"/>
          <w:sz w:val="20"/>
          <w:szCs w:val="20"/>
        </w:rPr>
      </w:pPr>
      <w:r w:rsidRPr="00012082">
        <w:rPr>
          <w:rFonts w:ascii="Gentium Plus" w:hAnsi="Gentium Plus" w:cs="Gentium Plus"/>
          <w:noProof/>
          <w:sz w:val="20"/>
          <w:szCs w:val="20"/>
        </w:rPr>
        <w:drawing>
          <wp:inline distT="0" distB="0" distL="0" distR="0" wp14:anchorId="5B62989A" wp14:editId="3C09CE6B">
            <wp:extent cx="3467317" cy="2263366"/>
            <wp:effectExtent l="0" t="0" r="0" b="0"/>
            <wp:docPr id="4" name="Picture 4" descr="A picture containing sitting, table,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acenza_liver.jpg"/>
                    <pic:cNvPicPr/>
                  </pic:nvPicPr>
                  <pic:blipFill>
                    <a:blip r:embed="rId9">
                      <a:extLst>
                        <a:ext uri="{28A0092B-C50C-407E-A947-70E740481C1C}">
                          <a14:useLocalDpi xmlns:a14="http://schemas.microsoft.com/office/drawing/2010/main" val="0"/>
                        </a:ext>
                      </a:extLst>
                    </a:blip>
                    <a:stretch>
                      <a:fillRect/>
                    </a:stretch>
                  </pic:blipFill>
                  <pic:spPr>
                    <a:xfrm>
                      <a:off x="0" y="0"/>
                      <a:ext cx="3480750" cy="2272135"/>
                    </a:xfrm>
                    <a:prstGeom prst="rect">
                      <a:avLst/>
                    </a:prstGeom>
                  </pic:spPr>
                </pic:pic>
              </a:graphicData>
            </a:graphic>
          </wp:inline>
        </w:drawing>
      </w:r>
    </w:p>
    <w:p w14:paraId="1D4410A5" w14:textId="2E6FA7E6" w:rsidR="00172E57" w:rsidRPr="00012082" w:rsidRDefault="00172E57">
      <w:pPr>
        <w:rPr>
          <w:rFonts w:ascii="Gentium Plus" w:hAnsi="Gentium Plus" w:cs="Gentium Plus"/>
          <w:sz w:val="20"/>
          <w:szCs w:val="20"/>
        </w:rPr>
      </w:pPr>
      <w:r w:rsidRPr="00012082">
        <w:rPr>
          <w:rFonts w:ascii="Gentium Plus" w:hAnsi="Gentium Plus" w:cs="Gentium Plus"/>
          <w:noProof/>
          <w:sz w:val="20"/>
          <w:szCs w:val="20"/>
        </w:rPr>
        <w:drawing>
          <wp:inline distT="0" distB="0" distL="0" distR="0" wp14:anchorId="434E8203" wp14:editId="13FB6573">
            <wp:extent cx="3467100" cy="2288209"/>
            <wp:effectExtent l="0" t="0" r="0" b="0"/>
            <wp:docPr id="5" name="Picture 5"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acenza_liver_diagram.jpg"/>
                    <pic:cNvPicPr/>
                  </pic:nvPicPr>
                  <pic:blipFill>
                    <a:blip r:embed="rId10">
                      <a:extLst>
                        <a:ext uri="{28A0092B-C50C-407E-A947-70E740481C1C}">
                          <a14:useLocalDpi xmlns:a14="http://schemas.microsoft.com/office/drawing/2010/main" val="0"/>
                        </a:ext>
                      </a:extLst>
                    </a:blip>
                    <a:stretch>
                      <a:fillRect/>
                    </a:stretch>
                  </pic:blipFill>
                  <pic:spPr>
                    <a:xfrm>
                      <a:off x="0" y="0"/>
                      <a:ext cx="3484104" cy="2299431"/>
                    </a:xfrm>
                    <a:prstGeom prst="rect">
                      <a:avLst/>
                    </a:prstGeom>
                  </pic:spPr>
                </pic:pic>
              </a:graphicData>
            </a:graphic>
          </wp:inline>
        </w:drawing>
      </w:r>
    </w:p>
    <w:p w14:paraId="0C88E219" w14:textId="1A557562" w:rsidR="00172E57" w:rsidRPr="00012082" w:rsidRDefault="00172E57">
      <w:pPr>
        <w:rPr>
          <w:rFonts w:ascii="Gentium Plus" w:hAnsi="Gentium Plus" w:cs="Gentium Plus"/>
          <w:sz w:val="20"/>
          <w:szCs w:val="20"/>
        </w:rPr>
      </w:pPr>
    </w:p>
    <w:p w14:paraId="63AC3FE7" w14:textId="4BF9E740" w:rsidR="00172E57" w:rsidRPr="00012082" w:rsidRDefault="00172E57">
      <w:pPr>
        <w:rPr>
          <w:rFonts w:ascii="Gentium Plus" w:hAnsi="Gentium Plus" w:cs="Gentium Plus"/>
          <w:sz w:val="20"/>
          <w:szCs w:val="20"/>
        </w:rPr>
      </w:pPr>
      <w:r w:rsidRPr="00012082">
        <w:rPr>
          <w:rFonts w:ascii="Gentium Plus" w:hAnsi="Gentium Plus" w:cs="Gentium Plus"/>
          <w:sz w:val="20"/>
          <w:szCs w:val="20"/>
        </w:rPr>
        <w:t>But those methods of divination which are dependent on conjecture, or on deductions from events previously observed and recorded, are, as I have said before, not natural, but artificial, and include the inspection of entrails, augury, and the interpretation of dreams. These are disapproved of by the Peripatetics and defended by the Stoics. Some are based upon records and usage, as is evident from the Etruscan books on divination by means of inspection of entrails and by means of thunder and lightning, and as is also evident from the books of your College of Augurs.</w:t>
      </w:r>
    </w:p>
    <w:p w14:paraId="26B5C14B" w14:textId="77777777" w:rsidR="00172E57" w:rsidRPr="00012082" w:rsidRDefault="00172E57">
      <w:pPr>
        <w:rPr>
          <w:rFonts w:ascii="Gentium Plus" w:hAnsi="Gentium Plus" w:cs="Gentium Plus"/>
          <w:sz w:val="20"/>
          <w:szCs w:val="20"/>
        </w:rPr>
      </w:pPr>
    </w:p>
    <w:p w14:paraId="5B84E221" w14:textId="36EAE1FA" w:rsidR="00172E57" w:rsidRPr="00012082" w:rsidRDefault="00172E57">
      <w:pPr>
        <w:rPr>
          <w:rFonts w:ascii="Gentium Plus" w:hAnsi="Gentium Plus" w:cs="Gentium Plus"/>
          <w:sz w:val="20"/>
          <w:szCs w:val="20"/>
        </w:rPr>
      </w:pPr>
      <w:r w:rsidRPr="00012082">
        <w:rPr>
          <w:rFonts w:ascii="Gentium Plus" w:hAnsi="Gentium Plus" w:cs="Gentium Plus"/>
          <w:sz w:val="20"/>
          <w:szCs w:val="20"/>
        </w:rPr>
        <w:t xml:space="preserve">But the Etruscans, being in their nature of a very ardent religious temperament and accustomed to the frequent sacrifice of victims, have given their chief attention to the study of entrails. And as on account of the density of the atmosphere signs from heaven were common among them, and furthermore since that atmospheric condition caused many phenomena both of earth and sky and also certain prodigies that occur in the conception and birth of men and cattle — for these reasons the Etruscans have become very proficient in the interpretation of portents. (Cicero, </w:t>
      </w:r>
      <w:r w:rsidRPr="00012082">
        <w:rPr>
          <w:rFonts w:ascii="Gentium Plus" w:hAnsi="Gentium Plus" w:cs="Gentium Plus"/>
          <w:i/>
          <w:iCs/>
          <w:sz w:val="20"/>
          <w:szCs w:val="20"/>
        </w:rPr>
        <w:t>On Divination</w:t>
      </w:r>
      <w:r w:rsidRPr="00012082">
        <w:rPr>
          <w:rFonts w:ascii="Gentium Plus" w:hAnsi="Gentium Plus" w:cs="Gentium Plus"/>
          <w:sz w:val="20"/>
          <w:szCs w:val="20"/>
        </w:rPr>
        <w:t xml:space="preserve"> 1.33, 43)</w:t>
      </w:r>
    </w:p>
    <w:sectPr w:rsidR="00172E57" w:rsidRPr="00012082" w:rsidSect="00E646FA">
      <w:pgSz w:w="11900" w:h="16840"/>
      <w:pgMar w:top="1440" w:right="1440" w:bottom="1440" w:left="1440" w:header="720" w:footer="720" w:gutter="0"/>
      <w:cols w:space="720"/>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3C922F" w14:textId="77777777" w:rsidR="00CF0F78" w:rsidRDefault="00CF0F78" w:rsidP="00012082">
      <w:r>
        <w:separator/>
      </w:r>
    </w:p>
  </w:endnote>
  <w:endnote w:type="continuationSeparator" w:id="0">
    <w:p w14:paraId="5A8127E2" w14:textId="77777777" w:rsidR="00CF0F78" w:rsidRDefault="00CF0F78" w:rsidP="000120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Gentium Plus">
    <w:altName w:val="Calibri"/>
    <w:charset w:val="4D"/>
    <w:family w:val="auto"/>
    <w:pitch w:val="variable"/>
    <w:sig w:usb0="E00002FF" w:usb1="5200A1FB" w:usb2="02000009" w:usb3="00000000" w:csb0="0000001B"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E7FC31" w14:textId="77777777" w:rsidR="00CF0F78" w:rsidRDefault="00CF0F78" w:rsidP="00012082">
      <w:r>
        <w:separator/>
      </w:r>
    </w:p>
  </w:footnote>
  <w:footnote w:type="continuationSeparator" w:id="0">
    <w:p w14:paraId="456B4B59" w14:textId="77777777" w:rsidR="00CF0F78" w:rsidRDefault="00CF0F78" w:rsidP="000120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46093D"/>
    <w:multiLevelType w:val="hybridMultilevel"/>
    <w:tmpl w:val="B00061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8BE4631"/>
    <w:multiLevelType w:val="hybridMultilevel"/>
    <w:tmpl w:val="18A24E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E23"/>
    <w:rsid w:val="00012082"/>
    <w:rsid w:val="000851D2"/>
    <w:rsid w:val="001554C3"/>
    <w:rsid w:val="00172E57"/>
    <w:rsid w:val="0017345F"/>
    <w:rsid w:val="00205818"/>
    <w:rsid w:val="00257D2A"/>
    <w:rsid w:val="003D5BC0"/>
    <w:rsid w:val="00482470"/>
    <w:rsid w:val="004B17FC"/>
    <w:rsid w:val="00692C2A"/>
    <w:rsid w:val="007626EF"/>
    <w:rsid w:val="00977B3F"/>
    <w:rsid w:val="009A6835"/>
    <w:rsid w:val="009A6E23"/>
    <w:rsid w:val="00A50F55"/>
    <w:rsid w:val="00B95796"/>
    <w:rsid w:val="00CF0F78"/>
    <w:rsid w:val="00CF64AB"/>
    <w:rsid w:val="00D812E0"/>
    <w:rsid w:val="00E256B8"/>
    <w:rsid w:val="00E646FA"/>
    <w:rsid w:val="00F52CEC"/>
    <w:rsid w:val="00F9053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7E8E35"/>
  <w14:defaultImageDpi w14:val="32767"/>
  <w15:chartTrackingRefBased/>
  <w15:docId w15:val="{5A29A080-6E32-A745-A6B3-45686D588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5818"/>
    <w:pPr>
      <w:ind w:left="720"/>
      <w:contextualSpacing/>
    </w:pPr>
  </w:style>
  <w:style w:type="paragraph" w:styleId="FootnoteText">
    <w:name w:val="footnote text"/>
    <w:basedOn w:val="Normal"/>
    <w:link w:val="FootnoteTextChar"/>
    <w:uiPriority w:val="99"/>
    <w:semiHidden/>
    <w:unhideWhenUsed/>
    <w:rsid w:val="00012082"/>
    <w:rPr>
      <w:sz w:val="20"/>
      <w:szCs w:val="20"/>
    </w:rPr>
  </w:style>
  <w:style w:type="character" w:customStyle="1" w:styleId="FootnoteTextChar">
    <w:name w:val="Footnote Text Char"/>
    <w:basedOn w:val="DefaultParagraphFont"/>
    <w:link w:val="FootnoteText"/>
    <w:uiPriority w:val="99"/>
    <w:semiHidden/>
    <w:rsid w:val="00012082"/>
    <w:rPr>
      <w:sz w:val="20"/>
      <w:szCs w:val="20"/>
    </w:rPr>
  </w:style>
  <w:style w:type="character" w:styleId="FootnoteReference">
    <w:name w:val="footnote reference"/>
    <w:basedOn w:val="DefaultParagraphFont"/>
    <w:semiHidden/>
    <w:rsid w:val="00012082"/>
    <w:rPr>
      <w:vertAlign w:val="superscript"/>
    </w:rPr>
  </w:style>
  <w:style w:type="paragraph" w:styleId="BalloonText">
    <w:name w:val="Balloon Text"/>
    <w:basedOn w:val="Normal"/>
    <w:link w:val="BalloonTextChar"/>
    <w:uiPriority w:val="99"/>
    <w:semiHidden/>
    <w:unhideWhenUsed/>
    <w:rsid w:val="00977B3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7B3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1431815">
      <w:bodyDiv w:val="1"/>
      <w:marLeft w:val="0"/>
      <w:marRight w:val="0"/>
      <w:marTop w:val="0"/>
      <w:marBottom w:val="0"/>
      <w:divBdr>
        <w:top w:val="none" w:sz="0" w:space="0" w:color="auto"/>
        <w:left w:val="none" w:sz="0" w:space="0" w:color="auto"/>
        <w:bottom w:val="none" w:sz="0" w:space="0" w:color="auto"/>
        <w:right w:val="none" w:sz="0" w:space="0" w:color="auto"/>
      </w:divBdr>
    </w:div>
    <w:div w:id="596208607">
      <w:bodyDiv w:val="1"/>
      <w:marLeft w:val="0"/>
      <w:marRight w:val="0"/>
      <w:marTop w:val="0"/>
      <w:marBottom w:val="0"/>
      <w:divBdr>
        <w:top w:val="none" w:sz="0" w:space="0" w:color="auto"/>
        <w:left w:val="none" w:sz="0" w:space="0" w:color="auto"/>
        <w:bottom w:val="none" w:sz="0" w:space="0" w:color="auto"/>
        <w:right w:val="none" w:sz="0" w:space="0" w:color="auto"/>
      </w:divBdr>
    </w:div>
    <w:div w:id="878470186">
      <w:bodyDiv w:val="1"/>
      <w:marLeft w:val="0"/>
      <w:marRight w:val="0"/>
      <w:marTop w:val="0"/>
      <w:marBottom w:val="0"/>
      <w:divBdr>
        <w:top w:val="none" w:sz="0" w:space="0" w:color="auto"/>
        <w:left w:val="none" w:sz="0" w:space="0" w:color="auto"/>
        <w:bottom w:val="none" w:sz="0" w:space="0" w:color="auto"/>
        <w:right w:val="none" w:sz="0" w:space="0" w:color="auto"/>
      </w:divBdr>
    </w:div>
    <w:div w:id="917447755">
      <w:bodyDiv w:val="1"/>
      <w:marLeft w:val="0"/>
      <w:marRight w:val="0"/>
      <w:marTop w:val="0"/>
      <w:marBottom w:val="0"/>
      <w:divBdr>
        <w:top w:val="none" w:sz="0" w:space="0" w:color="auto"/>
        <w:left w:val="none" w:sz="0" w:space="0" w:color="auto"/>
        <w:bottom w:val="none" w:sz="0" w:space="0" w:color="auto"/>
        <w:right w:val="none" w:sz="0" w:space="0" w:color="auto"/>
      </w:divBdr>
    </w:div>
    <w:div w:id="1319115427">
      <w:bodyDiv w:val="1"/>
      <w:marLeft w:val="0"/>
      <w:marRight w:val="0"/>
      <w:marTop w:val="0"/>
      <w:marBottom w:val="0"/>
      <w:divBdr>
        <w:top w:val="none" w:sz="0" w:space="0" w:color="auto"/>
        <w:left w:val="none" w:sz="0" w:space="0" w:color="auto"/>
        <w:bottom w:val="none" w:sz="0" w:space="0" w:color="auto"/>
        <w:right w:val="none" w:sz="0" w:space="0" w:color="auto"/>
      </w:divBdr>
    </w:div>
    <w:div w:id="1509907875">
      <w:bodyDiv w:val="1"/>
      <w:marLeft w:val="0"/>
      <w:marRight w:val="0"/>
      <w:marTop w:val="0"/>
      <w:marBottom w:val="0"/>
      <w:divBdr>
        <w:top w:val="none" w:sz="0" w:space="0" w:color="auto"/>
        <w:left w:val="none" w:sz="0" w:space="0" w:color="auto"/>
        <w:bottom w:val="none" w:sz="0" w:space="0" w:color="auto"/>
        <w:right w:val="none" w:sz="0" w:space="0" w:color="auto"/>
      </w:divBdr>
    </w:div>
    <w:div w:id="1546671744">
      <w:bodyDiv w:val="1"/>
      <w:marLeft w:val="0"/>
      <w:marRight w:val="0"/>
      <w:marTop w:val="0"/>
      <w:marBottom w:val="0"/>
      <w:divBdr>
        <w:top w:val="none" w:sz="0" w:space="0" w:color="auto"/>
        <w:left w:val="none" w:sz="0" w:space="0" w:color="auto"/>
        <w:bottom w:val="none" w:sz="0" w:space="0" w:color="auto"/>
        <w:right w:val="none" w:sz="0" w:space="0" w:color="auto"/>
      </w:divBdr>
    </w:div>
    <w:div w:id="1643999915">
      <w:bodyDiv w:val="1"/>
      <w:marLeft w:val="0"/>
      <w:marRight w:val="0"/>
      <w:marTop w:val="0"/>
      <w:marBottom w:val="0"/>
      <w:divBdr>
        <w:top w:val="none" w:sz="0" w:space="0" w:color="auto"/>
        <w:left w:val="none" w:sz="0" w:space="0" w:color="auto"/>
        <w:bottom w:val="none" w:sz="0" w:space="0" w:color="auto"/>
        <w:right w:val="none" w:sz="0" w:space="0" w:color="auto"/>
      </w:divBdr>
    </w:div>
    <w:div w:id="1696728599">
      <w:bodyDiv w:val="1"/>
      <w:marLeft w:val="0"/>
      <w:marRight w:val="0"/>
      <w:marTop w:val="0"/>
      <w:marBottom w:val="0"/>
      <w:divBdr>
        <w:top w:val="none" w:sz="0" w:space="0" w:color="auto"/>
        <w:left w:val="none" w:sz="0" w:space="0" w:color="auto"/>
        <w:bottom w:val="none" w:sz="0" w:space="0" w:color="auto"/>
        <w:right w:val="none" w:sz="0" w:space="0" w:color="auto"/>
      </w:divBdr>
    </w:div>
    <w:div w:id="1880044615">
      <w:bodyDiv w:val="1"/>
      <w:marLeft w:val="0"/>
      <w:marRight w:val="0"/>
      <w:marTop w:val="0"/>
      <w:marBottom w:val="0"/>
      <w:divBdr>
        <w:top w:val="none" w:sz="0" w:space="0" w:color="auto"/>
        <w:left w:val="none" w:sz="0" w:space="0" w:color="auto"/>
        <w:bottom w:val="none" w:sz="0" w:space="0" w:color="auto"/>
        <w:right w:val="none" w:sz="0" w:space="0" w:color="auto"/>
      </w:divBdr>
    </w:div>
    <w:div w:id="1991985033">
      <w:bodyDiv w:val="1"/>
      <w:marLeft w:val="0"/>
      <w:marRight w:val="0"/>
      <w:marTop w:val="0"/>
      <w:marBottom w:val="0"/>
      <w:divBdr>
        <w:top w:val="none" w:sz="0" w:space="0" w:color="auto"/>
        <w:left w:val="none" w:sz="0" w:space="0" w:color="auto"/>
        <w:bottom w:val="none" w:sz="0" w:space="0" w:color="auto"/>
        <w:right w:val="none" w:sz="0" w:space="0" w:color="auto"/>
      </w:divBdr>
    </w:div>
    <w:div w:id="20302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723</Words>
  <Characters>3899</Characters>
  <Application>Microsoft Office Word</Application>
  <DocSecurity>0</DocSecurity>
  <Lines>69</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Bowden, Hugh</dc:creator>
  <cp:keywords/>
  <dc:description/>
  <cp:lastModifiedBy>Swallow, Peter</cp:lastModifiedBy>
  <cp:revision>2</cp:revision>
  <cp:lastPrinted>2019-07-24T15:08:00Z</cp:lastPrinted>
  <dcterms:created xsi:type="dcterms:W3CDTF">2019-08-24T21:25:00Z</dcterms:created>
  <dcterms:modified xsi:type="dcterms:W3CDTF">2019-08-24T21:25:00Z</dcterms:modified>
</cp:coreProperties>
</file>