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49E" w:rsidRDefault="00A6249E" w:rsidP="00A6249E">
      <w:pPr>
        <w:jc w:val="both"/>
        <w:rPr>
          <w:rFonts w:ascii="Calibri" w:hAnsi="Calibri"/>
          <w:b/>
          <w:sz w:val="28"/>
          <w:szCs w:val="28"/>
        </w:rPr>
      </w:pPr>
      <w:r>
        <w:rPr>
          <w:rFonts w:ascii="Calibri" w:hAnsi="Calibri"/>
          <w:b/>
          <w:sz w:val="28"/>
          <w:szCs w:val="28"/>
        </w:rPr>
        <w:t>Module Specification</w:t>
      </w:r>
    </w:p>
    <w:p w:rsidR="00A6249E" w:rsidRDefault="00A6249E" w:rsidP="00A6249E">
      <w:pPr>
        <w:rPr>
          <w:b/>
          <w:sz w:val="28"/>
          <w:szCs w:val="28"/>
        </w:rPr>
      </w:pPr>
    </w:p>
    <w:tbl>
      <w:tblPr>
        <w:tblW w:w="9075" w:type="dxa"/>
        <w:tblInd w:w="108"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722"/>
        <w:gridCol w:w="2969"/>
        <w:gridCol w:w="3384"/>
      </w:tblGrid>
      <w:tr w:rsidR="00A6249E" w:rsidTr="00665C75">
        <w:tc>
          <w:tcPr>
            <w:tcW w:w="2722" w:type="dxa"/>
            <w:hideMark/>
          </w:tcPr>
          <w:p w:rsidR="00A6249E" w:rsidRDefault="00A6249E">
            <w:pPr>
              <w:keepLines/>
              <w:rPr>
                <w:rFonts w:ascii="Calibri" w:hAnsi="Calibri" w:cs="Arial"/>
                <w:b/>
                <w:sz w:val="24"/>
                <w:szCs w:val="24"/>
              </w:rPr>
            </w:pPr>
            <w:r>
              <w:rPr>
                <w:rFonts w:ascii="Calibri" w:hAnsi="Calibri" w:cs="Arial"/>
                <w:b/>
                <w:sz w:val="24"/>
                <w:szCs w:val="24"/>
              </w:rPr>
              <w:t xml:space="preserve">Module Code </w:t>
            </w:r>
          </w:p>
        </w:tc>
        <w:tc>
          <w:tcPr>
            <w:tcW w:w="6353" w:type="dxa"/>
            <w:gridSpan w:val="2"/>
            <w:hideMark/>
          </w:tcPr>
          <w:p w:rsidR="00A6249E" w:rsidRDefault="00665C75">
            <w:pPr>
              <w:keepLines/>
              <w:jc w:val="both"/>
              <w:rPr>
                <w:rFonts w:ascii="Calibri" w:hAnsi="Calibri" w:cs="Arial"/>
              </w:rPr>
            </w:pPr>
            <w:r>
              <w:rPr>
                <w:rFonts w:ascii="Calibri" w:hAnsi="Calibri" w:cs="Arial"/>
              </w:rPr>
              <w:t>EN911</w:t>
            </w:r>
          </w:p>
        </w:tc>
      </w:tr>
      <w:tr w:rsidR="00A6249E" w:rsidTr="00665C75">
        <w:tc>
          <w:tcPr>
            <w:tcW w:w="2722" w:type="dxa"/>
            <w:hideMark/>
          </w:tcPr>
          <w:p w:rsidR="00A6249E" w:rsidRDefault="00A6249E">
            <w:pPr>
              <w:keepLines/>
              <w:rPr>
                <w:rFonts w:ascii="Calibri" w:hAnsi="Calibri" w:cs="Arial"/>
                <w:b/>
                <w:sz w:val="24"/>
                <w:szCs w:val="24"/>
              </w:rPr>
            </w:pPr>
            <w:r>
              <w:rPr>
                <w:rFonts w:ascii="Calibri" w:hAnsi="Calibri" w:cs="Arial"/>
                <w:b/>
                <w:sz w:val="24"/>
                <w:szCs w:val="24"/>
              </w:rPr>
              <w:t>Module Title</w:t>
            </w:r>
          </w:p>
        </w:tc>
        <w:tc>
          <w:tcPr>
            <w:tcW w:w="6353" w:type="dxa"/>
            <w:gridSpan w:val="2"/>
            <w:hideMark/>
          </w:tcPr>
          <w:p w:rsidR="00A6249E" w:rsidRDefault="00665C75">
            <w:pPr>
              <w:keepLines/>
              <w:jc w:val="both"/>
              <w:rPr>
                <w:rFonts w:ascii="Calibri" w:hAnsi="Calibri" w:cs="Arial"/>
              </w:rPr>
            </w:pPr>
            <w:r>
              <w:rPr>
                <w:rFonts w:ascii="Calibri" w:hAnsi="Calibri" w:cs="Arial"/>
              </w:rPr>
              <w:t>Creative Writing</w:t>
            </w:r>
          </w:p>
        </w:tc>
      </w:tr>
      <w:tr w:rsidR="00A6249E" w:rsidTr="00665C75">
        <w:tc>
          <w:tcPr>
            <w:tcW w:w="9075" w:type="dxa"/>
            <w:gridSpan w:val="3"/>
            <w:shd w:val="pct25" w:color="auto" w:fill="auto"/>
            <w:hideMark/>
          </w:tcPr>
          <w:p w:rsidR="00A6249E" w:rsidRDefault="00A6249E">
            <w:pPr>
              <w:keepLines/>
              <w:jc w:val="both"/>
              <w:rPr>
                <w:rFonts w:ascii="Calibri" w:hAnsi="Calibri" w:cs="Arial"/>
                <w:sz w:val="24"/>
                <w:szCs w:val="24"/>
              </w:rPr>
            </w:pPr>
            <w:r>
              <w:rPr>
                <w:rFonts w:ascii="Calibri" w:hAnsi="Calibri" w:cs="Arial"/>
                <w:b/>
                <w:sz w:val="24"/>
                <w:szCs w:val="24"/>
              </w:rPr>
              <w:t>Module Aims</w:t>
            </w:r>
          </w:p>
        </w:tc>
      </w:tr>
      <w:tr w:rsidR="00A6249E" w:rsidTr="00665C75">
        <w:trPr>
          <w:tblHeader/>
        </w:trPr>
        <w:tc>
          <w:tcPr>
            <w:tcW w:w="9075" w:type="dxa"/>
            <w:gridSpan w:val="3"/>
            <w:shd w:val="clear" w:color="auto" w:fill="FFFFFF" w:themeFill="background1"/>
            <w:tcMar>
              <w:top w:w="0" w:type="dxa"/>
              <w:left w:w="108" w:type="dxa"/>
              <w:bottom w:w="0" w:type="dxa"/>
              <w:right w:w="108" w:type="dxa"/>
            </w:tcMar>
            <w:hideMark/>
          </w:tcPr>
          <w:p w:rsidR="00A6249E" w:rsidRDefault="00665C75">
            <w:pPr>
              <w:keepLines/>
              <w:rPr>
                <w:rFonts w:ascii="Calibri" w:hAnsi="Calibri" w:cs="Arial"/>
                <w:sz w:val="24"/>
                <w:szCs w:val="24"/>
              </w:rPr>
            </w:pPr>
            <w:r>
              <w:t>The module is taught through writing workshops. As well as providing graduate students with a challenging and supportive context in which to develop their writing, it helps to provide special insights into the processes of literary production of fiction, poetry and creative nonfiction. The student works on an extended piece of writing or portfolio of shorter pieces, together with a critical account of the aims and processes involved. Attention is paid to form and also to redrafting and revision, as well as to some of the broader practical issues facing new writers in Britain today, including the workings of the marketplace.</w:t>
            </w:r>
          </w:p>
          <w:p w:rsidR="00A6249E" w:rsidRDefault="00A6249E">
            <w:pPr>
              <w:keepLines/>
              <w:rPr>
                <w:rFonts w:ascii="Calibri" w:hAnsi="Calibri" w:cs="Arial"/>
                <w:sz w:val="24"/>
                <w:szCs w:val="24"/>
              </w:rPr>
            </w:pPr>
          </w:p>
        </w:tc>
      </w:tr>
      <w:tr w:rsidR="00A6249E" w:rsidTr="00665C75">
        <w:trPr>
          <w:tblHeader/>
        </w:trPr>
        <w:tc>
          <w:tcPr>
            <w:tcW w:w="9075" w:type="dxa"/>
            <w:gridSpan w:val="3"/>
            <w:shd w:val="clear" w:color="auto" w:fill="BFBFBF"/>
            <w:tcMar>
              <w:top w:w="0" w:type="dxa"/>
              <w:left w:w="108" w:type="dxa"/>
              <w:bottom w:w="0" w:type="dxa"/>
              <w:right w:w="108" w:type="dxa"/>
            </w:tcMar>
            <w:hideMark/>
          </w:tcPr>
          <w:p w:rsidR="00A6249E" w:rsidRDefault="00A6249E">
            <w:pPr>
              <w:keepLines/>
              <w:rPr>
                <w:rFonts w:ascii="Calibri" w:hAnsi="Calibri" w:cs="Arial"/>
                <w:b/>
                <w:sz w:val="24"/>
                <w:szCs w:val="24"/>
              </w:rPr>
            </w:pPr>
            <w:r>
              <w:rPr>
                <w:rFonts w:ascii="Calibri" w:hAnsi="Calibri" w:cs="Arial"/>
                <w:b/>
                <w:sz w:val="24"/>
                <w:szCs w:val="24"/>
              </w:rPr>
              <w:t>Learning Outcomes</w:t>
            </w:r>
          </w:p>
        </w:tc>
      </w:tr>
      <w:tr w:rsidR="00A6249E" w:rsidTr="00665C75">
        <w:trPr>
          <w:tblHeader/>
        </w:trPr>
        <w:tc>
          <w:tcPr>
            <w:tcW w:w="2722" w:type="dxa"/>
            <w:tcMar>
              <w:top w:w="0" w:type="dxa"/>
              <w:left w:w="108" w:type="dxa"/>
              <w:bottom w:w="0" w:type="dxa"/>
              <w:right w:w="108" w:type="dxa"/>
            </w:tcMar>
            <w:hideMark/>
          </w:tcPr>
          <w:p w:rsidR="00A6249E" w:rsidRDefault="00A6249E">
            <w:pPr>
              <w:keepLines/>
              <w:rPr>
                <w:rFonts w:ascii="Calibri" w:hAnsi="Calibri" w:cs="Arial"/>
                <w:b/>
              </w:rPr>
            </w:pPr>
            <w:r>
              <w:rPr>
                <w:rFonts w:ascii="Calibri" w:hAnsi="Calibri" w:cs="Arial"/>
                <w:b/>
              </w:rPr>
              <w:t>By the end of the module the student should be able to....</w:t>
            </w:r>
          </w:p>
        </w:tc>
        <w:tc>
          <w:tcPr>
            <w:tcW w:w="2969" w:type="dxa"/>
            <w:tcMar>
              <w:top w:w="0" w:type="dxa"/>
              <w:left w:w="108" w:type="dxa"/>
              <w:bottom w:w="0" w:type="dxa"/>
              <w:right w:w="108" w:type="dxa"/>
            </w:tcMar>
            <w:hideMark/>
          </w:tcPr>
          <w:p w:rsidR="00A6249E" w:rsidRDefault="00A6249E">
            <w:pPr>
              <w:keepLines/>
              <w:rPr>
                <w:rFonts w:ascii="Calibri" w:hAnsi="Calibri" w:cs="Arial"/>
                <w:b/>
              </w:rPr>
            </w:pPr>
            <w:r>
              <w:rPr>
                <w:rFonts w:ascii="Calibri" w:hAnsi="Calibri" w:cs="Arial"/>
                <w:b/>
              </w:rPr>
              <w:t>Which teaching and learning methods enable students to achieve this learning outcome?</w:t>
            </w:r>
          </w:p>
        </w:tc>
        <w:tc>
          <w:tcPr>
            <w:tcW w:w="3384" w:type="dxa"/>
            <w:tcMar>
              <w:top w:w="0" w:type="dxa"/>
              <w:left w:w="108" w:type="dxa"/>
              <w:bottom w:w="0" w:type="dxa"/>
              <w:right w:w="108" w:type="dxa"/>
            </w:tcMar>
            <w:hideMark/>
          </w:tcPr>
          <w:p w:rsidR="00A6249E" w:rsidRDefault="00A6249E">
            <w:pPr>
              <w:keepLines/>
              <w:rPr>
                <w:rFonts w:ascii="Calibri" w:hAnsi="Calibri" w:cs="Arial"/>
                <w:b/>
              </w:rPr>
            </w:pPr>
            <w:r>
              <w:rPr>
                <w:rFonts w:ascii="Calibri" w:hAnsi="Calibri" w:cs="Arial"/>
                <w:b/>
              </w:rPr>
              <w:t>Which summative assessment methods will measure the achievement of this learning outcome?</w:t>
            </w:r>
          </w:p>
        </w:tc>
      </w:tr>
      <w:tr w:rsidR="00665C75" w:rsidTr="00665C75">
        <w:tc>
          <w:tcPr>
            <w:tcW w:w="2722" w:type="dxa"/>
            <w:tcMar>
              <w:top w:w="0" w:type="dxa"/>
              <w:left w:w="108" w:type="dxa"/>
              <w:bottom w:w="0" w:type="dxa"/>
              <w:right w:w="108" w:type="dxa"/>
            </w:tcMar>
          </w:tcPr>
          <w:p w:rsidR="00665C75" w:rsidRDefault="00665C75" w:rsidP="00665C75">
            <w:pPr>
              <w:pStyle w:val="Default"/>
              <w:spacing w:line="256" w:lineRule="auto"/>
              <w:rPr>
                <w:rFonts w:asciiTheme="minorHAnsi" w:hAnsiTheme="minorHAnsi"/>
                <w:lang w:eastAsia="en-US"/>
              </w:rPr>
            </w:pPr>
            <w:r>
              <w:rPr>
                <w:rFonts w:asciiTheme="minorHAnsi" w:hAnsiTheme="minorHAnsi"/>
                <w:lang w:eastAsia="en-US"/>
              </w:rPr>
              <w:t>D</w:t>
            </w:r>
            <w:r w:rsidRPr="00665C75">
              <w:rPr>
                <w:rFonts w:asciiTheme="minorHAnsi" w:hAnsiTheme="minorHAnsi"/>
                <w:lang w:eastAsia="en-US"/>
              </w:rPr>
              <w:t>evelop new writing in poetry, fiction and plays</w:t>
            </w:r>
          </w:p>
        </w:tc>
        <w:tc>
          <w:tcPr>
            <w:tcW w:w="2969" w:type="dxa"/>
            <w:tcMar>
              <w:top w:w="0" w:type="dxa"/>
              <w:left w:w="108" w:type="dxa"/>
              <w:bottom w:w="0" w:type="dxa"/>
              <w:right w:w="108" w:type="dxa"/>
            </w:tcMar>
          </w:tcPr>
          <w:p w:rsidR="00665C75" w:rsidRPr="008E5F50" w:rsidRDefault="00665C75" w:rsidP="00665C75">
            <w:pPr>
              <w:keepLines/>
            </w:pPr>
            <w:r w:rsidRPr="008E5F50">
              <w:rPr>
                <w:rFonts w:ascii="Calibri" w:eastAsia="Calibri" w:hAnsi="Calibri" w:cs="Calibri"/>
              </w:rPr>
              <w:t>Weekly lectures, seminar discussion</w:t>
            </w:r>
          </w:p>
        </w:tc>
        <w:tc>
          <w:tcPr>
            <w:tcW w:w="3384" w:type="dxa"/>
            <w:tcMar>
              <w:top w:w="0" w:type="dxa"/>
              <w:left w:w="108" w:type="dxa"/>
              <w:bottom w:w="0" w:type="dxa"/>
              <w:right w:w="108" w:type="dxa"/>
            </w:tcMar>
          </w:tcPr>
          <w:p w:rsidR="00665C75" w:rsidRPr="008E5F50" w:rsidRDefault="00665C75" w:rsidP="00665C75">
            <w:pPr>
              <w:keepLines/>
            </w:pPr>
            <w:r>
              <w:t>Extended piece of writing or portfolio of shorte</w:t>
            </w:r>
            <w:bookmarkStart w:id="0" w:name="_GoBack"/>
            <w:bookmarkEnd w:id="0"/>
            <w:r>
              <w:t>r pieces, together with a critical account of the aims and processes involved</w:t>
            </w:r>
          </w:p>
        </w:tc>
      </w:tr>
      <w:tr w:rsidR="00665C75" w:rsidTr="00665C75">
        <w:tc>
          <w:tcPr>
            <w:tcW w:w="2722" w:type="dxa"/>
            <w:tcMar>
              <w:top w:w="0" w:type="dxa"/>
              <w:left w:w="108" w:type="dxa"/>
              <w:bottom w:w="0" w:type="dxa"/>
              <w:right w:w="108" w:type="dxa"/>
            </w:tcMar>
          </w:tcPr>
          <w:p w:rsidR="00665C75" w:rsidRDefault="00665C75" w:rsidP="00665C75">
            <w:pPr>
              <w:keepLines/>
            </w:pPr>
            <w:r>
              <w:t>D</w:t>
            </w:r>
            <w:r w:rsidRPr="00665C75">
              <w:t>evelop the practice of writing as a vocation and career</w:t>
            </w:r>
          </w:p>
        </w:tc>
        <w:tc>
          <w:tcPr>
            <w:tcW w:w="2969" w:type="dxa"/>
            <w:tcMar>
              <w:top w:w="0" w:type="dxa"/>
              <w:left w:w="108" w:type="dxa"/>
              <w:bottom w:w="0" w:type="dxa"/>
              <w:right w:w="108" w:type="dxa"/>
            </w:tcMar>
          </w:tcPr>
          <w:p w:rsidR="00665C75" w:rsidRPr="008E5F50" w:rsidRDefault="00665C75" w:rsidP="00665C75">
            <w:pPr>
              <w:keepLines/>
            </w:pPr>
            <w:r w:rsidRPr="008E5F50">
              <w:rPr>
                <w:rFonts w:ascii="Calibri" w:eastAsia="Calibri" w:hAnsi="Calibri" w:cs="Calibri"/>
              </w:rPr>
              <w:t>Weekly lectures, seminar discussion</w:t>
            </w:r>
          </w:p>
        </w:tc>
        <w:tc>
          <w:tcPr>
            <w:tcW w:w="3384" w:type="dxa"/>
            <w:tcMar>
              <w:top w:w="0" w:type="dxa"/>
              <w:left w:w="108" w:type="dxa"/>
              <w:bottom w:w="0" w:type="dxa"/>
              <w:right w:w="108" w:type="dxa"/>
            </w:tcMar>
          </w:tcPr>
          <w:p w:rsidR="00665C75" w:rsidRPr="008E5F50" w:rsidRDefault="00665C75" w:rsidP="00665C75">
            <w:pPr>
              <w:keepLines/>
            </w:pPr>
            <w:r>
              <w:t>Extended piece of writing or portfolio of shorter pieces, together with a critical account of the aims and processes involved</w:t>
            </w:r>
          </w:p>
        </w:tc>
      </w:tr>
      <w:tr w:rsidR="00665C75" w:rsidTr="00665C75">
        <w:tc>
          <w:tcPr>
            <w:tcW w:w="2722" w:type="dxa"/>
            <w:tcMar>
              <w:top w:w="0" w:type="dxa"/>
              <w:left w:w="108" w:type="dxa"/>
              <w:bottom w:w="0" w:type="dxa"/>
              <w:right w:w="108" w:type="dxa"/>
            </w:tcMar>
          </w:tcPr>
          <w:p w:rsidR="00665C75" w:rsidRDefault="00665C75" w:rsidP="00665C75">
            <w:pPr>
              <w:keepLines/>
            </w:pPr>
            <w:r>
              <w:t>B</w:t>
            </w:r>
            <w:r w:rsidRPr="00665C75">
              <w:t>e equipped with a repertoire of skills from the memorising and performance techniques of the classical tradition to new technology publishing for the twenty-first century</w:t>
            </w:r>
          </w:p>
        </w:tc>
        <w:tc>
          <w:tcPr>
            <w:tcW w:w="2969" w:type="dxa"/>
            <w:tcMar>
              <w:top w:w="0" w:type="dxa"/>
              <w:left w:w="108" w:type="dxa"/>
              <w:bottom w:w="0" w:type="dxa"/>
              <w:right w:w="108" w:type="dxa"/>
            </w:tcMar>
          </w:tcPr>
          <w:p w:rsidR="00665C75" w:rsidRPr="008E5F50" w:rsidRDefault="00665C75" w:rsidP="00665C75">
            <w:pPr>
              <w:keepLines/>
            </w:pPr>
            <w:r w:rsidRPr="008E5F50">
              <w:rPr>
                <w:rFonts w:ascii="Calibri" w:eastAsia="Calibri" w:hAnsi="Calibri" w:cs="Calibri"/>
              </w:rPr>
              <w:t>Weekly lectures, seminar discussion</w:t>
            </w:r>
          </w:p>
        </w:tc>
        <w:tc>
          <w:tcPr>
            <w:tcW w:w="3384" w:type="dxa"/>
            <w:tcMar>
              <w:top w:w="0" w:type="dxa"/>
              <w:left w:w="108" w:type="dxa"/>
              <w:bottom w:w="0" w:type="dxa"/>
              <w:right w:w="108" w:type="dxa"/>
            </w:tcMar>
          </w:tcPr>
          <w:p w:rsidR="00665C75" w:rsidRPr="008E5F50" w:rsidRDefault="00665C75" w:rsidP="00665C75">
            <w:pPr>
              <w:keepLines/>
            </w:pPr>
            <w:r>
              <w:t>Extended piece of writing or portfolio of shorter pieces, together with a critical account of the aims and processes involved</w:t>
            </w:r>
          </w:p>
        </w:tc>
      </w:tr>
    </w:tbl>
    <w:p w:rsidR="00FB3400" w:rsidRDefault="00FB3400"/>
    <w:sectPr w:rsidR="00FB3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0B"/>
    <w:rsid w:val="00665C75"/>
    <w:rsid w:val="006C184D"/>
    <w:rsid w:val="00813C5B"/>
    <w:rsid w:val="00A6249E"/>
    <w:rsid w:val="00C7420B"/>
    <w:rsid w:val="00FB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886C0-2BD3-47EC-9D03-E4F61787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9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249E"/>
    <w:pPr>
      <w:spacing w:after="0" w:line="240" w:lineRule="auto"/>
    </w:pPr>
    <w:rPr>
      <w:rFonts w:ascii="Helvetica" w:eastAsia="Arial Unicode MS" w:hAnsi="Helvetica" w:cs="Arial Unicode MS"/>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9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4B3907DB</Template>
  <TotalTime>7</TotalTime>
  <Pages>1</Pages>
  <Words>260</Words>
  <Characters>1483</Characters>
  <Application>Microsoft Office Word</Application>
  <DocSecurity>0</DocSecurity>
  <Lines>12</Lines>
  <Paragraphs>3</Paragraphs>
  <ScaleCrop>false</ScaleCrop>
  <Company>University of Warwick</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Roper, Daniel</dc:creator>
  <cp:keywords/>
  <dc:description/>
  <cp:lastModifiedBy>Roper, Daniel</cp:lastModifiedBy>
  <cp:revision>4</cp:revision>
  <dcterms:created xsi:type="dcterms:W3CDTF">2017-01-04T14:55:00Z</dcterms:created>
  <dcterms:modified xsi:type="dcterms:W3CDTF">2017-01-06T10:37:00Z</dcterms:modified>
</cp:coreProperties>
</file>