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9629FA" w14:textId="77777777" w:rsidR="00825D10" w:rsidRPr="00CA66F0" w:rsidRDefault="00825D10" w:rsidP="00825D10">
      <w:pPr>
        <w:shd w:val="clear" w:color="auto" w:fill="ACB9CA" w:themeFill="text2" w:themeFillTint="66"/>
        <w:rPr>
          <w:rFonts w:ascii="Georgia Pro Cond" w:hAnsi="Georgia Pro Cond"/>
          <w:sz w:val="28"/>
        </w:rPr>
      </w:pPr>
      <w:r w:rsidRPr="00CA66F0">
        <w:rPr>
          <w:rStyle w:val="Strong"/>
          <w:rFonts w:ascii="Georgia Pro Cond" w:hAnsi="Georgia Pro Cond"/>
          <w:sz w:val="28"/>
        </w:rPr>
        <w:t xml:space="preserve">Week </w:t>
      </w:r>
      <w:r>
        <w:rPr>
          <w:rStyle w:val="Strong"/>
          <w:rFonts w:ascii="Georgia Pro Cond" w:hAnsi="Georgia Pro Cond"/>
          <w:sz w:val="28"/>
        </w:rPr>
        <w:t>4</w:t>
      </w:r>
      <w:r w:rsidRPr="00CA66F0">
        <w:rPr>
          <w:rStyle w:val="Strong"/>
          <w:rFonts w:ascii="Georgia Pro Cond" w:hAnsi="Georgia Pro Cond"/>
          <w:sz w:val="28"/>
        </w:rPr>
        <w:t xml:space="preserve">: </w:t>
      </w:r>
      <w:r>
        <w:rPr>
          <w:rStyle w:val="Strong"/>
          <w:rFonts w:ascii="Georgia Pro Cond" w:hAnsi="Georgia Pro Cond"/>
          <w:sz w:val="28"/>
        </w:rPr>
        <w:t>Adapting and Staging the Gothic</w:t>
      </w:r>
      <w:r w:rsidRPr="00CA66F0">
        <w:rPr>
          <w:rStyle w:val="Strong"/>
          <w:rFonts w:ascii="Georgia Pro Cond" w:hAnsi="Georgia Pro Cond"/>
          <w:sz w:val="28"/>
        </w:rPr>
        <w:t> </w:t>
      </w:r>
    </w:p>
    <w:p w14:paraId="70E7758D" w14:textId="08E210FC" w:rsidR="00825D10" w:rsidRPr="00C6351E" w:rsidRDefault="00825D10" w:rsidP="00903739">
      <w:pPr>
        <w:shd w:val="clear" w:color="auto" w:fill="DEEAF6" w:themeFill="accent5" w:themeFillTint="33"/>
        <w:rPr>
          <w:rFonts w:ascii="Georgia Pro Cond" w:hAnsi="Georgia Pro Cond"/>
          <w:sz w:val="24"/>
        </w:rPr>
      </w:pPr>
      <w:r w:rsidRPr="00212065">
        <w:rPr>
          <w:rFonts w:ascii="Georgia Pro Cond" w:hAnsi="Georgia Pro Cond"/>
          <w:b/>
          <w:sz w:val="24"/>
        </w:rPr>
        <w:t>Primary Reading:</w:t>
      </w:r>
      <w:r>
        <w:rPr>
          <w:rFonts w:ascii="Georgia Pro Cond" w:hAnsi="Georgia Pro Cond"/>
          <w:sz w:val="24"/>
        </w:rPr>
        <w:t xml:space="preserve"> </w:t>
      </w:r>
      <w:r w:rsidRPr="004D4A63">
        <w:rPr>
          <w:rFonts w:ascii="Georgia Pro Cond" w:hAnsi="Georgia Pro Cond"/>
          <w:sz w:val="24"/>
        </w:rPr>
        <w:t xml:space="preserve">Edward Fitzball, “The Flying </w:t>
      </w:r>
      <w:r w:rsidR="009F38DF" w:rsidRPr="004D4A63">
        <w:rPr>
          <w:rFonts w:ascii="Georgia Pro Cond" w:hAnsi="Georgia Pro Cond"/>
          <w:sz w:val="24"/>
        </w:rPr>
        <w:t>Dutchman</w:t>
      </w:r>
      <w:r w:rsidRPr="004D4A63">
        <w:rPr>
          <w:rFonts w:ascii="Georgia Pro Cond" w:hAnsi="Georgia Pro Cond"/>
          <w:sz w:val="24"/>
        </w:rPr>
        <w:t>, or, The Phantom Ship” (1826)</w:t>
      </w:r>
      <w:r>
        <w:rPr>
          <w:rFonts w:ascii="Georgia Pro Cond" w:hAnsi="Georgia Pro Cond"/>
          <w:sz w:val="24"/>
        </w:rPr>
        <w:br/>
      </w:r>
      <w:r w:rsidR="00903739">
        <w:rPr>
          <w:rFonts w:ascii="Georgia Pro Cond" w:hAnsi="Georgia Pro Cond"/>
          <w:sz w:val="24"/>
        </w:rPr>
        <w:br/>
      </w:r>
      <w:r w:rsidRPr="00C6351E">
        <w:rPr>
          <w:rFonts w:ascii="Georgia Pro Cond" w:hAnsi="Georgia Pro Cond"/>
          <w:sz w:val="24"/>
        </w:rPr>
        <w:t>You may wish to</w:t>
      </w:r>
      <w:r>
        <w:rPr>
          <w:rFonts w:ascii="Georgia Pro Cond" w:hAnsi="Georgia Pro Cond"/>
          <w:sz w:val="24"/>
        </w:rPr>
        <w:t xml:space="preserve"> also</w:t>
      </w:r>
      <w:r w:rsidRPr="00C6351E">
        <w:rPr>
          <w:rFonts w:ascii="Georgia Pro Cond" w:hAnsi="Georgia Pro Cond"/>
          <w:sz w:val="24"/>
        </w:rPr>
        <w:t xml:space="preserve"> read the short story “</w:t>
      </w:r>
      <w:hyperlink r:id="rId8" w:history="1">
        <w:r w:rsidRPr="00606704">
          <w:rPr>
            <w:rStyle w:val="Hyperlink"/>
            <w:rFonts w:ascii="Georgia Pro Cond" w:hAnsi="Georgia Pro Cond"/>
          </w:rPr>
          <w:t>VANDERDECKEN’S MESSAGE HOME; OR, THE TENACITY OF NATURAL AFFECTION</w:t>
        </w:r>
      </w:hyperlink>
      <w:r w:rsidRPr="00C6351E">
        <w:rPr>
          <w:rFonts w:ascii="Georgia Pro Cond" w:hAnsi="Georgia Pro Cond"/>
        </w:rPr>
        <w:t xml:space="preserve">” from </w:t>
      </w:r>
      <w:r w:rsidRPr="00C6351E">
        <w:rPr>
          <w:rFonts w:ascii="Georgia Pro Cond" w:hAnsi="Georgia Pro Cond"/>
          <w:i/>
        </w:rPr>
        <w:t xml:space="preserve">Tales of Blackwood </w:t>
      </w:r>
      <w:r w:rsidRPr="00C6351E">
        <w:rPr>
          <w:rFonts w:ascii="Georgia Pro Cond" w:hAnsi="Georgia Pro Cond"/>
        </w:rPr>
        <w:t xml:space="preserve">(1821), </w:t>
      </w:r>
      <w:r w:rsidR="00606704">
        <w:rPr>
          <w:rFonts w:ascii="Georgia Pro Cond" w:hAnsi="Georgia Pro Cond"/>
        </w:rPr>
        <w:t xml:space="preserve">and </w:t>
      </w:r>
      <w:r w:rsidR="00606704">
        <w:rPr>
          <w:rFonts w:ascii="Georgia Pro Cond" w:hAnsi="Georgia Pro Cond"/>
          <w:sz w:val="24"/>
        </w:rPr>
        <w:t xml:space="preserve">Samuel Taylor Coleridge’s, “The Rime of the Ancient Mariner”, </w:t>
      </w:r>
      <w:r w:rsidRPr="00C6351E">
        <w:rPr>
          <w:rFonts w:ascii="Georgia Pro Cond" w:hAnsi="Georgia Pro Cond"/>
        </w:rPr>
        <w:t>but this is not compulsory for the seminar.</w:t>
      </w:r>
      <w:r w:rsidRPr="00C6351E">
        <w:rPr>
          <w:rFonts w:ascii="Georgia Pro Cond" w:hAnsi="Georgia Pro Cond"/>
          <w:sz w:val="24"/>
        </w:rPr>
        <w:t xml:space="preserve"> </w:t>
      </w:r>
    </w:p>
    <w:p w14:paraId="7A9595FC" w14:textId="403E87BF" w:rsidR="00825D10" w:rsidRDefault="00903739" w:rsidP="00903739">
      <w:pPr>
        <w:shd w:val="clear" w:color="auto" w:fill="DEEAF6" w:themeFill="accent5" w:themeFillTint="33"/>
        <w:rPr>
          <w:rFonts w:ascii="Georgia Pro Cond" w:hAnsi="Georgia Pro Cond"/>
          <w:b/>
          <w:sz w:val="24"/>
          <w:szCs w:val="24"/>
        </w:rPr>
      </w:pPr>
      <w:r w:rsidRPr="00212065">
        <w:rPr>
          <w:rFonts w:ascii="Georgia Pro Cond" w:hAnsi="Georgia Pro Cond"/>
          <w:b/>
          <w:sz w:val="24"/>
        </w:rPr>
        <w:t>Secondary Reading:</w:t>
      </w:r>
      <w:r>
        <w:rPr>
          <w:rFonts w:ascii="Georgia Pro Cond" w:hAnsi="Georgia Pro Cond"/>
          <w:b/>
          <w:sz w:val="24"/>
        </w:rPr>
        <w:t xml:space="preserve"> </w:t>
      </w:r>
      <w:r w:rsidRPr="004D4A63">
        <w:rPr>
          <w:rFonts w:ascii="Georgia Pro Cond" w:hAnsi="Georgia Pro Cond" w:cs="Times New Roman"/>
          <w:bCs/>
          <w:color w:val="000000"/>
          <w:sz w:val="24"/>
          <w:szCs w:val="24"/>
        </w:rPr>
        <w:t xml:space="preserve">Extract from, Nicholas Daly, “Fire on Stage” (2017), </w:t>
      </w:r>
      <w:r w:rsidRPr="004D4A63">
        <w:rPr>
          <w:rFonts w:ascii="Georgia Pro Cond" w:hAnsi="Georgia Pro Cond"/>
        </w:rPr>
        <w:t xml:space="preserve">Extract from </w:t>
      </w:r>
      <w:r w:rsidRPr="004D4A63">
        <w:rPr>
          <w:rStyle w:val="authors"/>
          <w:rFonts w:ascii="Georgia Pro Cond" w:hAnsi="Georgia Pro Cond" w:cs="Arial"/>
          <w:color w:val="333333"/>
        </w:rPr>
        <w:t xml:space="preserve">Ray </w:t>
      </w:r>
      <w:r w:rsidRPr="004D4A63">
        <w:rPr>
          <w:rStyle w:val="authors"/>
          <w:rFonts w:ascii="Georgia Pro Cond" w:hAnsi="Georgia Pro Cond" w:cs="Arial"/>
        </w:rPr>
        <w:t>Johnson,</w:t>
      </w:r>
      <w:r w:rsidRPr="004D4A63">
        <w:rPr>
          <w:rFonts w:ascii="Georgia Pro Cond" w:hAnsi="Georgia Pro Cond" w:cs="Arial"/>
        </w:rPr>
        <w:t> “</w:t>
      </w:r>
      <w:r w:rsidRPr="004D4A63">
        <w:rPr>
          <w:rStyle w:val="arttitle"/>
          <w:rFonts w:ascii="Georgia Pro Cond" w:hAnsi="Georgia Pro Cond" w:cs="Arial"/>
        </w:rPr>
        <w:t>Tricks, Traps and Transformations”,</w:t>
      </w:r>
      <w:r w:rsidRPr="004D4A63">
        <w:rPr>
          <w:rFonts w:ascii="Georgia Pro Cond" w:hAnsi="Georgia Pro Cond" w:cs="Arial"/>
        </w:rPr>
        <w:t xml:space="preserve"> (2007), and the review from </w:t>
      </w:r>
      <w:r w:rsidRPr="004D4A63">
        <w:rPr>
          <w:rFonts w:ascii="Georgia Pro Cond" w:hAnsi="Georgia Pro Cond" w:cs="Arial"/>
          <w:i/>
        </w:rPr>
        <w:t xml:space="preserve">Nights at the Play </w:t>
      </w:r>
      <w:r w:rsidRPr="004D4A63">
        <w:rPr>
          <w:rFonts w:ascii="Georgia Pro Cond" w:hAnsi="Georgia Pro Cond" w:cs="Arial"/>
        </w:rPr>
        <w:t>(1878)</w:t>
      </w:r>
      <w:r w:rsidRPr="004D4A63">
        <w:rPr>
          <w:rFonts w:ascii="Georgia Pro Cond" w:hAnsi="Georgia Pro Cond"/>
          <w:sz w:val="24"/>
          <w:szCs w:val="24"/>
        </w:rPr>
        <w:t xml:space="preserve"> [below]</w:t>
      </w:r>
    </w:p>
    <w:p w14:paraId="39EA83DA" w14:textId="24ED8044" w:rsidR="00903739" w:rsidRPr="00F9234B" w:rsidRDefault="00903739" w:rsidP="00903739">
      <w:pPr>
        <w:shd w:val="clear" w:color="auto" w:fill="DEEAF6" w:themeFill="accent5" w:themeFillTint="33"/>
        <w:rPr>
          <w:rFonts w:ascii="Georgia Pro Cond" w:hAnsi="Georgia Pro Cond"/>
          <w:sz w:val="24"/>
        </w:rPr>
      </w:pPr>
      <w:r>
        <w:rPr>
          <w:rFonts w:ascii="Georgia Pro Cond" w:hAnsi="Georgia Pro Cond"/>
          <w:sz w:val="24"/>
        </w:rPr>
        <w:t>I also recommend reading Diane</w:t>
      </w:r>
      <w:r w:rsidR="00B26A92">
        <w:rPr>
          <w:rFonts w:ascii="Georgia Pro Cond" w:hAnsi="Georgia Pro Cond"/>
          <w:sz w:val="24"/>
        </w:rPr>
        <w:t xml:space="preserve"> Long Hoeveler’s chapter “</w:t>
      </w:r>
      <w:hyperlink r:id="rId9" w:history="1">
        <w:r w:rsidR="00B26A92" w:rsidRPr="00B26A92">
          <w:rPr>
            <w:rStyle w:val="Hyperlink"/>
            <w:rFonts w:ascii="Georgia Pro Cond" w:hAnsi="Georgia Pro Cond"/>
            <w:sz w:val="24"/>
          </w:rPr>
          <w:t>Victorian Gothic Drama</w:t>
        </w:r>
      </w:hyperlink>
      <w:r w:rsidR="00B26A92">
        <w:rPr>
          <w:rFonts w:ascii="Georgia Pro Cond" w:hAnsi="Georgia Pro Cond"/>
          <w:sz w:val="24"/>
        </w:rPr>
        <w:t>”</w:t>
      </w:r>
    </w:p>
    <w:p w14:paraId="460B070C" w14:textId="5682CE6A" w:rsidR="00606704" w:rsidRPr="009E5F2B" w:rsidRDefault="00B26A92" w:rsidP="00606704">
      <w:pPr>
        <w:jc w:val="both"/>
        <w:rPr>
          <w:rFonts w:ascii="Georgia Pro Cond" w:hAnsi="Georgia Pro Cond"/>
          <w:b/>
          <w:sz w:val="28"/>
        </w:rPr>
      </w:pPr>
      <w:r>
        <w:rPr>
          <w:rFonts w:ascii="Georgia Pro Cond" w:hAnsi="Georgia Pro Cond"/>
          <w:sz w:val="28"/>
        </w:rPr>
        <w:br/>
      </w:r>
      <w:r w:rsidR="00825D10" w:rsidRPr="009E5F2B">
        <w:rPr>
          <w:rFonts w:ascii="Georgia Pro Cond" w:hAnsi="Georgia Pro Cond"/>
          <w:sz w:val="28"/>
        </w:rPr>
        <w:t>This week, we will be thinking about melodrama, adaptation, and how the theatricality of the Gothic in a more literal sense.</w:t>
      </w:r>
      <w:r w:rsidR="00825D10" w:rsidRPr="009E5F2B">
        <w:rPr>
          <w:rFonts w:ascii="Georgia Pro Cond" w:hAnsi="Georgia Pro Cond"/>
          <w:b/>
          <w:sz w:val="28"/>
        </w:rPr>
        <w:t xml:space="preserve"> </w:t>
      </w:r>
    </w:p>
    <w:p w14:paraId="5CE8C38D" w14:textId="36F15A98" w:rsidR="00825D10" w:rsidRPr="004D4A63" w:rsidRDefault="00825D10" w:rsidP="00606704">
      <w:pPr>
        <w:pStyle w:val="ListParagraph"/>
        <w:numPr>
          <w:ilvl w:val="0"/>
          <w:numId w:val="23"/>
        </w:numPr>
        <w:jc w:val="both"/>
        <w:rPr>
          <w:rFonts w:ascii="Georgia Pro Cond" w:hAnsi="Georgia Pro Cond"/>
          <w:sz w:val="24"/>
          <w:szCs w:val="24"/>
        </w:rPr>
      </w:pPr>
      <w:r w:rsidRPr="004D4A63">
        <w:rPr>
          <w:rFonts w:ascii="Georgia Pro Cond" w:hAnsi="Georgia Pro Cond"/>
          <w:b/>
          <w:sz w:val="24"/>
          <w:szCs w:val="24"/>
        </w:rPr>
        <w:t xml:space="preserve">As you read through </w:t>
      </w:r>
      <w:r w:rsidR="00606704" w:rsidRPr="004D4A63">
        <w:rPr>
          <w:rFonts w:ascii="Georgia Pro Cond" w:hAnsi="Georgia Pro Cond"/>
          <w:b/>
          <w:sz w:val="24"/>
          <w:szCs w:val="24"/>
        </w:rPr>
        <w:t xml:space="preserve">the </w:t>
      </w:r>
      <w:r w:rsidRPr="004D4A63">
        <w:rPr>
          <w:rFonts w:ascii="Georgia Pro Cond" w:hAnsi="Georgia Pro Cond"/>
          <w:b/>
          <w:sz w:val="24"/>
          <w:szCs w:val="24"/>
        </w:rPr>
        <w:t xml:space="preserve">play, </w:t>
      </w:r>
      <w:r w:rsidR="004D4A63">
        <w:rPr>
          <w:rFonts w:ascii="Georgia Pro Cond" w:hAnsi="Georgia Pro Cond"/>
          <w:b/>
          <w:sz w:val="24"/>
          <w:szCs w:val="24"/>
        </w:rPr>
        <w:t xml:space="preserve">as well as the narrative style and tone, </w:t>
      </w:r>
      <w:r w:rsidRPr="004D4A63">
        <w:rPr>
          <w:rFonts w:ascii="Georgia Pro Cond" w:hAnsi="Georgia Pro Cond"/>
          <w:b/>
          <w:sz w:val="24"/>
          <w:szCs w:val="24"/>
        </w:rPr>
        <w:t xml:space="preserve">pay </w:t>
      </w:r>
      <w:proofErr w:type="gramStart"/>
      <w:r w:rsidRPr="004D4A63">
        <w:rPr>
          <w:rFonts w:ascii="Georgia Pro Cond" w:hAnsi="Georgia Pro Cond"/>
          <w:b/>
          <w:sz w:val="24"/>
          <w:szCs w:val="24"/>
        </w:rPr>
        <w:t>particular attention</w:t>
      </w:r>
      <w:proofErr w:type="gramEnd"/>
      <w:r w:rsidRPr="004D4A63">
        <w:rPr>
          <w:rFonts w:ascii="Georgia Pro Cond" w:hAnsi="Georgia Pro Cond"/>
          <w:b/>
          <w:sz w:val="24"/>
          <w:szCs w:val="24"/>
        </w:rPr>
        <w:t xml:space="preserve"> to any peritextual information (advertisements, prefaces), and details such as costume, and stage directions.</w:t>
      </w:r>
      <w:r w:rsidRPr="004D4A63">
        <w:rPr>
          <w:rFonts w:ascii="Georgia Pro Cond" w:hAnsi="Georgia Pro Cond"/>
          <w:sz w:val="24"/>
          <w:szCs w:val="24"/>
        </w:rPr>
        <w:t xml:space="preserve"> </w:t>
      </w:r>
    </w:p>
    <w:p w14:paraId="68A2D7D4" w14:textId="77777777" w:rsidR="00825D10" w:rsidRPr="004D4A63" w:rsidRDefault="00825D10" w:rsidP="00825D10">
      <w:pPr>
        <w:jc w:val="both"/>
        <w:rPr>
          <w:rFonts w:ascii="Georgia Pro Cond" w:hAnsi="Georgia Pro Cond"/>
          <w:sz w:val="24"/>
          <w:szCs w:val="24"/>
        </w:rPr>
      </w:pPr>
      <w:r w:rsidRPr="004D4A63">
        <w:rPr>
          <w:rFonts w:ascii="Georgia Pro Cond" w:hAnsi="Georgia Pro Cond"/>
          <w:sz w:val="24"/>
          <w:szCs w:val="24"/>
        </w:rPr>
        <w:br/>
      </w:r>
    </w:p>
    <w:p w14:paraId="4A3ED787" w14:textId="77777777" w:rsidR="00825D10" w:rsidRPr="004D4A63" w:rsidRDefault="00825D10" w:rsidP="00825D10">
      <w:pPr>
        <w:pStyle w:val="ListParagraph"/>
        <w:jc w:val="both"/>
        <w:rPr>
          <w:rFonts w:ascii="Georgia Pro Cond" w:hAnsi="Georgia Pro Cond"/>
          <w:sz w:val="24"/>
          <w:szCs w:val="24"/>
        </w:rPr>
      </w:pPr>
    </w:p>
    <w:p w14:paraId="67DF2504" w14:textId="02FD607C" w:rsidR="00825D10" w:rsidRPr="004D4A63" w:rsidRDefault="00825D10" w:rsidP="00606704">
      <w:pPr>
        <w:pStyle w:val="ListParagraph"/>
        <w:numPr>
          <w:ilvl w:val="0"/>
          <w:numId w:val="23"/>
        </w:numPr>
        <w:jc w:val="both"/>
        <w:rPr>
          <w:rFonts w:ascii="Georgia Pro Cond" w:hAnsi="Georgia Pro Cond"/>
          <w:sz w:val="24"/>
          <w:szCs w:val="24"/>
        </w:rPr>
      </w:pPr>
      <w:r w:rsidRPr="004D4A63">
        <w:rPr>
          <w:rFonts w:ascii="Georgia Pro Cond" w:hAnsi="Georgia Pro Cond"/>
          <w:b/>
          <w:sz w:val="24"/>
          <w:szCs w:val="24"/>
        </w:rPr>
        <w:t xml:space="preserve">Read the extract from Daly’s “Fire on Stage” </w:t>
      </w:r>
      <w:r w:rsidRPr="004D4A63">
        <w:rPr>
          <w:rFonts w:ascii="Georgia Pro Cond" w:hAnsi="Georgia Pro Cond"/>
          <w:sz w:val="24"/>
          <w:szCs w:val="24"/>
        </w:rPr>
        <w:t xml:space="preserve">and </w:t>
      </w:r>
      <w:r w:rsidR="004D4A63" w:rsidRPr="004D4A63">
        <w:rPr>
          <w:rFonts w:ascii="Georgia Pro Cond" w:hAnsi="Georgia Pro Cond"/>
          <w:sz w:val="24"/>
          <w:szCs w:val="24"/>
        </w:rPr>
        <w:t xml:space="preserve">from </w:t>
      </w:r>
      <w:r w:rsidR="004D4A63" w:rsidRPr="004D4A63">
        <w:rPr>
          <w:rStyle w:val="authors"/>
          <w:rFonts w:ascii="Georgia Pro Cond" w:hAnsi="Georgia Pro Cond" w:cs="Arial"/>
          <w:b/>
          <w:sz w:val="24"/>
          <w:szCs w:val="24"/>
        </w:rPr>
        <w:t>Ray Johnson’s,</w:t>
      </w:r>
      <w:r w:rsidR="004D4A63" w:rsidRPr="004D4A63">
        <w:rPr>
          <w:rFonts w:ascii="Georgia Pro Cond" w:hAnsi="Georgia Pro Cond" w:cs="Arial"/>
          <w:b/>
          <w:sz w:val="24"/>
          <w:szCs w:val="24"/>
        </w:rPr>
        <w:t> “</w:t>
      </w:r>
      <w:r w:rsidR="004D4A63" w:rsidRPr="004D4A63">
        <w:rPr>
          <w:rStyle w:val="arttitle"/>
          <w:rFonts w:ascii="Georgia Pro Cond" w:hAnsi="Georgia Pro Cond" w:cs="Arial"/>
          <w:b/>
          <w:sz w:val="24"/>
          <w:szCs w:val="24"/>
        </w:rPr>
        <w:t>Tricks, Traps and Transformations”,</w:t>
      </w:r>
      <w:r w:rsidR="004D4A63" w:rsidRPr="004D4A63">
        <w:rPr>
          <w:rFonts w:ascii="Georgia Pro Cond" w:hAnsi="Georgia Pro Cond" w:cs="Arial"/>
          <w:sz w:val="24"/>
          <w:szCs w:val="24"/>
        </w:rPr>
        <w:t xml:space="preserve"> and </w:t>
      </w:r>
      <w:r w:rsidRPr="004D4A63">
        <w:rPr>
          <w:rFonts w:ascii="Georgia Pro Cond" w:hAnsi="Georgia Pro Cond"/>
          <w:sz w:val="24"/>
          <w:szCs w:val="24"/>
        </w:rPr>
        <w:t>consider the science and technologies involved in producing the Gothic effect</w:t>
      </w:r>
      <w:r w:rsidR="004D4A63" w:rsidRPr="004D4A63">
        <w:rPr>
          <w:rFonts w:ascii="Georgia Pro Cond" w:hAnsi="Georgia Pro Cond"/>
          <w:sz w:val="24"/>
          <w:szCs w:val="24"/>
        </w:rPr>
        <w:t>. Consider</w:t>
      </w:r>
      <w:r w:rsidRPr="004D4A63">
        <w:rPr>
          <w:rFonts w:ascii="Georgia Pro Cond" w:hAnsi="Georgia Pro Cond"/>
          <w:sz w:val="24"/>
          <w:szCs w:val="24"/>
        </w:rPr>
        <w:t xml:space="preserve"> also</w:t>
      </w:r>
      <w:r w:rsidR="004D4A63" w:rsidRPr="004D4A63">
        <w:rPr>
          <w:rFonts w:ascii="Georgia Pro Cond" w:hAnsi="Georgia Pro Cond"/>
          <w:sz w:val="24"/>
          <w:szCs w:val="24"/>
        </w:rPr>
        <w:t xml:space="preserve"> what</w:t>
      </w:r>
      <w:r w:rsidRPr="004D4A63">
        <w:rPr>
          <w:rFonts w:ascii="Georgia Pro Cond" w:hAnsi="Georgia Pro Cond"/>
          <w:sz w:val="24"/>
          <w:szCs w:val="24"/>
        </w:rPr>
        <w:t xml:space="preserve"> these </w:t>
      </w:r>
      <w:r w:rsidR="004D4A63" w:rsidRPr="004D4A63">
        <w:rPr>
          <w:rFonts w:ascii="Georgia Pro Cond" w:hAnsi="Georgia Pro Cond"/>
          <w:sz w:val="24"/>
          <w:szCs w:val="24"/>
        </w:rPr>
        <w:t>factors add</w:t>
      </w:r>
      <w:r w:rsidRPr="004D4A63">
        <w:rPr>
          <w:rFonts w:ascii="Georgia Pro Cond" w:hAnsi="Georgia Pro Cond"/>
          <w:sz w:val="24"/>
          <w:szCs w:val="24"/>
        </w:rPr>
        <w:t xml:space="preserve"> to </w:t>
      </w:r>
      <w:r w:rsidR="004D4A63" w:rsidRPr="004D4A63">
        <w:rPr>
          <w:rFonts w:ascii="Georgia Pro Cond" w:hAnsi="Georgia Pro Cond"/>
          <w:sz w:val="24"/>
          <w:szCs w:val="24"/>
        </w:rPr>
        <w:t>our understanding</w:t>
      </w:r>
      <w:r w:rsidRPr="004D4A63">
        <w:rPr>
          <w:rFonts w:ascii="Georgia Pro Cond" w:hAnsi="Georgia Pro Cond"/>
          <w:sz w:val="24"/>
          <w:szCs w:val="24"/>
        </w:rPr>
        <w:t xml:space="preserve"> </w:t>
      </w:r>
      <w:r w:rsidR="004D4A63" w:rsidRPr="004D4A63">
        <w:rPr>
          <w:rFonts w:ascii="Georgia Pro Cond" w:hAnsi="Georgia Pro Cond"/>
          <w:sz w:val="24"/>
          <w:szCs w:val="24"/>
        </w:rPr>
        <w:t>of</w:t>
      </w:r>
      <w:r w:rsidRPr="004D4A63">
        <w:rPr>
          <w:rFonts w:ascii="Georgia Pro Cond" w:hAnsi="Georgia Pro Cond"/>
          <w:sz w:val="24"/>
          <w:szCs w:val="24"/>
        </w:rPr>
        <w:t xml:space="preserve"> these plays </w:t>
      </w:r>
      <w:r w:rsidR="004D4A63" w:rsidRPr="004D4A63">
        <w:rPr>
          <w:rFonts w:ascii="Georgia Pro Cond" w:hAnsi="Georgia Pro Cond"/>
          <w:sz w:val="24"/>
          <w:szCs w:val="24"/>
        </w:rPr>
        <w:t>s performance pieces</w:t>
      </w:r>
      <w:r w:rsidRPr="004D4A63">
        <w:rPr>
          <w:rFonts w:ascii="Georgia Pro Cond" w:hAnsi="Georgia Pro Cond"/>
          <w:sz w:val="24"/>
          <w:szCs w:val="24"/>
        </w:rPr>
        <w:t>,</w:t>
      </w:r>
      <w:r w:rsidR="004D4A63" w:rsidRPr="004D4A63">
        <w:rPr>
          <w:rFonts w:ascii="Georgia Pro Cond" w:hAnsi="Georgia Pro Cond"/>
          <w:sz w:val="24"/>
          <w:szCs w:val="24"/>
        </w:rPr>
        <w:t xml:space="preserve"> to be viewed by</w:t>
      </w:r>
      <w:r w:rsidRPr="004D4A63">
        <w:rPr>
          <w:rFonts w:ascii="Georgia Pro Cond" w:hAnsi="Georgia Pro Cond"/>
          <w:sz w:val="24"/>
          <w:szCs w:val="24"/>
        </w:rPr>
        <w:t xml:space="preserve"> audiences; </w:t>
      </w:r>
      <w:r w:rsidRPr="004D4A63">
        <w:rPr>
          <w:rFonts w:ascii="Georgia Pro Cond" w:hAnsi="Georgia Pro Cond"/>
          <w:b/>
          <w:sz w:val="24"/>
          <w:szCs w:val="24"/>
        </w:rPr>
        <w:t>what can we glean from the script about audience participation, and the contract between the play and its viewers?</w:t>
      </w:r>
    </w:p>
    <w:p w14:paraId="769BF586" w14:textId="49B06022" w:rsidR="00825D10" w:rsidRPr="004D4A63" w:rsidRDefault="00825D10" w:rsidP="00825D10">
      <w:pPr>
        <w:jc w:val="both"/>
        <w:rPr>
          <w:rFonts w:ascii="Georgia Pro Cond" w:hAnsi="Georgia Pro Cond"/>
          <w:sz w:val="24"/>
          <w:szCs w:val="24"/>
        </w:rPr>
      </w:pPr>
    </w:p>
    <w:p w14:paraId="0E64E17B" w14:textId="77777777" w:rsidR="004D4A63" w:rsidRPr="004D4A63" w:rsidRDefault="004D4A63" w:rsidP="00825D10">
      <w:pPr>
        <w:jc w:val="both"/>
        <w:rPr>
          <w:rFonts w:ascii="Georgia Pro Cond" w:hAnsi="Georgia Pro Cond"/>
          <w:sz w:val="24"/>
          <w:szCs w:val="24"/>
        </w:rPr>
      </w:pPr>
    </w:p>
    <w:p w14:paraId="6BFE4D9C" w14:textId="77777777" w:rsidR="00825D10" w:rsidRPr="004D4A63" w:rsidRDefault="00825D10" w:rsidP="00825D10">
      <w:pPr>
        <w:pStyle w:val="ListParagraph"/>
        <w:rPr>
          <w:rFonts w:ascii="Georgia Pro Cond" w:hAnsi="Georgia Pro Cond"/>
          <w:sz w:val="24"/>
          <w:szCs w:val="24"/>
        </w:rPr>
      </w:pPr>
    </w:p>
    <w:p w14:paraId="15F457B4" w14:textId="2ED412DD" w:rsidR="00825D10" w:rsidRPr="004D4A63" w:rsidRDefault="00583790" w:rsidP="00606704">
      <w:pPr>
        <w:pStyle w:val="ListParagraph"/>
        <w:numPr>
          <w:ilvl w:val="0"/>
          <w:numId w:val="23"/>
        </w:numPr>
        <w:jc w:val="both"/>
        <w:rPr>
          <w:rFonts w:ascii="Georgia Pro Cond" w:hAnsi="Georgia Pro Cond"/>
          <w:sz w:val="24"/>
          <w:szCs w:val="24"/>
        </w:rPr>
      </w:pPr>
      <w:r w:rsidRPr="004D4A63">
        <w:rPr>
          <w:rFonts w:ascii="Georgia Pro Cond" w:hAnsi="Georgia Pro Cond"/>
          <w:sz w:val="24"/>
          <w:szCs w:val="24"/>
        </w:rPr>
        <w:t xml:space="preserve">Read the review below from </w:t>
      </w:r>
      <w:r w:rsidRPr="004D4A63">
        <w:rPr>
          <w:rFonts w:ascii="Georgia Pro Cond" w:hAnsi="Georgia Pro Cond"/>
          <w:i/>
          <w:sz w:val="24"/>
          <w:szCs w:val="24"/>
        </w:rPr>
        <w:t>Nights at the play; a view of the English stage</w:t>
      </w:r>
      <w:r w:rsidR="004D4A63">
        <w:rPr>
          <w:rFonts w:ascii="Georgia Pro Cond" w:hAnsi="Georgia Pro Cond"/>
          <w:i/>
          <w:sz w:val="24"/>
          <w:szCs w:val="24"/>
        </w:rPr>
        <w:t>,</w:t>
      </w:r>
      <w:r w:rsidRPr="004D4A63">
        <w:rPr>
          <w:rFonts w:ascii="Georgia Pro Cond" w:hAnsi="Georgia Pro Cond"/>
          <w:i/>
          <w:sz w:val="24"/>
          <w:szCs w:val="24"/>
        </w:rPr>
        <w:t xml:space="preserve"> </w:t>
      </w:r>
      <w:r w:rsidRPr="004D4A63">
        <w:rPr>
          <w:rStyle w:val="key"/>
          <w:rFonts w:ascii="Georgia Pro Cond" w:hAnsi="Georgia Pro Cond"/>
          <w:color w:val="333333"/>
          <w:sz w:val="24"/>
          <w:szCs w:val="24"/>
        </w:rPr>
        <w:t>by Dutton Cook</w:t>
      </w:r>
      <w:r w:rsidR="004D4A63">
        <w:rPr>
          <w:rStyle w:val="key"/>
          <w:rFonts w:ascii="Georgia Pro Cond" w:hAnsi="Georgia Pro Cond"/>
          <w:color w:val="333333"/>
          <w:sz w:val="24"/>
          <w:szCs w:val="24"/>
        </w:rPr>
        <w:t>,</w:t>
      </w:r>
      <w:r w:rsidRPr="004D4A63">
        <w:rPr>
          <w:rFonts w:ascii="Georgia Pro Cond" w:hAnsi="Georgia Pro Cond"/>
          <w:sz w:val="24"/>
          <w:szCs w:val="24"/>
        </w:rPr>
        <w:t xml:space="preserve"> </w:t>
      </w:r>
      <w:r w:rsidR="00392976" w:rsidRPr="004D4A63">
        <w:rPr>
          <w:rFonts w:ascii="Georgia Pro Cond" w:hAnsi="Georgia Pro Cond"/>
          <w:sz w:val="24"/>
          <w:szCs w:val="24"/>
        </w:rPr>
        <w:t xml:space="preserve">which critiques an 1878 </w:t>
      </w:r>
      <w:r w:rsidR="00503225" w:rsidRPr="004D4A63">
        <w:rPr>
          <w:rFonts w:ascii="Georgia Pro Cond" w:hAnsi="Georgia Pro Cond"/>
          <w:sz w:val="24"/>
          <w:szCs w:val="24"/>
        </w:rPr>
        <w:t>reproduction of the play. S</w:t>
      </w:r>
      <w:r w:rsidR="00825D10" w:rsidRPr="004D4A63">
        <w:rPr>
          <w:rFonts w:ascii="Georgia Pro Cond" w:hAnsi="Georgia Pro Cond"/>
          <w:sz w:val="24"/>
          <w:szCs w:val="24"/>
        </w:rPr>
        <w:t>ee if you can find any</w:t>
      </w:r>
      <w:r w:rsidR="004D4A63">
        <w:rPr>
          <w:rFonts w:ascii="Georgia Pro Cond" w:hAnsi="Georgia Pro Cond"/>
          <w:sz w:val="24"/>
          <w:szCs w:val="24"/>
        </w:rPr>
        <w:t xml:space="preserve"> other</w:t>
      </w:r>
      <w:r w:rsidR="00825D10" w:rsidRPr="004D4A63">
        <w:rPr>
          <w:rFonts w:ascii="Georgia Pro Cond" w:hAnsi="Georgia Pro Cond"/>
          <w:sz w:val="24"/>
          <w:szCs w:val="24"/>
        </w:rPr>
        <w:t xml:space="preserve"> </w:t>
      </w:r>
      <w:r w:rsidR="00825D10" w:rsidRPr="004D4A63">
        <w:rPr>
          <w:rFonts w:ascii="Georgia Pro Cond" w:hAnsi="Georgia Pro Cond"/>
          <w:b/>
          <w:sz w:val="24"/>
          <w:szCs w:val="24"/>
        </w:rPr>
        <w:t>reviews of the play</w:t>
      </w:r>
      <w:r w:rsidR="00503225" w:rsidRPr="004D4A63">
        <w:rPr>
          <w:rFonts w:ascii="Georgia Pro Cond" w:hAnsi="Georgia Pro Cond"/>
          <w:b/>
          <w:sz w:val="24"/>
          <w:szCs w:val="24"/>
        </w:rPr>
        <w:t xml:space="preserve"> from any date between 1826 and 1900</w:t>
      </w:r>
      <w:r w:rsidR="00825D10" w:rsidRPr="004D4A63">
        <w:rPr>
          <w:rFonts w:ascii="Georgia Pro Cond" w:hAnsi="Georgia Pro Cond"/>
          <w:sz w:val="24"/>
          <w:szCs w:val="24"/>
        </w:rPr>
        <w:t xml:space="preserve"> (TIP: try </w:t>
      </w:r>
      <w:proofErr w:type="gramStart"/>
      <w:r w:rsidR="00825D10" w:rsidRPr="004D4A63">
        <w:rPr>
          <w:rFonts w:ascii="Georgia Pro Cond" w:hAnsi="Georgia Pro Cond"/>
          <w:sz w:val="24"/>
          <w:szCs w:val="24"/>
        </w:rPr>
        <w:t>google</w:t>
      </w:r>
      <w:proofErr w:type="gramEnd"/>
      <w:r w:rsidR="00825D10" w:rsidRPr="004D4A63">
        <w:rPr>
          <w:rFonts w:ascii="Georgia Pro Cond" w:hAnsi="Georgia Pro Cond"/>
          <w:sz w:val="24"/>
          <w:szCs w:val="24"/>
        </w:rPr>
        <w:t xml:space="preserve"> scholar, or the Proquest database through the library system, British newspaper/periodical databases, and it will help if you shorten the date range). </w:t>
      </w:r>
      <w:r w:rsidR="00825D10" w:rsidRPr="004D4A63">
        <w:rPr>
          <w:rFonts w:ascii="Georgia Pro Cond" w:hAnsi="Georgia Pro Cond"/>
          <w:b/>
          <w:sz w:val="24"/>
          <w:szCs w:val="24"/>
        </w:rPr>
        <w:t>What do these tell us about Gothic staging</w:t>
      </w:r>
      <w:r w:rsidR="00503225" w:rsidRPr="004D4A63">
        <w:rPr>
          <w:rFonts w:ascii="Georgia Pro Cond" w:hAnsi="Georgia Pro Cond"/>
          <w:b/>
          <w:sz w:val="24"/>
          <w:szCs w:val="24"/>
        </w:rPr>
        <w:t xml:space="preserve"> and its reception</w:t>
      </w:r>
      <w:r w:rsidR="00825D10" w:rsidRPr="004D4A63">
        <w:rPr>
          <w:rFonts w:ascii="Georgia Pro Cond" w:hAnsi="Georgia Pro Cond"/>
          <w:b/>
          <w:sz w:val="24"/>
          <w:szCs w:val="24"/>
        </w:rPr>
        <w:t>?</w:t>
      </w:r>
      <w:r w:rsidR="00825D10" w:rsidRPr="004D4A63">
        <w:rPr>
          <w:rFonts w:ascii="Georgia Pro Cond" w:hAnsi="Georgia Pro Cond"/>
          <w:sz w:val="24"/>
          <w:szCs w:val="24"/>
        </w:rPr>
        <w:t xml:space="preserve"> </w:t>
      </w:r>
    </w:p>
    <w:p w14:paraId="69353EA9" w14:textId="77777777" w:rsidR="00825D10" w:rsidRPr="004D4A63" w:rsidRDefault="00825D10" w:rsidP="00825D10">
      <w:pPr>
        <w:pStyle w:val="ListParagraph"/>
        <w:rPr>
          <w:rFonts w:ascii="Georgia Pro Cond" w:hAnsi="Georgia Pro Cond"/>
          <w:sz w:val="24"/>
          <w:szCs w:val="24"/>
        </w:rPr>
      </w:pPr>
    </w:p>
    <w:p w14:paraId="3AB1BAE0" w14:textId="77777777" w:rsidR="00825D10" w:rsidRPr="004D4A63" w:rsidRDefault="00825D10" w:rsidP="00825D10">
      <w:pPr>
        <w:pStyle w:val="ListParagraph"/>
        <w:rPr>
          <w:rFonts w:ascii="Georgia Pro Cond" w:hAnsi="Georgia Pro Cond"/>
          <w:sz w:val="24"/>
          <w:szCs w:val="24"/>
        </w:rPr>
      </w:pPr>
    </w:p>
    <w:p w14:paraId="4F5B0947" w14:textId="77777777" w:rsidR="00825D10" w:rsidRPr="004D4A63" w:rsidRDefault="00825D10" w:rsidP="00825D10">
      <w:pPr>
        <w:pStyle w:val="ListParagraph"/>
        <w:rPr>
          <w:rFonts w:ascii="Georgia Pro Cond" w:hAnsi="Georgia Pro Cond"/>
          <w:sz w:val="24"/>
          <w:szCs w:val="24"/>
        </w:rPr>
      </w:pPr>
    </w:p>
    <w:p w14:paraId="727FC3D4" w14:textId="38E878D9" w:rsidR="00825D10" w:rsidRPr="004D4A63" w:rsidRDefault="00825D10" w:rsidP="00606704">
      <w:pPr>
        <w:pStyle w:val="ListParagraph"/>
        <w:numPr>
          <w:ilvl w:val="0"/>
          <w:numId w:val="23"/>
        </w:numPr>
        <w:jc w:val="both"/>
        <w:rPr>
          <w:rFonts w:ascii="Georgia Pro Cond" w:hAnsi="Georgia Pro Cond"/>
          <w:sz w:val="24"/>
          <w:szCs w:val="24"/>
        </w:rPr>
      </w:pPr>
      <w:r w:rsidRPr="004D4A63">
        <w:rPr>
          <w:rFonts w:ascii="Georgia Pro Cond" w:hAnsi="Georgia Pro Cond"/>
          <w:sz w:val="24"/>
          <w:szCs w:val="24"/>
        </w:rPr>
        <w:t xml:space="preserve">There were a great number of stories, plays, operas, poems, paintings, based on the Flying Dutchman legend in the C19th alone – many </w:t>
      </w:r>
      <w:r w:rsidR="004D4A63">
        <w:rPr>
          <w:rFonts w:ascii="Georgia Pro Cond" w:hAnsi="Georgia Pro Cond"/>
          <w:sz w:val="24"/>
          <w:szCs w:val="24"/>
        </w:rPr>
        <w:t xml:space="preserve">being </w:t>
      </w:r>
      <w:r w:rsidRPr="004D4A63">
        <w:rPr>
          <w:rFonts w:ascii="Georgia Pro Cond" w:hAnsi="Georgia Pro Cond"/>
          <w:sz w:val="24"/>
          <w:szCs w:val="24"/>
        </w:rPr>
        <w:t xml:space="preserve">adaptations and reappropriations of other pieces. </w:t>
      </w:r>
      <w:r w:rsidR="004D4A63">
        <w:rPr>
          <w:rFonts w:ascii="Georgia Pro Cond" w:hAnsi="Georgia Pro Cond"/>
          <w:b/>
          <w:sz w:val="24"/>
          <w:szCs w:val="24"/>
        </w:rPr>
        <w:t>Read around about some of the early legends and folklore (if you have read the recommended short story/poem, you might consider these), and think about Fitzball’s play as an adaptation/appropriation.</w:t>
      </w:r>
    </w:p>
    <w:p w14:paraId="2A889075" w14:textId="77777777" w:rsidR="00825D10" w:rsidRPr="009B7BA4" w:rsidRDefault="00825D10" w:rsidP="00825D10">
      <w:pPr>
        <w:rPr>
          <w:rFonts w:ascii="Georgia Pro Cond" w:hAnsi="Georgia Pro Cond"/>
          <w:sz w:val="24"/>
        </w:rPr>
      </w:pPr>
    </w:p>
    <w:p w14:paraId="706A545E" w14:textId="7335A261" w:rsidR="00DA6535" w:rsidRDefault="00DA6535" w:rsidP="00825D10"/>
    <w:p w14:paraId="6BA35653" w14:textId="7433AE5A" w:rsidR="00B26A92" w:rsidRDefault="00B26A92" w:rsidP="00825D10"/>
    <w:p w14:paraId="7DB4AACD" w14:textId="17098145" w:rsidR="00B26A92" w:rsidRDefault="00B26A92" w:rsidP="00825D10"/>
    <w:p w14:paraId="1DCBACA5" w14:textId="77777777" w:rsidR="00825D10" w:rsidRPr="001C3DC6" w:rsidRDefault="00825D10" w:rsidP="00825D10">
      <w:pPr>
        <w:rPr>
          <w:rFonts w:ascii="Times New Roman" w:hAnsi="Times New Roman" w:cs="Times New Roman"/>
          <w:sz w:val="24"/>
        </w:rPr>
      </w:pPr>
      <w:r w:rsidRPr="001C3DC6">
        <w:rPr>
          <w:rFonts w:ascii="Times New Roman" w:hAnsi="Times New Roman" w:cs="Times New Roman"/>
          <w:b/>
          <w:bCs/>
          <w:color w:val="000000"/>
          <w:sz w:val="24"/>
        </w:rPr>
        <w:lastRenderedPageBreak/>
        <w:t xml:space="preserve">Extract from, Nicholas Daly, “Fire on Stage”, </w:t>
      </w:r>
      <w:r w:rsidRPr="001C3DC6">
        <w:rPr>
          <w:rFonts w:ascii="Times New Roman" w:hAnsi="Times New Roman" w:cs="Times New Roman"/>
          <w:b/>
          <w:bCs/>
          <w:i/>
          <w:color w:val="000000"/>
          <w:sz w:val="24"/>
        </w:rPr>
        <w:t>19: Interdisciplinary Studies in the Long Nineteenth Century</w:t>
      </w:r>
      <w:r w:rsidRPr="001C3DC6">
        <w:rPr>
          <w:rFonts w:ascii="Times New Roman" w:hAnsi="Times New Roman" w:cs="Times New Roman"/>
          <w:b/>
          <w:bCs/>
          <w:color w:val="000000"/>
          <w:sz w:val="24"/>
        </w:rPr>
        <w:t>, 25 (2017) &lt;https://doi.org/10.16995/ntn.793&gt;</w:t>
      </w:r>
    </w:p>
    <w:p w14:paraId="29AAEBE4" w14:textId="77777777" w:rsidR="00825D10" w:rsidRPr="001C3DC6" w:rsidRDefault="00825D10" w:rsidP="00825D10">
      <w:pPr>
        <w:spacing w:after="0"/>
        <w:jc w:val="both"/>
        <w:rPr>
          <w:rStyle w:val="A1"/>
          <w:rFonts w:ascii="Times New Roman" w:hAnsi="Times New Roman" w:cs="Times New Roman"/>
          <w:sz w:val="24"/>
        </w:rPr>
      </w:pPr>
      <w:r w:rsidRPr="001C3DC6">
        <w:rPr>
          <w:rStyle w:val="A1"/>
          <w:rFonts w:ascii="Times New Roman" w:hAnsi="Times New Roman" w:cs="Times New Roman"/>
          <w:sz w:val="24"/>
        </w:rPr>
        <w:t xml:space="preserve">[…] </w:t>
      </w:r>
      <w:r w:rsidRPr="001C3DC6">
        <w:rPr>
          <w:rStyle w:val="A1"/>
          <w:rFonts w:ascii="Times New Roman" w:hAnsi="Times New Roman" w:cs="Times New Roman"/>
          <w:color w:val="538135" w:themeColor="accent6" w:themeShade="BF"/>
          <w:sz w:val="24"/>
        </w:rPr>
        <w:t xml:space="preserve">[p.2] </w:t>
      </w:r>
      <w:r w:rsidRPr="001C3DC6">
        <w:rPr>
          <w:rStyle w:val="A1"/>
          <w:rFonts w:ascii="Times New Roman" w:hAnsi="Times New Roman" w:cs="Times New Roman"/>
          <w:sz w:val="24"/>
        </w:rPr>
        <w:t xml:space="preserve">While onstage flames could draw people in, offering an experience of immersive suspense, for instance, they also interrupted the dramatic flow, reminding audiences that they were seeing a performance, getting something for their money. To this extent, we are reminded that nineteenth-century drama provided something of a mixed and spectacular ‘theatre of attractions’, closer at times to the circus than to the novel. </w:t>
      </w:r>
    </w:p>
    <w:p w14:paraId="1D285B47" w14:textId="77777777" w:rsidR="00825D10" w:rsidRPr="001C3DC6" w:rsidRDefault="00825D10" w:rsidP="00825D10">
      <w:pPr>
        <w:spacing w:after="0"/>
        <w:ind w:firstLine="426"/>
        <w:jc w:val="both"/>
        <w:rPr>
          <w:rFonts w:ascii="Times New Roman" w:hAnsi="Times New Roman" w:cs="Times New Roman"/>
          <w:sz w:val="24"/>
        </w:rPr>
      </w:pPr>
      <w:r w:rsidRPr="001C3DC6">
        <w:rPr>
          <w:rFonts w:ascii="Times New Roman" w:hAnsi="Times New Roman" w:cs="Times New Roman"/>
          <w:sz w:val="24"/>
          <w:szCs w:val="20"/>
        </w:rPr>
        <w:t xml:space="preserve">That fire was a </w:t>
      </w:r>
      <w:r w:rsidRPr="001C3DC6">
        <w:rPr>
          <w:rFonts w:ascii="Times New Roman" w:hAnsi="Times New Roman" w:cs="Times New Roman"/>
          <w:sz w:val="24"/>
        </w:rPr>
        <w:t xml:space="preserve">common special effect on the nineteenth-century stage is less surprising when we consider that fire effects had been a part of the British theatre since the Middle Ages, when they were used, for example, to offer a glimpse of the eternal flames of hell and other supernatural phenomena. […] Fire remained a key stage effect into the modern period. John A. Rice, for example, has described the extensive use of fire on the eighteenth-century stage, drawing on, inter alia, the accounts in Claude-Fortuné Ruggieri’s influential </w:t>
      </w:r>
      <w:r w:rsidRPr="001C3DC6">
        <w:rPr>
          <w:rFonts w:ascii="Times New Roman" w:hAnsi="Times New Roman" w:cs="Times New Roman"/>
          <w:i/>
          <w:iCs/>
          <w:sz w:val="24"/>
        </w:rPr>
        <w:t xml:space="preserve">Elémens de pyrotechnie </w:t>
      </w:r>
      <w:r w:rsidRPr="001C3DC6">
        <w:rPr>
          <w:rFonts w:ascii="Times New Roman" w:hAnsi="Times New Roman" w:cs="Times New Roman"/>
          <w:sz w:val="24"/>
        </w:rPr>
        <w:t>(1801, 1811, 1821). Ruggieri, the scion of a famous family of pyrotechnicians, summarizes some of the special-effect techniques that had been in use in Paris for decades. For instance, the illusion of a burning building could be produced quite simply by placing small quantities of burning tow behind painted flames. More dramatic effects could be achieved by burning lycopodium powder.</w:t>
      </w:r>
      <w:r w:rsidRPr="001C3DC6">
        <w:rPr>
          <w:rStyle w:val="A2"/>
          <w:rFonts w:ascii="Times New Roman" w:hAnsi="Times New Roman" w:cs="Times New Roman"/>
          <w:sz w:val="24"/>
          <w:szCs w:val="22"/>
          <w:vertAlign w:val="superscript"/>
        </w:rPr>
        <w:t>4</w:t>
      </w:r>
      <w:r w:rsidRPr="001C3DC6">
        <w:rPr>
          <w:rStyle w:val="A2"/>
          <w:rFonts w:ascii="Times New Roman" w:hAnsi="Times New Roman" w:cs="Times New Roman"/>
          <w:sz w:val="24"/>
          <w:szCs w:val="22"/>
        </w:rPr>
        <w:t xml:space="preserve"> </w:t>
      </w:r>
      <w:r w:rsidRPr="001C3DC6">
        <w:rPr>
          <w:rFonts w:ascii="Times New Roman" w:hAnsi="Times New Roman" w:cs="Times New Roman"/>
          <w:sz w:val="24"/>
        </w:rPr>
        <w:t xml:space="preserve">This powder, which continued to be used in stage effects throughout the nineteenth century, is obtained by drying the spores of the lycopodium plant, also known as clubmoss. When ignited, the powder creates a bright flash, and thus was used to simulate lightning as well as fires. Spectacular fireball effects could be created by using a sort of bellows on the powder and alcohol as an ignition agent. </w:t>
      </w:r>
    </w:p>
    <w:p w14:paraId="30427747" w14:textId="77777777" w:rsidR="00825D10" w:rsidRPr="001C3DC6" w:rsidRDefault="00825D10" w:rsidP="00825D10">
      <w:pPr>
        <w:pStyle w:val="Default"/>
        <w:jc w:val="both"/>
        <w:rPr>
          <w:rFonts w:ascii="Times New Roman" w:hAnsi="Times New Roman" w:cs="Times New Roman"/>
          <w:szCs w:val="22"/>
        </w:rPr>
      </w:pPr>
      <w:r w:rsidRPr="001C3DC6">
        <w:rPr>
          <w:rFonts w:ascii="Times New Roman" w:hAnsi="Times New Roman" w:cs="Times New Roman"/>
          <w:szCs w:val="22"/>
        </w:rPr>
        <w:t xml:space="preserve">[…] </w:t>
      </w:r>
      <w:r w:rsidRPr="001C3DC6">
        <w:rPr>
          <w:rFonts w:ascii="Times New Roman" w:hAnsi="Times New Roman" w:cs="Times New Roman"/>
          <w:color w:val="538135" w:themeColor="accent6" w:themeShade="BF"/>
          <w:szCs w:val="22"/>
        </w:rPr>
        <w:t xml:space="preserve">[p.3] </w:t>
      </w:r>
      <w:r w:rsidRPr="001C3DC6">
        <w:rPr>
          <w:rFonts w:ascii="Times New Roman" w:hAnsi="Times New Roman" w:cs="Times New Roman"/>
          <w:szCs w:val="22"/>
        </w:rPr>
        <w:t xml:space="preserve">a new era of spectacle had begun in the late 1810s, when ‘red fire’ and ‘blue fire’ first began to appear, lending their eerie colour </w:t>
      </w:r>
      <w:proofErr w:type="gramStart"/>
      <w:r w:rsidRPr="001C3DC6">
        <w:rPr>
          <w:rFonts w:ascii="Times New Roman" w:hAnsi="Times New Roman" w:cs="Times New Roman"/>
          <w:szCs w:val="22"/>
        </w:rPr>
        <w:t>in particular to</w:t>
      </w:r>
      <w:proofErr w:type="gramEnd"/>
      <w:r w:rsidRPr="001C3DC6">
        <w:rPr>
          <w:rFonts w:ascii="Times New Roman" w:hAnsi="Times New Roman" w:cs="Times New Roman"/>
          <w:szCs w:val="22"/>
        </w:rPr>
        <w:t xml:space="preserve"> plays of the supernatural, much in vogue in this period. Where lycopodium produced a dramatic flash, the new coloured fires produced a smouldering, lingering glow. Red and blue fire were the products of modern chemistry, specifically of the combination of metal salts and a powerful oxidizing agent. An article in the </w:t>
      </w:r>
      <w:r w:rsidRPr="001C3DC6">
        <w:rPr>
          <w:rFonts w:ascii="Times New Roman" w:hAnsi="Times New Roman" w:cs="Times New Roman"/>
          <w:i/>
          <w:iCs/>
          <w:szCs w:val="22"/>
        </w:rPr>
        <w:t xml:space="preserve">London Magazine </w:t>
      </w:r>
      <w:r w:rsidRPr="001C3DC6">
        <w:rPr>
          <w:rFonts w:ascii="Times New Roman" w:hAnsi="Times New Roman" w:cs="Times New Roman"/>
          <w:szCs w:val="22"/>
        </w:rPr>
        <w:t xml:space="preserve">for August </w:t>
      </w:r>
      <w:r w:rsidRPr="001C3DC6">
        <w:rPr>
          <w:rFonts w:ascii="Times New Roman" w:hAnsi="Times New Roman" w:cs="Times New Roman"/>
          <w:color w:val="538135" w:themeColor="accent6" w:themeShade="BF"/>
          <w:szCs w:val="22"/>
        </w:rPr>
        <w:t xml:space="preserve">[p.4] </w:t>
      </w:r>
      <w:r w:rsidRPr="001C3DC6">
        <w:rPr>
          <w:rFonts w:ascii="Times New Roman" w:hAnsi="Times New Roman" w:cs="Times New Roman"/>
          <w:szCs w:val="22"/>
        </w:rPr>
        <w:t>1820 refers to ‘the beautiful red fire which is now so frequently used in the theatres’, listing its ingredients, besides sulphur, as nitrate of strontium, chlorate of potash, and sulphuret of antimony, or, as they would now be termed, strontium nitrate, potassium chlorate, and antimony trisulphide.</w:t>
      </w:r>
      <w:r w:rsidRPr="001C3DC6">
        <w:rPr>
          <w:rFonts w:ascii="Times New Roman" w:hAnsi="Times New Roman" w:cs="Times New Roman"/>
          <w:szCs w:val="22"/>
          <w:vertAlign w:val="superscript"/>
        </w:rPr>
        <w:t>8</w:t>
      </w:r>
      <w:r w:rsidRPr="001C3DC6">
        <w:rPr>
          <w:rFonts w:ascii="Times New Roman" w:hAnsi="Times New Roman" w:cs="Times New Roman"/>
          <w:szCs w:val="22"/>
        </w:rPr>
        <w:t xml:space="preserve"> (Strontium nitrate produced a red flame; the substitution of copper nitrate produced a blue flame.) Two of the ingredients listed here, potassium chlorate and strontium nitrate, were of relatively recent discovery: the first had been identified and developed as an explosive ingredient in 1786 by the French chemist, Claude Berthollet; strontium, a metal, had first been isolated in 1808 by Sir Humphry Davy, using ore mined at Strontian in Scotland. The powerful glow produced by the new chemical fire made it particularly useful for scenes of a supernatural nature. […] </w:t>
      </w:r>
      <w:r w:rsidRPr="001C3DC6">
        <w:rPr>
          <w:rFonts w:ascii="Times New Roman" w:hAnsi="Times New Roman" w:cs="Times New Roman"/>
          <w:color w:val="538135" w:themeColor="accent6" w:themeShade="BF"/>
          <w:szCs w:val="22"/>
        </w:rPr>
        <w:t xml:space="preserve">[p.5] </w:t>
      </w:r>
      <w:r w:rsidRPr="001C3DC6">
        <w:rPr>
          <w:rStyle w:val="A1"/>
          <w:rFonts w:ascii="Times New Roman" w:hAnsi="Times New Roman" w:cs="Times New Roman"/>
          <w:sz w:val="24"/>
          <w:szCs w:val="22"/>
        </w:rPr>
        <w:t xml:space="preserve">We see it, for instance, in James Planché’s </w:t>
      </w:r>
      <w:r w:rsidRPr="001C3DC6">
        <w:rPr>
          <w:rStyle w:val="A1"/>
          <w:rFonts w:ascii="Times New Roman" w:hAnsi="Times New Roman" w:cs="Times New Roman"/>
          <w:i/>
          <w:iCs/>
          <w:sz w:val="24"/>
          <w:szCs w:val="22"/>
        </w:rPr>
        <w:t xml:space="preserve">The Vampire; or, The Bride of the Isles </w:t>
      </w:r>
      <w:r w:rsidRPr="001C3DC6">
        <w:rPr>
          <w:rStyle w:val="A1"/>
          <w:rFonts w:ascii="Times New Roman" w:hAnsi="Times New Roman" w:cs="Times New Roman"/>
          <w:sz w:val="24"/>
          <w:szCs w:val="22"/>
        </w:rPr>
        <w:t xml:space="preserve">(1820), English adaptations of Carl Maria von Weber’s </w:t>
      </w:r>
      <w:r w:rsidRPr="001C3DC6">
        <w:rPr>
          <w:rStyle w:val="A1"/>
          <w:rFonts w:ascii="Times New Roman" w:hAnsi="Times New Roman" w:cs="Times New Roman"/>
          <w:i/>
          <w:iCs/>
          <w:sz w:val="24"/>
          <w:szCs w:val="22"/>
        </w:rPr>
        <w:t xml:space="preserve">Der Freischütz </w:t>
      </w:r>
      <w:r w:rsidRPr="001C3DC6">
        <w:rPr>
          <w:rStyle w:val="A1"/>
          <w:rFonts w:ascii="Times New Roman" w:hAnsi="Times New Roman" w:cs="Times New Roman"/>
          <w:sz w:val="24"/>
          <w:szCs w:val="22"/>
        </w:rPr>
        <w:t xml:space="preserve">(1821), and versions of </w:t>
      </w:r>
      <w:r w:rsidRPr="001C3DC6">
        <w:rPr>
          <w:rStyle w:val="A1"/>
          <w:rFonts w:ascii="Times New Roman" w:hAnsi="Times New Roman" w:cs="Times New Roman"/>
          <w:i/>
          <w:iCs/>
          <w:sz w:val="24"/>
          <w:szCs w:val="22"/>
        </w:rPr>
        <w:t xml:space="preserve">Frankenstein </w:t>
      </w:r>
      <w:r w:rsidRPr="001C3DC6">
        <w:rPr>
          <w:rStyle w:val="A1"/>
          <w:rFonts w:ascii="Times New Roman" w:hAnsi="Times New Roman" w:cs="Times New Roman"/>
          <w:sz w:val="24"/>
          <w:szCs w:val="22"/>
        </w:rPr>
        <w:t>by Richard Brinsley Peake (1823) and Henry M. Milner (1826).</w:t>
      </w:r>
      <w:r w:rsidRPr="001C3DC6">
        <w:rPr>
          <w:rStyle w:val="A2"/>
          <w:rFonts w:ascii="Times New Roman" w:hAnsi="Times New Roman" w:cs="Times New Roman"/>
          <w:sz w:val="24"/>
          <w:szCs w:val="22"/>
          <w:vertAlign w:val="superscript"/>
        </w:rPr>
        <w:t>10</w:t>
      </w:r>
      <w:r w:rsidRPr="001C3DC6">
        <w:rPr>
          <w:rStyle w:val="A2"/>
          <w:rFonts w:ascii="Times New Roman" w:hAnsi="Times New Roman" w:cs="Times New Roman"/>
          <w:sz w:val="24"/>
          <w:szCs w:val="22"/>
        </w:rPr>
        <w:t xml:space="preserve"> </w:t>
      </w:r>
      <w:r w:rsidRPr="001C3DC6">
        <w:rPr>
          <w:rStyle w:val="A1"/>
          <w:rFonts w:ascii="Times New Roman" w:hAnsi="Times New Roman" w:cs="Times New Roman"/>
          <w:sz w:val="24"/>
          <w:szCs w:val="22"/>
        </w:rPr>
        <w:t xml:space="preserve">In the first, it provided the unearthly light that accompanied the vampire Ruthven’s disappearance. In the second, it illuminated the magical bullet-casting scene in </w:t>
      </w:r>
      <w:r w:rsidRPr="001C3DC6">
        <w:rPr>
          <w:rStyle w:val="A1"/>
          <w:rFonts w:ascii="Times New Roman" w:hAnsi="Times New Roman" w:cs="Times New Roman"/>
          <w:i/>
          <w:iCs/>
          <w:sz w:val="24"/>
          <w:szCs w:val="22"/>
        </w:rPr>
        <w:t>The Wolf’s Glen</w:t>
      </w:r>
      <w:r w:rsidRPr="001C3DC6">
        <w:rPr>
          <w:rStyle w:val="A1"/>
          <w:rFonts w:ascii="Times New Roman" w:hAnsi="Times New Roman" w:cs="Times New Roman"/>
          <w:sz w:val="24"/>
          <w:szCs w:val="22"/>
        </w:rPr>
        <w:t xml:space="preserve">. In </w:t>
      </w:r>
      <w:r w:rsidRPr="001C3DC6">
        <w:rPr>
          <w:rStyle w:val="A1"/>
          <w:rFonts w:ascii="Times New Roman" w:hAnsi="Times New Roman" w:cs="Times New Roman"/>
          <w:i/>
          <w:iCs/>
          <w:sz w:val="24"/>
          <w:szCs w:val="22"/>
        </w:rPr>
        <w:t>Peake’s Presumption; or, The Fate of Frankenstein</w:t>
      </w:r>
      <w:r w:rsidRPr="001C3DC6">
        <w:rPr>
          <w:rStyle w:val="A1"/>
          <w:rFonts w:ascii="Times New Roman" w:hAnsi="Times New Roman" w:cs="Times New Roman"/>
          <w:sz w:val="24"/>
          <w:szCs w:val="22"/>
        </w:rPr>
        <w:t xml:space="preserve">, red fire is used to add an infernal tint to the laboratory from which the monster emerges in Act i; whereas in Milner’s </w:t>
      </w:r>
      <w:r w:rsidRPr="001C3DC6">
        <w:rPr>
          <w:rStyle w:val="A1"/>
          <w:rFonts w:ascii="Times New Roman" w:hAnsi="Times New Roman" w:cs="Times New Roman"/>
          <w:i/>
          <w:iCs/>
          <w:sz w:val="24"/>
          <w:szCs w:val="22"/>
        </w:rPr>
        <w:t>Frankenstein; or, The Man and the Monster</w:t>
      </w:r>
      <w:r w:rsidRPr="001C3DC6">
        <w:rPr>
          <w:rStyle w:val="A1"/>
          <w:rFonts w:ascii="Times New Roman" w:hAnsi="Times New Roman" w:cs="Times New Roman"/>
          <w:sz w:val="24"/>
          <w:szCs w:val="22"/>
        </w:rPr>
        <w:t>, it was used alongside fireworks in the spectacular last scene in Act ii, in which the monster throws itself into Mount Etna as the volcano ‘throws out torrents of fire, sparks, smoke, etc’.</w:t>
      </w:r>
      <w:r w:rsidRPr="001C3DC6">
        <w:rPr>
          <w:rStyle w:val="A2"/>
          <w:rFonts w:ascii="Times New Roman" w:hAnsi="Times New Roman" w:cs="Times New Roman"/>
          <w:sz w:val="24"/>
          <w:szCs w:val="22"/>
          <w:vertAlign w:val="superscript"/>
        </w:rPr>
        <w:t>11</w:t>
      </w:r>
      <w:r w:rsidRPr="001C3DC6">
        <w:rPr>
          <w:rStyle w:val="A2"/>
          <w:rFonts w:ascii="Times New Roman" w:hAnsi="Times New Roman" w:cs="Times New Roman"/>
          <w:sz w:val="24"/>
          <w:szCs w:val="22"/>
        </w:rPr>
        <w:t xml:space="preserve"> </w:t>
      </w:r>
      <w:r w:rsidRPr="001C3DC6">
        <w:rPr>
          <w:rFonts w:ascii="Times New Roman" w:hAnsi="Times New Roman" w:cs="Times New Roman"/>
          <w:szCs w:val="22"/>
        </w:rPr>
        <w:t xml:space="preserve">To get a better sense of how red and blue fire were put to work on stage, let us look briefly at another supernatural drama of this period, Edward Fitzball’s hit, </w:t>
      </w:r>
      <w:r w:rsidRPr="001C3DC6">
        <w:rPr>
          <w:rFonts w:ascii="Times New Roman" w:hAnsi="Times New Roman" w:cs="Times New Roman"/>
          <w:i/>
          <w:iCs/>
          <w:szCs w:val="22"/>
        </w:rPr>
        <w:t xml:space="preserve">The Flying Dutchman; or, The Phantom Ship </w:t>
      </w:r>
      <w:r w:rsidRPr="001C3DC6">
        <w:rPr>
          <w:rFonts w:ascii="Times New Roman" w:hAnsi="Times New Roman" w:cs="Times New Roman"/>
          <w:szCs w:val="22"/>
        </w:rPr>
        <w:t xml:space="preserve">(Adelphi, 1826). Fitzball’s play had been assembled from a variety of earlier sources; and as he noted in his memoirs, it was ‘not by any means behind even </w:t>
      </w:r>
      <w:r w:rsidRPr="001C3DC6">
        <w:rPr>
          <w:rFonts w:ascii="Times New Roman" w:hAnsi="Times New Roman" w:cs="Times New Roman"/>
          <w:i/>
          <w:iCs/>
          <w:szCs w:val="22"/>
        </w:rPr>
        <w:t>Frankenstein</w:t>
      </w:r>
      <w:r w:rsidRPr="001C3DC6">
        <w:rPr>
          <w:rFonts w:ascii="Times New Roman" w:hAnsi="Times New Roman" w:cs="Times New Roman"/>
          <w:szCs w:val="22"/>
        </w:rPr>
        <w:t xml:space="preserve">, or </w:t>
      </w:r>
      <w:r w:rsidRPr="001C3DC6">
        <w:rPr>
          <w:rFonts w:ascii="Times New Roman" w:hAnsi="Times New Roman" w:cs="Times New Roman"/>
          <w:i/>
          <w:iCs/>
          <w:szCs w:val="22"/>
        </w:rPr>
        <w:t xml:space="preserve">Der Freischütz </w:t>
      </w:r>
      <w:r w:rsidRPr="001C3DC6">
        <w:rPr>
          <w:rFonts w:ascii="Times New Roman" w:hAnsi="Times New Roman" w:cs="Times New Roman"/>
          <w:szCs w:val="22"/>
        </w:rPr>
        <w:t>itself in horrors and blue fire’.</w:t>
      </w:r>
      <w:r w:rsidRPr="001C3DC6">
        <w:rPr>
          <w:rStyle w:val="A2"/>
          <w:rFonts w:ascii="Times New Roman" w:hAnsi="Times New Roman" w:cs="Times New Roman"/>
          <w:sz w:val="24"/>
          <w:szCs w:val="22"/>
          <w:vertAlign w:val="superscript"/>
        </w:rPr>
        <w:t>12</w:t>
      </w:r>
      <w:r w:rsidRPr="001C3DC6">
        <w:rPr>
          <w:rStyle w:val="A2"/>
          <w:rFonts w:ascii="Times New Roman" w:hAnsi="Times New Roman" w:cs="Times New Roman"/>
          <w:sz w:val="24"/>
          <w:szCs w:val="22"/>
        </w:rPr>
        <w:t xml:space="preserve"> </w:t>
      </w:r>
      <w:r w:rsidRPr="001C3DC6">
        <w:rPr>
          <w:rFonts w:ascii="Times New Roman" w:hAnsi="Times New Roman" w:cs="Times New Roman"/>
          <w:szCs w:val="22"/>
        </w:rPr>
        <w:t>In the play, blue fire marks the unearthliness of the accursed Vanderdecken, who visits the earth every hundred years to claim a victim. In Act i. 1, for example, set in the sea cave of the sorceress Rockalda,</w:t>
      </w:r>
      <w:r w:rsidRPr="001C3DC6">
        <w:rPr>
          <w:rStyle w:val="A2"/>
          <w:rFonts w:ascii="Times New Roman" w:hAnsi="Times New Roman" w:cs="Times New Roman"/>
          <w:sz w:val="24"/>
          <w:szCs w:val="22"/>
          <w:vertAlign w:val="superscript"/>
        </w:rPr>
        <w:t>13</w:t>
      </w:r>
      <w:r w:rsidRPr="001C3DC6">
        <w:rPr>
          <w:rStyle w:val="A2"/>
          <w:rFonts w:ascii="Times New Roman" w:hAnsi="Times New Roman" w:cs="Times New Roman"/>
          <w:sz w:val="24"/>
          <w:szCs w:val="22"/>
        </w:rPr>
        <w:t xml:space="preserve"> </w:t>
      </w:r>
      <w:r w:rsidRPr="001C3DC6">
        <w:rPr>
          <w:rFonts w:ascii="Times New Roman" w:hAnsi="Times New Roman" w:cs="Times New Roman"/>
          <w:szCs w:val="22"/>
        </w:rPr>
        <w:t>the ghostly captain appears from the waves to these stage directions:</w:t>
      </w:r>
    </w:p>
    <w:p w14:paraId="2E62AF3B" w14:textId="7BB48C99" w:rsidR="00825D10" w:rsidRPr="001C3DC6" w:rsidRDefault="00825D10" w:rsidP="00DA6535">
      <w:pPr>
        <w:ind w:left="426"/>
        <w:jc w:val="both"/>
        <w:rPr>
          <w:rFonts w:ascii="Times New Roman" w:hAnsi="Times New Roman" w:cs="Times New Roman"/>
          <w:i/>
          <w:iCs/>
          <w:color w:val="000000"/>
          <w:sz w:val="24"/>
        </w:rPr>
      </w:pPr>
      <w:r w:rsidRPr="001C3DC6">
        <w:rPr>
          <w:rFonts w:ascii="Times New Roman" w:hAnsi="Times New Roman" w:cs="Times New Roman"/>
          <w:i/>
          <w:iCs/>
          <w:color w:val="000000"/>
          <w:sz w:val="24"/>
        </w:rPr>
        <w:br/>
        <w:t xml:space="preserve">thunder — soft music — the dark clouds disperse, the gong vibrates, and Vanderdecken, amid blue </w:t>
      </w:r>
      <w:r w:rsidRPr="001C3DC6">
        <w:rPr>
          <w:rFonts w:ascii="Times New Roman" w:hAnsi="Times New Roman" w:cs="Times New Roman"/>
          <w:i/>
          <w:iCs/>
          <w:color w:val="000000"/>
          <w:sz w:val="24"/>
        </w:rPr>
        <w:lastRenderedPageBreak/>
        <w:t>fire, appears from the waves, his features pale and haggard, and holding in his hand a black flag, emblazoned with a white Death’s head and cross bones.</w:t>
      </w:r>
    </w:p>
    <w:p w14:paraId="1AE940FB" w14:textId="77777777" w:rsidR="00825D10" w:rsidRPr="001C3DC6" w:rsidRDefault="00825D10" w:rsidP="00825D10">
      <w:pPr>
        <w:rPr>
          <w:rFonts w:ascii="Times New Roman" w:hAnsi="Times New Roman" w:cs="Times New Roman"/>
          <w:color w:val="538135" w:themeColor="accent6" w:themeShade="BF"/>
          <w:sz w:val="24"/>
        </w:rPr>
      </w:pPr>
      <w:r w:rsidRPr="001C3DC6">
        <w:rPr>
          <w:rFonts w:ascii="Times New Roman" w:hAnsi="Times New Roman" w:cs="Times New Roman"/>
          <w:color w:val="538135" w:themeColor="accent6" w:themeShade="BF"/>
          <w:sz w:val="24"/>
        </w:rPr>
        <w:t>[p.6]</w:t>
      </w:r>
    </w:p>
    <w:p w14:paraId="0A3BDECC" w14:textId="77777777" w:rsidR="00825D10" w:rsidRPr="001C3DC6" w:rsidRDefault="00825D10" w:rsidP="00825D10">
      <w:pPr>
        <w:rPr>
          <w:rFonts w:ascii="Times New Roman" w:hAnsi="Times New Roman" w:cs="Times New Roman"/>
          <w:sz w:val="24"/>
        </w:rPr>
      </w:pPr>
      <w:r w:rsidRPr="001C3DC6">
        <w:rPr>
          <w:rFonts w:ascii="Times New Roman" w:hAnsi="Times New Roman" w:cs="Times New Roman"/>
          <w:sz w:val="24"/>
        </w:rPr>
        <w:t>Rockalda grants him leave to visit the earth again, one hundred years having passed since his last visit, to ‘seek a bride to share his stormy fate’. At the end of their interview he exits as he arrived (</w:t>
      </w:r>
      <w:r w:rsidRPr="001C3DC6">
        <w:rPr>
          <w:rFonts w:ascii="Times New Roman" w:hAnsi="Times New Roman" w:cs="Times New Roman"/>
          <w:i/>
          <w:iCs/>
          <w:sz w:val="24"/>
        </w:rPr>
        <w:t>Fig. 2</w:t>
      </w:r>
      <w:r w:rsidRPr="001C3DC6">
        <w:rPr>
          <w:rFonts w:ascii="Times New Roman" w:hAnsi="Times New Roman" w:cs="Times New Roman"/>
          <w:sz w:val="24"/>
        </w:rPr>
        <w:t>):</w:t>
      </w:r>
    </w:p>
    <w:p w14:paraId="35DEF644" w14:textId="77777777" w:rsidR="00825D10" w:rsidRPr="001C3DC6" w:rsidRDefault="00825D10" w:rsidP="00825D10">
      <w:pPr>
        <w:ind w:left="720"/>
        <w:rPr>
          <w:rFonts w:ascii="Times New Roman" w:hAnsi="Times New Roman" w:cs="Times New Roman"/>
          <w:sz w:val="24"/>
        </w:rPr>
      </w:pPr>
      <w:r w:rsidRPr="001C3DC6">
        <w:rPr>
          <w:rFonts w:ascii="Times New Roman" w:hAnsi="Times New Roman" w:cs="Times New Roman"/>
          <w:i/>
          <w:iCs/>
          <w:color w:val="000000"/>
          <w:sz w:val="24"/>
        </w:rPr>
        <w:t>thunder — Vanderdecken takes up his death-</w:t>
      </w:r>
      <w:proofErr w:type="gramStart"/>
      <w:r w:rsidRPr="001C3DC6">
        <w:rPr>
          <w:rFonts w:ascii="Times New Roman" w:hAnsi="Times New Roman" w:cs="Times New Roman"/>
          <w:i/>
          <w:iCs/>
          <w:color w:val="000000"/>
          <w:sz w:val="24"/>
        </w:rPr>
        <w:t>flag, and</w:t>
      </w:r>
      <w:proofErr w:type="gramEnd"/>
      <w:r w:rsidRPr="001C3DC6">
        <w:rPr>
          <w:rFonts w:ascii="Times New Roman" w:hAnsi="Times New Roman" w:cs="Times New Roman"/>
          <w:i/>
          <w:iCs/>
          <w:color w:val="000000"/>
          <w:sz w:val="24"/>
        </w:rPr>
        <w:t xml:space="preserve"> retraces his steps amid the waves — he ascends in blue fire as the scene closes</w:t>
      </w:r>
      <w:r w:rsidRPr="001C3DC6">
        <w:rPr>
          <w:rFonts w:ascii="Times New Roman" w:hAnsi="Times New Roman" w:cs="Times New Roman"/>
          <w:color w:val="000000"/>
          <w:sz w:val="24"/>
        </w:rPr>
        <w:t>.</w:t>
      </w:r>
    </w:p>
    <w:p w14:paraId="459A543D" w14:textId="77777777" w:rsidR="00825D10" w:rsidRPr="001C3DC6" w:rsidRDefault="00825D10" w:rsidP="00825D10">
      <w:pPr>
        <w:jc w:val="both"/>
        <w:rPr>
          <w:rFonts w:ascii="Times New Roman" w:hAnsi="Times New Roman" w:cs="Times New Roman"/>
          <w:sz w:val="24"/>
        </w:rPr>
      </w:pPr>
      <w:r w:rsidRPr="001C3DC6">
        <w:rPr>
          <w:rFonts w:ascii="Times New Roman" w:hAnsi="Times New Roman" w:cs="Times New Roman"/>
          <w:color w:val="538135" w:themeColor="accent6" w:themeShade="BF"/>
          <w:sz w:val="24"/>
        </w:rPr>
        <w:t xml:space="preserve">[p.7] </w:t>
      </w:r>
      <w:r w:rsidRPr="001C3DC6">
        <w:rPr>
          <w:rFonts w:ascii="Times New Roman" w:hAnsi="Times New Roman" w:cs="Times New Roman"/>
          <w:sz w:val="24"/>
        </w:rPr>
        <w:t>In the final scene, with his scheme to carry off the heroine Lestelle as his chosen bride foiled, the ghostly captain vanishes for good, this time ‘amidst thunder and flames of red fire’ (iii. 4).The play’s marriage of special effects and elements of Gothic and popular nautical drama was calculated to please, and Fitzball (nicknamed ‘Blue-Fire Fitzball’, according to Frank Rahill) went on to be a veritable basilisk in his production of theatrical fire.</w:t>
      </w:r>
      <w:r w:rsidRPr="001C3DC6">
        <w:rPr>
          <w:rStyle w:val="A2"/>
          <w:rFonts w:ascii="Times New Roman" w:hAnsi="Times New Roman" w:cs="Times New Roman"/>
          <w:sz w:val="24"/>
          <w:szCs w:val="22"/>
          <w:vertAlign w:val="superscript"/>
        </w:rPr>
        <w:t xml:space="preserve">14 </w:t>
      </w:r>
      <w:r w:rsidRPr="001C3DC6">
        <w:rPr>
          <w:rFonts w:ascii="Times New Roman" w:hAnsi="Times New Roman" w:cs="Times New Roman"/>
          <w:sz w:val="24"/>
        </w:rPr>
        <w:t xml:space="preserve">Chemical fires also burn brightly, for instance, in his </w:t>
      </w:r>
      <w:r w:rsidRPr="001C3DC6">
        <w:rPr>
          <w:rFonts w:ascii="Times New Roman" w:hAnsi="Times New Roman" w:cs="Times New Roman"/>
          <w:i/>
          <w:iCs/>
          <w:sz w:val="24"/>
        </w:rPr>
        <w:t xml:space="preserve">The Devil’s Elixir </w:t>
      </w:r>
      <w:r w:rsidRPr="001C3DC6">
        <w:rPr>
          <w:rFonts w:ascii="Times New Roman" w:hAnsi="Times New Roman" w:cs="Times New Roman"/>
          <w:sz w:val="24"/>
        </w:rPr>
        <w:t xml:space="preserve">(1829) and </w:t>
      </w:r>
      <w:r w:rsidRPr="001C3DC6">
        <w:rPr>
          <w:rFonts w:ascii="Times New Roman" w:hAnsi="Times New Roman" w:cs="Times New Roman"/>
          <w:i/>
          <w:iCs/>
          <w:sz w:val="24"/>
        </w:rPr>
        <w:t xml:space="preserve">Carlmilhan; or, The Drowned Crew </w:t>
      </w:r>
      <w:r w:rsidRPr="001C3DC6">
        <w:rPr>
          <w:rFonts w:ascii="Times New Roman" w:hAnsi="Times New Roman" w:cs="Times New Roman"/>
          <w:sz w:val="24"/>
        </w:rPr>
        <w:t>(1835). These residual Gothic melodramas allowed full play to the stage pyrotechnician to an extent that suggests that the invention of red fire fuelled the creation of a certain kind of drama, rather than the drama driving the creation of special effects. There was an inevitable reaction against the blood-and-thunder school, and Fitzball and his contemporary James Planché were dismissed by some critics as mere ‘blue-fire mongers’.</w:t>
      </w:r>
      <w:r w:rsidRPr="001C3DC6">
        <w:rPr>
          <w:rStyle w:val="A2"/>
          <w:rFonts w:ascii="Times New Roman" w:hAnsi="Times New Roman" w:cs="Times New Roman"/>
          <w:sz w:val="24"/>
          <w:szCs w:val="22"/>
          <w:vertAlign w:val="superscript"/>
        </w:rPr>
        <w:t>15</w:t>
      </w:r>
      <w:r w:rsidRPr="001C3DC6">
        <w:rPr>
          <w:rStyle w:val="A2"/>
          <w:rFonts w:ascii="Times New Roman" w:hAnsi="Times New Roman" w:cs="Times New Roman"/>
          <w:sz w:val="24"/>
          <w:szCs w:val="22"/>
        </w:rPr>
        <w:t xml:space="preserve"> </w:t>
      </w:r>
      <w:r w:rsidRPr="001C3DC6">
        <w:rPr>
          <w:rFonts w:ascii="Times New Roman" w:hAnsi="Times New Roman" w:cs="Times New Roman"/>
          <w:sz w:val="24"/>
        </w:rPr>
        <w:t>By the following decade, red and blue fire were increasingly seen by critics, if not by audiences, to be passé…</w:t>
      </w:r>
    </w:p>
    <w:p w14:paraId="4C9E7137" w14:textId="77777777" w:rsidR="00825D10" w:rsidRPr="001C3DC6" w:rsidRDefault="00825D10" w:rsidP="00825D10">
      <w:pPr>
        <w:rPr>
          <w:sz w:val="24"/>
        </w:rPr>
      </w:pPr>
    </w:p>
    <w:p w14:paraId="756A28A3" w14:textId="77777777" w:rsidR="00825D10" w:rsidRPr="001C3DC6" w:rsidRDefault="00825D10" w:rsidP="00825D10">
      <w:pPr>
        <w:spacing w:after="0" w:line="240" w:lineRule="auto"/>
        <w:rPr>
          <w:rFonts w:ascii="Baskerville Old Face" w:hAnsi="Baskerville Old Face" w:cs="Baskerville 10 Pro"/>
          <w:color w:val="000000"/>
          <w:szCs w:val="20"/>
        </w:rPr>
      </w:pPr>
      <w:r w:rsidRPr="001C3DC6">
        <w:rPr>
          <w:rStyle w:val="A3"/>
          <w:rFonts w:ascii="Baskerville Old Face" w:hAnsi="Baskerville Old Face"/>
          <w:b/>
          <w:sz w:val="18"/>
          <w:szCs w:val="20"/>
        </w:rPr>
        <w:t>4</w:t>
      </w:r>
      <w:r w:rsidRPr="001C3DC6">
        <w:rPr>
          <w:rStyle w:val="A3"/>
          <w:rFonts w:ascii="Baskerville Old Face" w:hAnsi="Baskerville Old Face"/>
          <w:sz w:val="22"/>
          <w:szCs w:val="20"/>
        </w:rPr>
        <w:t xml:space="preserve"> </w:t>
      </w:r>
      <w:r w:rsidRPr="001C3DC6">
        <w:rPr>
          <w:rFonts w:ascii="Baskerville Old Face" w:hAnsi="Baskerville Old Face" w:cs="Baskerville 10 Pro"/>
          <w:color w:val="000000"/>
          <w:szCs w:val="20"/>
        </w:rPr>
        <w:t xml:space="preserve">John A. Rice, ‘Opera Pyrotechnics in the Eighteenth Century’, in </w:t>
      </w:r>
      <w:r w:rsidRPr="001C3DC6">
        <w:rPr>
          <w:rFonts w:ascii="Baskerville Old Face" w:hAnsi="Baskerville Old Face" w:cs="Baskerville 10 Pro"/>
          <w:i/>
          <w:iCs/>
          <w:color w:val="000000"/>
          <w:szCs w:val="20"/>
        </w:rPr>
        <w:t>Theatrical Heritage: Challenges and Opportunities</w:t>
      </w:r>
      <w:r w:rsidRPr="001C3DC6">
        <w:rPr>
          <w:rFonts w:ascii="Baskerville Old Face" w:hAnsi="Baskerville Old Face" w:cs="Baskerville 10 Pro"/>
          <w:color w:val="000000"/>
          <w:szCs w:val="20"/>
        </w:rPr>
        <w:t xml:space="preserve">, ed. by Bruno Forment and Christel Stalpaert (Leuven: Leuven University Press, 2015), pp. 23–40. A pre-publication version of this essay is available on Rice’s website, ‘John A. Rice: History of Music’ &lt;https:// sites.google.com/site/johnaricecv/operatic-pyrotechnics&gt; [accessed 17 August 2017]. The later editions of Ruggieri’s </w:t>
      </w:r>
      <w:r w:rsidRPr="001C3DC6">
        <w:rPr>
          <w:rFonts w:ascii="Baskerville Old Face" w:hAnsi="Baskerville Old Face" w:cs="Baskerville 10 Pro"/>
          <w:i/>
          <w:iCs/>
          <w:color w:val="000000"/>
          <w:szCs w:val="20"/>
        </w:rPr>
        <w:t xml:space="preserve">Elémens de pyrotechnie </w:t>
      </w:r>
      <w:r w:rsidRPr="001C3DC6">
        <w:rPr>
          <w:rFonts w:ascii="Baskerville Old Face" w:hAnsi="Baskerville Old Face" w:cs="Baskerville 10 Pro"/>
          <w:color w:val="000000"/>
          <w:szCs w:val="20"/>
        </w:rPr>
        <w:t>are available online, e.g., through the Gallica website of the Bibliothèque nationale de France &lt;http:// gallica.bnf.fr/&gt; [accessed 17 August 2017].</w:t>
      </w:r>
    </w:p>
    <w:p w14:paraId="04A5F75F" w14:textId="77777777" w:rsidR="00825D10" w:rsidRPr="001C3DC6" w:rsidRDefault="00825D10" w:rsidP="00825D10">
      <w:pPr>
        <w:spacing w:after="0" w:line="240" w:lineRule="auto"/>
        <w:rPr>
          <w:rFonts w:ascii="Baskerville Old Face" w:hAnsi="Baskerville Old Face"/>
          <w:szCs w:val="20"/>
        </w:rPr>
      </w:pPr>
      <w:r w:rsidRPr="001C3DC6">
        <w:rPr>
          <w:rStyle w:val="A3"/>
          <w:rFonts w:ascii="Baskerville Old Face" w:hAnsi="Baskerville Old Face"/>
          <w:b/>
          <w:sz w:val="18"/>
          <w:szCs w:val="20"/>
        </w:rPr>
        <w:t>8</w:t>
      </w:r>
      <w:r w:rsidRPr="001C3DC6">
        <w:rPr>
          <w:rStyle w:val="A3"/>
          <w:rFonts w:ascii="Baskerville Old Face" w:hAnsi="Baskerville Old Face"/>
          <w:sz w:val="22"/>
          <w:szCs w:val="20"/>
        </w:rPr>
        <w:t xml:space="preserve"> </w:t>
      </w:r>
      <w:r w:rsidRPr="001C3DC6">
        <w:rPr>
          <w:rFonts w:ascii="Baskerville Old Face" w:hAnsi="Baskerville Old Face" w:cs="Baskerville 10 Pro"/>
          <w:color w:val="000000"/>
          <w:szCs w:val="20"/>
        </w:rPr>
        <w:t xml:space="preserve">‘Literary and Scientific Intelligence’, </w:t>
      </w:r>
      <w:r w:rsidRPr="001C3DC6">
        <w:rPr>
          <w:rFonts w:ascii="Baskerville Old Face" w:hAnsi="Baskerville Old Face" w:cs="Baskerville 10 Pro"/>
          <w:i/>
          <w:iCs/>
          <w:color w:val="000000"/>
          <w:szCs w:val="20"/>
        </w:rPr>
        <w:t>London Magazine</w:t>
      </w:r>
      <w:r w:rsidRPr="001C3DC6">
        <w:rPr>
          <w:rFonts w:ascii="Baskerville Old Face" w:hAnsi="Baskerville Old Face" w:cs="Baskerville 10 Pro"/>
          <w:color w:val="000000"/>
          <w:szCs w:val="20"/>
        </w:rPr>
        <w:t>, August 1820, pp. 212–16 (p. 213). Magnesium seems to have been used in at least one American theatre to create blue fire. Cited in Douglas W. Hoehn, ‘The Life and Plays of Richard Brinsley Peake’ (unpublished master’s thesis, Ohio State University, 1979), p. 60.</w:t>
      </w:r>
    </w:p>
    <w:p w14:paraId="6E0F9841" w14:textId="77777777" w:rsidR="00825D10" w:rsidRPr="001C3DC6" w:rsidRDefault="00825D10" w:rsidP="00825D10">
      <w:pPr>
        <w:pStyle w:val="Default"/>
        <w:rPr>
          <w:rFonts w:ascii="Baskerville Old Face" w:hAnsi="Baskerville Old Face"/>
          <w:sz w:val="22"/>
          <w:szCs w:val="20"/>
        </w:rPr>
      </w:pPr>
      <w:r w:rsidRPr="001C3DC6">
        <w:rPr>
          <w:rStyle w:val="A3"/>
          <w:rFonts w:ascii="Baskerville Old Face" w:hAnsi="Baskerville Old Face"/>
          <w:b/>
          <w:sz w:val="18"/>
          <w:szCs w:val="20"/>
        </w:rPr>
        <w:t>10</w:t>
      </w:r>
      <w:r w:rsidRPr="001C3DC6">
        <w:rPr>
          <w:rStyle w:val="A3"/>
          <w:rFonts w:ascii="Baskerville Old Face" w:hAnsi="Baskerville Old Face"/>
          <w:sz w:val="18"/>
          <w:szCs w:val="20"/>
        </w:rPr>
        <w:t xml:space="preserve"> </w:t>
      </w:r>
      <w:r w:rsidRPr="001C3DC6">
        <w:rPr>
          <w:rFonts w:ascii="Baskerville Old Face" w:hAnsi="Baskerville Old Face"/>
          <w:sz w:val="22"/>
          <w:szCs w:val="20"/>
        </w:rPr>
        <w:t xml:space="preserve">On these Romantic plays see, for instance, Maurice Willson Disher, </w:t>
      </w:r>
      <w:r w:rsidRPr="001C3DC6">
        <w:rPr>
          <w:rFonts w:ascii="Baskerville Old Face" w:hAnsi="Baskerville Old Face"/>
          <w:i/>
          <w:iCs/>
          <w:sz w:val="22"/>
          <w:szCs w:val="20"/>
        </w:rPr>
        <w:t xml:space="preserve">Blood and Thunder: Mid-Victorian Melodrama and Its Origins </w:t>
      </w:r>
      <w:r w:rsidRPr="001C3DC6">
        <w:rPr>
          <w:rFonts w:ascii="Baskerville Old Face" w:hAnsi="Baskerville Old Face"/>
          <w:sz w:val="22"/>
          <w:szCs w:val="20"/>
        </w:rPr>
        <w:t xml:space="preserve">(London: Muller, 1949), pp. 95–100; Roxana Stuart, </w:t>
      </w:r>
      <w:r w:rsidRPr="001C3DC6">
        <w:rPr>
          <w:rFonts w:ascii="Baskerville Old Face" w:hAnsi="Baskerville Old Face"/>
          <w:i/>
          <w:iCs/>
          <w:sz w:val="22"/>
          <w:szCs w:val="20"/>
        </w:rPr>
        <w:t xml:space="preserve">Stage Blood: Vampires of the 19th-Century Stage </w:t>
      </w:r>
      <w:r w:rsidRPr="001C3DC6">
        <w:rPr>
          <w:rFonts w:ascii="Baskerville Old Face" w:hAnsi="Baskerville Old Face"/>
          <w:sz w:val="22"/>
          <w:szCs w:val="20"/>
        </w:rPr>
        <w:t xml:space="preserve">(Bowling Green: Bowling Green State University Popular Press, 1994), pp. 76–83; and Frederick Burwick, </w:t>
      </w:r>
      <w:r w:rsidRPr="001C3DC6">
        <w:rPr>
          <w:rFonts w:ascii="Baskerville Old Face" w:hAnsi="Baskerville Old Face"/>
          <w:i/>
          <w:iCs/>
          <w:sz w:val="22"/>
          <w:szCs w:val="20"/>
        </w:rPr>
        <w:t xml:space="preserve">Romantic Drama: Acting and Reacting </w:t>
      </w:r>
      <w:r w:rsidRPr="001C3DC6">
        <w:rPr>
          <w:rFonts w:ascii="Baskerville Old Face" w:hAnsi="Baskerville Old Face"/>
          <w:sz w:val="22"/>
          <w:szCs w:val="20"/>
        </w:rPr>
        <w:t xml:space="preserve">(Cambridge: Cambridge University Press, 2009), pp. 60–68. </w:t>
      </w:r>
    </w:p>
    <w:p w14:paraId="6750DDE9" w14:textId="77777777" w:rsidR="00825D10" w:rsidRPr="001C3DC6" w:rsidRDefault="00825D10" w:rsidP="00825D10">
      <w:pPr>
        <w:pStyle w:val="Default"/>
        <w:rPr>
          <w:rFonts w:ascii="Baskerville Old Face" w:hAnsi="Baskerville Old Face"/>
          <w:sz w:val="22"/>
          <w:szCs w:val="20"/>
        </w:rPr>
      </w:pPr>
      <w:r w:rsidRPr="001C3DC6">
        <w:rPr>
          <w:rStyle w:val="A3"/>
          <w:rFonts w:ascii="Baskerville Old Face" w:hAnsi="Baskerville Old Face"/>
          <w:b/>
          <w:sz w:val="18"/>
          <w:szCs w:val="20"/>
        </w:rPr>
        <w:t>11</w:t>
      </w:r>
      <w:r w:rsidRPr="001C3DC6">
        <w:rPr>
          <w:rStyle w:val="A3"/>
          <w:rFonts w:ascii="Baskerville Old Face" w:hAnsi="Baskerville Old Face"/>
          <w:sz w:val="18"/>
          <w:szCs w:val="20"/>
        </w:rPr>
        <w:t xml:space="preserve"> </w:t>
      </w:r>
      <w:r w:rsidRPr="001C3DC6">
        <w:rPr>
          <w:rFonts w:ascii="Baskerville Old Face" w:hAnsi="Baskerville Old Face"/>
          <w:i/>
          <w:iCs/>
          <w:sz w:val="22"/>
          <w:szCs w:val="20"/>
        </w:rPr>
        <w:t xml:space="preserve">Frankenstein; or, The Man and the Monster, A Romantic Melo-Drama, in Two Acts </w:t>
      </w:r>
      <w:r w:rsidRPr="001C3DC6">
        <w:rPr>
          <w:rFonts w:ascii="Baskerville Old Face" w:hAnsi="Baskerville Old Face"/>
          <w:sz w:val="22"/>
          <w:szCs w:val="20"/>
        </w:rPr>
        <w:t xml:space="preserve">(Cobourg Theatre, July 1823), ii. 8. This is available online in the Pennsylvania Electronic Edition &lt;http://knarf.english.upenn.edu/Milner/milnertp.html&gt; [accessed 17 August 2017]. Milner had also written an earlier adaptation of Mary Shelley’s novel, </w:t>
      </w:r>
      <w:r w:rsidRPr="001C3DC6">
        <w:rPr>
          <w:rFonts w:ascii="Baskerville Old Face" w:hAnsi="Baskerville Old Face"/>
          <w:i/>
          <w:iCs/>
          <w:sz w:val="22"/>
          <w:szCs w:val="20"/>
        </w:rPr>
        <w:t xml:space="preserve">Frankenstein; or, The Demon of Switzerland </w:t>
      </w:r>
      <w:r w:rsidRPr="001C3DC6">
        <w:rPr>
          <w:rFonts w:ascii="Baskerville Old Face" w:hAnsi="Baskerville Old Face"/>
          <w:sz w:val="22"/>
          <w:szCs w:val="20"/>
        </w:rPr>
        <w:t>(Cobourg Theatre, 1823).</w:t>
      </w:r>
    </w:p>
    <w:p w14:paraId="245E2DDB" w14:textId="77777777" w:rsidR="00825D10" w:rsidRPr="001C3DC6" w:rsidRDefault="00825D10" w:rsidP="00825D10">
      <w:pPr>
        <w:pStyle w:val="Default"/>
        <w:rPr>
          <w:rFonts w:ascii="Baskerville Old Face" w:hAnsi="Baskerville Old Face"/>
          <w:sz w:val="22"/>
          <w:szCs w:val="20"/>
        </w:rPr>
      </w:pPr>
      <w:r w:rsidRPr="001C3DC6">
        <w:rPr>
          <w:rStyle w:val="A3"/>
          <w:rFonts w:ascii="Baskerville Old Face" w:hAnsi="Baskerville Old Face"/>
          <w:b/>
          <w:sz w:val="18"/>
          <w:szCs w:val="20"/>
        </w:rPr>
        <w:t>12</w:t>
      </w:r>
      <w:r w:rsidRPr="001C3DC6">
        <w:rPr>
          <w:rStyle w:val="A3"/>
          <w:rFonts w:ascii="Baskerville Old Face" w:hAnsi="Baskerville Old Face"/>
          <w:b/>
          <w:sz w:val="22"/>
          <w:szCs w:val="20"/>
        </w:rPr>
        <w:t xml:space="preserve"> </w:t>
      </w:r>
      <w:r w:rsidRPr="001C3DC6">
        <w:rPr>
          <w:rFonts w:ascii="Baskerville Old Face" w:hAnsi="Baskerville Old Face"/>
          <w:sz w:val="22"/>
          <w:szCs w:val="20"/>
        </w:rPr>
        <w:t xml:space="preserve">Edward Fitzball, </w:t>
      </w:r>
      <w:r w:rsidRPr="001C3DC6">
        <w:rPr>
          <w:rFonts w:ascii="Baskerville Old Face" w:hAnsi="Baskerville Old Face"/>
          <w:i/>
          <w:iCs/>
          <w:sz w:val="22"/>
          <w:szCs w:val="20"/>
        </w:rPr>
        <w:t>Thirty-Five Years of a Dramatic Author’s Life</w:t>
      </w:r>
      <w:r w:rsidRPr="001C3DC6">
        <w:rPr>
          <w:rFonts w:ascii="Baskerville Old Face" w:hAnsi="Baskerville Old Face"/>
          <w:sz w:val="22"/>
          <w:szCs w:val="20"/>
        </w:rPr>
        <w:t>, 2 vols (London: Newby, 1859), i, 168–69. Chemical fire was not Fitzball’s only special effect in the play: to create the effect of a phantasmagoric ship he used a magic lantern.</w:t>
      </w:r>
    </w:p>
    <w:p w14:paraId="4C11E7D9" w14:textId="77777777" w:rsidR="00825D10" w:rsidRPr="001C3DC6" w:rsidRDefault="00825D10" w:rsidP="00825D10">
      <w:pPr>
        <w:spacing w:after="0" w:line="240" w:lineRule="auto"/>
        <w:rPr>
          <w:rFonts w:ascii="Baskerville Old Face" w:hAnsi="Baskerville Old Face"/>
          <w:szCs w:val="20"/>
        </w:rPr>
      </w:pPr>
      <w:r w:rsidRPr="001C3DC6">
        <w:rPr>
          <w:rStyle w:val="A3"/>
          <w:rFonts w:ascii="Baskerville Old Face" w:hAnsi="Baskerville Old Face"/>
          <w:b/>
          <w:sz w:val="18"/>
          <w:szCs w:val="20"/>
        </w:rPr>
        <w:t xml:space="preserve">13 </w:t>
      </w:r>
      <w:r w:rsidRPr="001C3DC6">
        <w:rPr>
          <w:rFonts w:ascii="Baskerville Old Face" w:hAnsi="Baskerville Old Face" w:cs="Baskerville 10 Pro"/>
          <w:color w:val="000000"/>
          <w:szCs w:val="20"/>
        </w:rPr>
        <w:t xml:space="preserve">The sea cave of Rockalda bears a strong resemblance to Unda’s sea cave at Staffa in </w:t>
      </w:r>
      <w:r w:rsidRPr="001C3DC6">
        <w:rPr>
          <w:rFonts w:ascii="Baskerville Old Face" w:hAnsi="Baskerville Old Face" w:cs="Baskerville 10 Pro"/>
          <w:i/>
          <w:iCs/>
          <w:color w:val="000000"/>
          <w:szCs w:val="20"/>
        </w:rPr>
        <w:t>The Vampire</w:t>
      </w:r>
      <w:r w:rsidRPr="001C3DC6">
        <w:rPr>
          <w:rFonts w:ascii="Baskerville Old Face" w:hAnsi="Baskerville Old Face" w:cs="Baskerville 10 Pro"/>
          <w:color w:val="000000"/>
          <w:szCs w:val="20"/>
        </w:rPr>
        <w:t>.</w:t>
      </w:r>
    </w:p>
    <w:p w14:paraId="65F85FFF" w14:textId="77777777" w:rsidR="00825D10" w:rsidRPr="001C3DC6" w:rsidRDefault="00825D10" w:rsidP="00825D10">
      <w:pPr>
        <w:spacing w:after="0" w:line="240" w:lineRule="auto"/>
        <w:rPr>
          <w:rFonts w:ascii="Baskerville Old Face" w:hAnsi="Baskerville Old Face" w:cs="Baskerville 10 Pro"/>
          <w:color w:val="000000"/>
          <w:szCs w:val="20"/>
        </w:rPr>
      </w:pPr>
      <w:r w:rsidRPr="001C3DC6">
        <w:rPr>
          <w:rStyle w:val="A3"/>
          <w:rFonts w:ascii="Baskerville Old Face" w:hAnsi="Baskerville Old Face"/>
          <w:b/>
          <w:sz w:val="18"/>
          <w:szCs w:val="20"/>
        </w:rPr>
        <w:t xml:space="preserve">14 </w:t>
      </w:r>
      <w:r w:rsidRPr="001C3DC6">
        <w:rPr>
          <w:rFonts w:ascii="Baskerville Old Face" w:hAnsi="Baskerville Old Face" w:cs="Baskerville 10 Pro"/>
          <w:color w:val="000000"/>
          <w:szCs w:val="20"/>
        </w:rPr>
        <w:t xml:space="preserve">Frank Rahill, </w:t>
      </w:r>
      <w:r w:rsidRPr="001C3DC6">
        <w:rPr>
          <w:rFonts w:ascii="Baskerville Old Face" w:hAnsi="Baskerville Old Face" w:cs="Baskerville 10 Pro"/>
          <w:i/>
          <w:iCs/>
          <w:color w:val="000000"/>
          <w:szCs w:val="20"/>
        </w:rPr>
        <w:t xml:space="preserve">The World of Melodrama </w:t>
      </w:r>
      <w:r w:rsidRPr="001C3DC6">
        <w:rPr>
          <w:rFonts w:ascii="Baskerville Old Face" w:hAnsi="Baskerville Old Face" w:cs="Baskerville 10 Pro"/>
          <w:color w:val="000000"/>
          <w:szCs w:val="20"/>
        </w:rPr>
        <w:t>(University Park: Pennsylvania State University Press, 1967), p. 159.</w:t>
      </w:r>
    </w:p>
    <w:p w14:paraId="0487B69F" w14:textId="77777777" w:rsidR="00825D10" w:rsidRPr="001C3DC6" w:rsidRDefault="00825D10" w:rsidP="00825D10">
      <w:pPr>
        <w:spacing w:line="240" w:lineRule="auto"/>
        <w:rPr>
          <w:rFonts w:ascii="Baskerville Old Face" w:hAnsi="Baskerville Old Face"/>
          <w:szCs w:val="20"/>
        </w:rPr>
      </w:pPr>
      <w:r w:rsidRPr="001C3DC6">
        <w:rPr>
          <w:rStyle w:val="A3"/>
          <w:rFonts w:ascii="Baskerville Old Face" w:hAnsi="Baskerville Old Face"/>
          <w:b/>
          <w:sz w:val="20"/>
          <w:szCs w:val="20"/>
        </w:rPr>
        <w:t>15</w:t>
      </w:r>
      <w:r w:rsidRPr="001C3DC6">
        <w:rPr>
          <w:rStyle w:val="A3"/>
          <w:rFonts w:ascii="Baskerville Old Face" w:hAnsi="Baskerville Old Face"/>
          <w:sz w:val="22"/>
          <w:szCs w:val="20"/>
        </w:rPr>
        <w:t xml:space="preserve"> </w:t>
      </w:r>
      <w:r w:rsidRPr="001C3DC6">
        <w:rPr>
          <w:rFonts w:ascii="Baskerville Old Face" w:hAnsi="Baskerville Old Face" w:cs="Baskerville 10 Pro"/>
          <w:color w:val="000000"/>
          <w:szCs w:val="20"/>
        </w:rPr>
        <w:t xml:space="preserve">‘Our Actors!’, </w:t>
      </w:r>
      <w:r w:rsidRPr="001C3DC6">
        <w:rPr>
          <w:rFonts w:ascii="Baskerville Old Face" w:hAnsi="Baskerville Old Face" w:cs="Baskerville 10 Pro"/>
          <w:i/>
          <w:iCs/>
          <w:color w:val="000000"/>
          <w:szCs w:val="20"/>
        </w:rPr>
        <w:t>Metropolitan Magazine</w:t>
      </w:r>
      <w:r w:rsidRPr="001C3DC6">
        <w:rPr>
          <w:rFonts w:ascii="Baskerville Old Face" w:hAnsi="Baskerville Old Face" w:cs="Baskerville 10 Pro"/>
          <w:color w:val="000000"/>
          <w:szCs w:val="20"/>
        </w:rPr>
        <w:t>, October 1836, pp. 120–40 (p. 139).</w:t>
      </w:r>
    </w:p>
    <w:p w14:paraId="6575A456" w14:textId="7C732DB4" w:rsidR="00825D10" w:rsidRPr="001C3DC6" w:rsidRDefault="007E24C5" w:rsidP="007E24C5">
      <w:pPr>
        <w:jc w:val="center"/>
        <w:rPr>
          <w:sz w:val="24"/>
        </w:rPr>
      </w:pPr>
      <w:r w:rsidRPr="001C3DC6">
        <w:rPr>
          <w:sz w:val="24"/>
        </w:rPr>
        <w:t>---------------------------------------------------</w:t>
      </w:r>
    </w:p>
    <w:p w14:paraId="54480E43" w14:textId="65918BDB" w:rsidR="001C3DC6" w:rsidRDefault="001C3DC6" w:rsidP="007556B6">
      <w:pPr>
        <w:jc w:val="both"/>
      </w:pPr>
    </w:p>
    <w:p w14:paraId="1BAF39E9" w14:textId="2C4D61F5" w:rsidR="00A707F5" w:rsidRDefault="00A707F5" w:rsidP="007556B6">
      <w:pPr>
        <w:jc w:val="both"/>
      </w:pPr>
    </w:p>
    <w:p w14:paraId="2FB3C454" w14:textId="77777777" w:rsidR="00A707F5" w:rsidRDefault="00A707F5" w:rsidP="007556B6">
      <w:pPr>
        <w:jc w:val="both"/>
      </w:pPr>
    </w:p>
    <w:p w14:paraId="6E31CB59" w14:textId="130398A0" w:rsidR="00D21531" w:rsidRPr="00D21531" w:rsidRDefault="00D21531" w:rsidP="004D4A63">
      <w:pPr>
        <w:shd w:val="clear" w:color="auto" w:fill="FFFFFF"/>
        <w:rPr>
          <w:rFonts w:ascii="Georgia Pro Cond" w:hAnsi="Georgia Pro Cond" w:cs="Arial"/>
          <w:color w:val="333333"/>
        </w:rPr>
      </w:pPr>
      <w:r w:rsidRPr="00D21531">
        <w:rPr>
          <w:rFonts w:ascii="Georgia Pro Cond" w:hAnsi="Georgia Pro Cond"/>
          <w:b/>
        </w:rPr>
        <w:t xml:space="preserve">Extract from </w:t>
      </w:r>
      <w:r w:rsidRPr="00D21531">
        <w:rPr>
          <w:rStyle w:val="authors"/>
          <w:rFonts w:ascii="Georgia Pro Cond" w:hAnsi="Georgia Pro Cond" w:cs="Arial"/>
          <w:color w:val="333333"/>
        </w:rPr>
        <w:t>Ray Johnson</w:t>
      </w:r>
      <w:r w:rsidR="00885B94">
        <w:rPr>
          <w:rStyle w:val="authors"/>
          <w:rFonts w:ascii="Georgia Pro Cond" w:hAnsi="Georgia Pro Cond" w:cs="Arial"/>
          <w:color w:val="333333"/>
        </w:rPr>
        <w:t>,</w:t>
      </w:r>
      <w:r w:rsidRPr="00D21531">
        <w:rPr>
          <w:rFonts w:ascii="Georgia Pro Cond" w:hAnsi="Georgia Pro Cond" w:cs="Arial"/>
          <w:color w:val="333333"/>
        </w:rPr>
        <w:t> </w:t>
      </w:r>
      <w:r w:rsidR="00885B94">
        <w:rPr>
          <w:rFonts w:ascii="Georgia Pro Cond" w:hAnsi="Georgia Pro Cond" w:cs="Arial"/>
          <w:color w:val="333333"/>
        </w:rPr>
        <w:t>“</w:t>
      </w:r>
      <w:r w:rsidR="00885B94" w:rsidRPr="00D21531">
        <w:rPr>
          <w:rStyle w:val="arttitle"/>
          <w:rFonts w:ascii="Georgia Pro Cond" w:hAnsi="Georgia Pro Cond" w:cs="Arial"/>
          <w:color w:val="333333"/>
        </w:rPr>
        <w:t xml:space="preserve">Tricks, Traps </w:t>
      </w:r>
      <w:r w:rsidR="00885B94">
        <w:rPr>
          <w:rStyle w:val="arttitle"/>
          <w:rFonts w:ascii="Georgia Pro Cond" w:hAnsi="Georgia Pro Cond" w:cs="Arial"/>
          <w:color w:val="333333"/>
        </w:rPr>
        <w:t>a</w:t>
      </w:r>
      <w:r w:rsidR="00885B94" w:rsidRPr="00D21531">
        <w:rPr>
          <w:rStyle w:val="arttitle"/>
          <w:rFonts w:ascii="Georgia Pro Cond" w:hAnsi="Georgia Pro Cond" w:cs="Arial"/>
          <w:color w:val="333333"/>
        </w:rPr>
        <w:t>nd Transformations</w:t>
      </w:r>
      <w:r w:rsidR="00885B94">
        <w:rPr>
          <w:rStyle w:val="arttitle"/>
          <w:rFonts w:ascii="Georgia Pro Cond" w:hAnsi="Georgia Pro Cond" w:cs="Arial"/>
          <w:color w:val="333333"/>
        </w:rPr>
        <w:t>”</w:t>
      </w:r>
      <w:r w:rsidRPr="00D21531">
        <w:rPr>
          <w:rStyle w:val="arttitle"/>
          <w:rFonts w:ascii="Georgia Pro Cond" w:hAnsi="Georgia Pro Cond" w:cs="Arial"/>
          <w:color w:val="333333"/>
        </w:rPr>
        <w:t>,</w:t>
      </w:r>
      <w:r w:rsidRPr="00D21531">
        <w:rPr>
          <w:rFonts w:ascii="Georgia Pro Cond" w:hAnsi="Georgia Pro Cond" w:cs="Arial"/>
          <w:color w:val="333333"/>
        </w:rPr>
        <w:t> </w:t>
      </w:r>
      <w:r w:rsidR="004D4A63">
        <w:rPr>
          <w:rStyle w:val="serialtitle"/>
          <w:rFonts w:ascii="Georgia Pro Cond" w:hAnsi="Georgia Pro Cond" w:cs="Arial"/>
          <w:i/>
          <w:color w:val="333333"/>
        </w:rPr>
        <w:t xml:space="preserve">Early Popular Visual </w:t>
      </w:r>
      <w:r w:rsidRPr="00D21531">
        <w:rPr>
          <w:rStyle w:val="serialtitle"/>
          <w:rFonts w:ascii="Georgia Pro Cond" w:hAnsi="Georgia Pro Cond" w:cs="Arial"/>
          <w:i/>
          <w:color w:val="333333"/>
        </w:rPr>
        <w:t>Culture</w:t>
      </w:r>
      <w:r w:rsidRPr="00D21531">
        <w:rPr>
          <w:rStyle w:val="serialtitle"/>
          <w:rFonts w:ascii="Georgia Pro Cond" w:hAnsi="Georgia Pro Cond" w:cs="Arial"/>
          <w:color w:val="333333"/>
        </w:rPr>
        <w:t>,</w:t>
      </w:r>
      <w:r w:rsidRPr="00D21531">
        <w:rPr>
          <w:rFonts w:ascii="Georgia Pro Cond" w:hAnsi="Georgia Pro Cond" w:cs="Arial"/>
          <w:color w:val="333333"/>
        </w:rPr>
        <w:t> </w:t>
      </w:r>
      <w:r w:rsidRPr="00D21531">
        <w:rPr>
          <w:rStyle w:val="volumeissue"/>
          <w:rFonts w:ascii="Georgia Pro Cond" w:hAnsi="Georgia Pro Cond" w:cs="Arial"/>
          <w:color w:val="333333"/>
        </w:rPr>
        <w:t>5:2,</w:t>
      </w:r>
      <w:r w:rsidRPr="00D21531">
        <w:rPr>
          <w:rFonts w:ascii="Georgia Pro Cond" w:hAnsi="Georgia Pro Cond" w:cs="Arial"/>
          <w:color w:val="333333"/>
        </w:rPr>
        <w:t> </w:t>
      </w:r>
      <w:r w:rsidRPr="00D21531">
        <w:rPr>
          <w:rStyle w:val="Date2"/>
          <w:rFonts w:ascii="Georgia Pro Cond" w:hAnsi="Georgia Pro Cond" w:cs="Arial"/>
          <w:color w:val="333333"/>
        </w:rPr>
        <w:t>(2007)</w:t>
      </w:r>
      <w:r w:rsidRPr="00D21531">
        <w:rPr>
          <w:rFonts w:ascii="Georgia Pro Cond" w:hAnsi="Georgia Pro Cond" w:cs="Arial"/>
          <w:color w:val="333333"/>
        </w:rPr>
        <w:t> </w:t>
      </w:r>
      <w:r w:rsidRPr="00D21531">
        <w:rPr>
          <w:rStyle w:val="pagerange"/>
          <w:rFonts w:ascii="Georgia Pro Cond" w:hAnsi="Georgia Pro Cond" w:cs="Arial"/>
          <w:color w:val="333333"/>
        </w:rPr>
        <w:t>151-165,</w:t>
      </w:r>
      <w:r w:rsidRPr="00D21531">
        <w:rPr>
          <w:rFonts w:ascii="Georgia Pro Cond" w:hAnsi="Georgia Pro Cond" w:cs="Arial"/>
          <w:color w:val="333333"/>
        </w:rPr>
        <w:t> </w:t>
      </w:r>
      <w:r w:rsidRPr="00D21531">
        <w:rPr>
          <w:rStyle w:val="doilink"/>
          <w:rFonts w:ascii="Georgia Pro Cond" w:hAnsi="Georgia Pro Cond" w:cs="Arial"/>
          <w:color w:val="333333"/>
        </w:rPr>
        <w:t>DOI: </w:t>
      </w:r>
      <w:hyperlink r:id="rId10" w:history="1">
        <w:r w:rsidRPr="00D21531">
          <w:rPr>
            <w:rStyle w:val="Hyperlink"/>
            <w:rFonts w:ascii="Georgia Pro Cond" w:hAnsi="Georgia Pro Cond" w:cs="Arial"/>
            <w:color w:val="333333"/>
          </w:rPr>
          <w:t>10.1080/17460650701433673</w:t>
        </w:r>
      </w:hyperlink>
    </w:p>
    <w:p w14:paraId="48739908" w14:textId="77777777" w:rsidR="00214571" w:rsidRDefault="00D21531" w:rsidP="007556B6">
      <w:pPr>
        <w:jc w:val="both"/>
        <w:rPr>
          <w:rFonts w:ascii="Georgia Pro Cond" w:hAnsi="Georgia Pro Cond"/>
        </w:rPr>
      </w:pPr>
      <w:r>
        <w:rPr>
          <w:rFonts w:ascii="Georgia Pro Cond" w:hAnsi="Georgia Pro Cond"/>
        </w:rPr>
        <w:lastRenderedPageBreak/>
        <w:t xml:space="preserve">[…] </w:t>
      </w:r>
      <w:r w:rsidR="004C19AB" w:rsidRPr="00214571">
        <w:rPr>
          <w:rFonts w:ascii="Georgia Pro Cond" w:hAnsi="Georgia Pro Cond"/>
          <w:b/>
        </w:rPr>
        <w:t>Developments in theatre lighting and effects</w:t>
      </w:r>
      <w:r w:rsidR="004C19AB" w:rsidRPr="00A707F5">
        <w:rPr>
          <w:rFonts w:ascii="Georgia Pro Cond" w:hAnsi="Georgia Pro Cond"/>
        </w:rPr>
        <w:t xml:space="preserve"> </w:t>
      </w:r>
    </w:p>
    <w:p w14:paraId="4B457B49" w14:textId="7C22C94F" w:rsidR="007B50D2" w:rsidRDefault="004C19AB" w:rsidP="007556B6">
      <w:pPr>
        <w:jc w:val="both"/>
        <w:rPr>
          <w:rFonts w:ascii="Georgia Pro Cond" w:hAnsi="Georgia Pro Cond"/>
        </w:rPr>
      </w:pPr>
      <w:r w:rsidRPr="00A707F5">
        <w:rPr>
          <w:rFonts w:ascii="Georgia Pro Cond" w:hAnsi="Georgia Pro Cond"/>
        </w:rPr>
        <w:t>In the closed auditoria of music hall and theatre, lighting is a key factor. Before the nineteenth century, lighting in theatres was by candles in chandeliers and fittings around both the auditorium and the stage. The auditorium was lit as brightly as the stage (which was not very bright, being candlelight). The performers acted on an apron stage in front of the proscenium arch (with doors of entrance either side)—the space behind the arch was for scenery only. Footlights gave extra illumination to the actors. Coal gas began to be available for lighting in the first decade of the century. Gas lighting was first used at Drury Lane in 1817. Gas lighting, largely concealed by the proscenium arch, enabled the auditorium to be dimmed, but was dangerous and problematic. The gas flame in footlights (still within the audience space in front of the proscenium arch) could be a foot tall, with taller reflectors causing sightline problems for audience in the Pit,</w:t>
      </w:r>
      <w:r w:rsidRPr="00214571">
        <w:rPr>
          <w:rFonts w:ascii="Georgia Pro Cond" w:hAnsi="Georgia Pro Cond"/>
          <w:vertAlign w:val="superscript"/>
        </w:rPr>
        <w:t>7</w:t>
      </w:r>
      <w:r w:rsidRPr="00A707F5">
        <w:rPr>
          <w:rFonts w:ascii="Georgia Pro Cond" w:hAnsi="Georgia Pro Cond"/>
        </w:rPr>
        <w:t xml:space="preserve"> strange uplighting on actors’ faces, noxious fumes for the performers acting near them, a fire hazard with costumes, and a contributory rising heat. In addition, the banks of gas lighting behind the proscenium in the wings and on the gas battens above the stage </w:t>
      </w:r>
      <w:r w:rsidR="00604E8A">
        <w:rPr>
          <w:rFonts w:ascii="Georgia Pro Cond" w:hAnsi="Georgia Pro Cond"/>
        </w:rPr>
        <w:t xml:space="preserve">[p.154] </w:t>
      </w:r>
      <w:r w:rsidRPr="00A707F5">
        <w:rPr>
          <w:rFonts w:ascii="Georgia Pro Cond" w:hAnsi="Georgia Pro Cond"/>
        </w:rPr>
        <w:t xml:space="preserve">made all stage scenery and cloths tinder dry and temperatures at the ‘grid’ above the stage rise to up to </w:t>
      </w:r>
      <w:proofErr w:type="gramStart"/>
      <w:r w:rsidRPr="00A707F5">
        <w:rPr>
          <w:rFonts w:ascii="Georgia Pro Cond" w:hAnsi="Georgia Pro Cond"/>
        </w:rPr>
        <w:t>a 100 degrees</w:t>
      </w:r>
      <w:proofErr w:type="gramEnd"/>
      <w:r w:rsidRPr="00A707F5">
        <w:rPr>
          <w:rFonts w:ascii="Georgia Pro Cond" w:hAnsi="Georgia Pro Cond"/>
        </w:rPr>
        <w:t xml:space="preserve"> centigrade. Gas lighting could not be focused, but coloured glass sheets or coloured silk sheets drawn between the lights and performers could produce colour effects in a limited way. Some projected effects were possible </w:t>
      </w:r>
      <w:proofErr w:type="gramStart"/>
      <w:r w:rsidRPr="00A707F5">
        <w:rPr>
          <w:rFonts w:ascii="Georgia Pro Cond" w:hAnsi="Georgia Pro Cond"/>
        </w:rPr>
        <w:t>on stage</w:t>
      </w:r>
      <w:proofErr w:type="gramEnd"/>
      <w:r w:rsidRPr="00A707F5">
        <w:rPr>
          <w:rFonts w:ascii="Georgia Pro Cond" w:hAnsi="Georgia Pro Cond"/>
        </w:rPr>
        <w:t xml:space="preserve"> using oil-lit magic lanterns, but there are few references. In 1829 at the Adelphi, Edward Fitzball used a magic lantern on a track to rear project on a gauze the ghost ship in </w:t>
      </w:r>
      <w:r w:rsidRPr="00257C2C">
        <w:rPr>
          <w:rFonts w:ascii="Georgia Pro Cond" w:hAnsi="Georgia Pro Cond"/>
          <w:i/>
        </w:rPr>
        <w:t>The Flying Dutchman</w:t>
      </w:r>
      <w:r w:rsidRPr="00A707F5">
        <w:rPr>
          <w:rFonts w:ascii="Georgia Pro Cond" w:hAnsi="Georgia Pro Cond"/>
        </w:rPr>
        <w:t xml:space="preserve">, giving a phantasmagoria effect. Edmund Kean’s </w:t>
      </w:r>
      <w:r w:rsidRPr="00257C2C">
        <w:rPr>
          <w:rFonts w:ascii="Georgia Pro Cond" w:hAnsi="Georgia Pro Cond"/>
          <w:i/>
        </w:rPr>
        <w:t>King Lear</w:t>
      </w:r>
      <w:r w:rsidRPr="00A707F5">
        <w:rPr>
          <w:rFonts w:ascii="Georgia Pro Cond" w:hAnsi="Georgia Pro Cond"/>
        </w:rPr>
        <w:t xml:space="preserve"> in 1821 had used it for lightning flashes. The proscenium arch was evolving into a ‘picture frame’ containing the main visual presentation of the entertainment, with actors now performing among the illuminated scenery rather than a considerable distance in front of it on an apron stage ‘outside the frame’. Limelight was used in the theatre from 1837—independent of its use in magic lanterns. Here the oxy-hydrogen flame playing upon a block of lime (calcium oxide) made a bright incandescence that could be projected and focused, and brightness could be adjusted by moving the block of lime. Electric carbon-arc was used from 1848 and incandescent carbon filament lighting from 1881. During this period, they were also used in combinations. The increased use of</w:t>
      </w:r>
      <w:r w:rsidRPr="00233216">
        <w:rPr>
          <w:rFonts w:ascii="Georgia Pro Cond" w:hAnsi="Georgia Pro Cond"/>
          <w:i/>
        </w:rPr>
        <w:t xml:space="preserve"> projected</w:t>
      </w:r>
      <w:r w:rsidR="007B50D2">
        <w:rPr>
          <w:rFonts w:ascii="Georgia Pro Cond" w:hAnsi="Georgia Pro Cond"/>
        </w:rPr>
        <w:t xml:space="preserve"> </w:t>
      </w:r>
      <w:r w:rsidRPr="00A707F5">
        <w:rPr>
          <w:rFonts w:ascii="Georgia Pro Cond" w:hAnsi="Georgia Pro Cond"/>
        </w:rPr>
        <w:t xml:space="preserve">light with limelight, then carbon arc and filament lamps, meant that actors were now acting upstage of the proscenium arch among the scenery, and the auditorium was dimmed. There were now complaints that stage lighting was too bright and </w:t>
      </w:r>
      <w:proofErr w:type="gramStart"/>
      <w:r w:rsidRPr="00A707F5">
        <w:rPr>
          <w:rFonts w:ascii="Georgia Pro Cond" w:hAnsi="Georgia Pro Cond"/>
        </w:rPr>
        <w:t>glaring, and</w:t>
      </w:r>
      <w:proofErr w:type="gramEnd"/>
      <w:r w:rsidRPr="00A707F5">
        <w:rPr>
          <w:rFonts w:ascii="Georgia Pro Cond" w:hAnsi="Georgia Pro Cond"/>
        </w:rPr>
        <w:t xml:space="preserve"> appeals not to black out the auditorium completely. </w:t>
      </w:r>
    </w:p>
    <w:p w14:paraId="78414D63" w14:textId="06ACAAD5" w:rsidR="00500C7E" w:rsidRDefault="004C19AB" w:rsidP="00233216">
      <w:pPr>
        <w:ind w:left="720"/>
        <w:jc w:val="both"/>
        <w:rPr>
          <w:rFonts w:ascii="Georgia Pro Cond" w:hAnsi="Georgia Pro Cond"/>
        </w:rPr>
      </w:pPr>
      <w:r w:rsidRPr="00A707F5">
        <w:rPr>
          <w:rFonts w:ascii="Georgia Pro Cond" w:hAnsi="Georgia Pro Cond"/>
        </w:rPr>
        <w:t>The electric light has become so profuse and glaring that all distance and mystery is lost, while the scene painters are compelled, in self-defiance, to make their colours as fiery as possible. There is one theatre, however, where a true feeling of mystery and illusion is carried out under the most poetical conditions. I allude, of course, to the Lyceum.</w:t>
      </w:r>
      <w:proofErr w:type="gramStart"/>
      <w:r w:rsidRPr="00605EF4">
        <w:rPr>
          <w:rFonts w:ascii="Georgia Pro Cond" w:hAnsi="Georgia Pro Cond"/>
          <w:vertAlign w:val="superscript"/>
        </w:rPr>
        <w:t>8</w:t>
      </w:r>
      <w:r w:rsidRPr="00A707F5">
        <w:rPr>
          <w:rFonts w:ascii="Georgia Pro Cond" w:hAnsi="Georgia Pro Cond"/>
        </w:rPr>
        <w:t xml:space="preserve">  </w:t>
      </w:r>
      <w:r w:rsidR="00A707F5">
        <w:rPr>
          <w:rFonts w:ascii="Georgia Pro Cond" w:hAnsi="Georgia Pro Cond"/>
        </w:rPr>
        <w:t>[</w:t>
      </w:r>
      <w:proofErr w:type="gramEnd"/>
      <w:r w:rsidR="0041607B">
        <w:rPr>
          <w:rFonts w:ascii="Georgia Pro Cond" w:hAnsi="Georgia Pro Cond"/>
        </w:rPr>
        <w:t>…</w:t>
      </w:r>
      <w:r w:rsidR="00DD00B0">
        <w:rPr>
          <w:rFonts w:ascii="Georgia Pro Cond" w:hAnsi="Georgia Pro Cond"/>
        </w:rPr>
        <w:t>]</w:t>
      </w:r>
      <w:r w:rsidRPr="00A707F5">
        <w:rPr>
          <w:rFonts w:ascii="Georgia Pro Cond" w:hAnsi="Georgia Pro Cond"/>
        </w:rPr>
        <w:t xml:space="preserve"> </w:t>
      </w:r>
    </w:p>
    <w:p w14:paraId="5D2F1873" w14:textId="77777777" w:rsidR="0041607B" w:rsidRDefault="0041607B" w:rsidP="007556B6">
      <w:pPr>
        <w:jc w:val="both"/>
        <w:rPr>
          <w:rFonts w:ascii="Georgia Pro Cond" w:hAnsi="Georgia Pro Cond"/>
        </w:rPr>
      </w:pPr>
      <w:r w:rsidRPr="002C0B69">
        <w:rPr>
          <w:rFonts w:ascii="Georgia Pro Cond" w:hAnsi="Georgia Pro Cond"/>
        </w:rPr>
        <w:t>[p.157]</w:t>
      </w:r>
      <w:r>
        <w:t xml:space="preserve"> </w:t>
      </w:r>
      <w:r w:rsidRPr="0041607B">
        <w:rPr>
          <w:rFonts w:ascii="Georgia Pro Cond" w:hAnsi="Georgia Pro Cond"/>
          <w:b/>
        </w:rPr>
        <w:t>The dominance of ‘the picture’</w:t>
      </w:r>
      <w:r w:rsidRPr="0041607B">
        <w:rPr>
          <w:rFonts w:ascii="Georgia Pro Cond" w:hAnsi="Georgia Pro Cond"/>
        </w:rPr>
        <w:t xml:space="preserve"> </w:t>
      </w:r>
    </w:p>
    <w:p w14:paraId="45127EDA" w14:textId="77777777" w:rsidR="0041607B" w:rsidRDefault="0041607B" w:rsidP="0041607B">
      <w:pPr>
        <w:spacing w:after="0"/>
        <w:jc w:val="both"/>
        <w:rPr>
          <w:rFonts w:ascii="Georgia Pro Cond" w:hAnsi="Georgia Pro Cond"/>
        </w:rPr>
      </w:pPr>
      <w:r w:rsidRPr="0041607B">
        <w:rPr>
          <w:rFonts w:ascii="Georgia Pro Cond" w:hAnsi="Georgia Pro Cond"/>
        </w:rPr>
        <w:t xml:space="preserve">There was a change from the old audience mix of box, pit and gallery, with class distinction and different theatre entrances for each. New auditoria were dominated by a large stalls area, a substantial circle and cheaper seating in an upper circle (or ‘gods’). By 1866, 64 per cent of audiences attended theatres outside the West End, and the minor theatre’s audience reflected the social mix of its community. As conditions changed, audiences changed. And the nineteenth century progression towards pictorialism and spectacle was echoing the changes in public taste as well as developments in technology. </w:t>
      </w:r>
    </w:p>
    <w:p w14:paraId="435E3AF8" w14:textId="651828BF" w:rsidR="00252E80" w:rsidRDefault="001D2576" w:rsidP="00252E80">
      <w:pPr>
        <w:spacing w:after="0"/>
        <w:ind w:firstLine="426"/>
        <w:jc w:val="both"/>
        <w:rPr>
          <w:rFonts w:ascii="Georgia Pro Cond" w:hAnsi="Georgia Pro Cond"/>
        </w:rPr>
      </w:pPr>
      <w:r>
        <w:rPr>
          <w:rFonts w:ascii="Georgia Pro Cond" w:hAnsi="Georgia Pro Cond"/>
        </w:rPr>
        <w:t>[…]</w:t>
      </w:r>
      <w:r w:rsidR="0041607B" w:rsidRPr="0041607B">
        <w:rPr>
          <w:rFonts w:ascii="Georgia Pro Cond" w:hAnsi="Georgia Pro Cond"/>
        </w:rPr>
        <w:t xml:space="preserve"> In 1855, William Bonham Dunne (Examiner of plays from 1857) wrote: ‘We are become, in all that regards the theatre, a civil, similar and impassive generation. To touch our emotions, we need not the imaginatively true, but the physically real. The visions which our ancestors saw with the mind’s eye must be embodied in palpable forms.’</w:t>
      </w:r>
      <w:r w:rsidR="0041607B" w:rsidRPr="001D2576">
        <w:rPr>
          <w:rFonts w:ascii="Georgia Pro Cond" w:hAnsi="Georgia Pro Cond"/>
          <w:vertAlign w:val="superscript"/>
        </w:rPr>
        <w:t>11</w:t>
      </w:r>
      <w:r w:rsidR="0041607B" w:rsidRPr="0041607B">
        <w:rPr>
          <w:rFonts w:ascii="Georgia Pro Cond" w:hAnsi="Georgia Pro Cond"/>
        </w:rPr>
        <w:t xml:space="preserve"> E. T. Smith (former manager of Drury Lane) said in 1866 that people will not go where there is merely ‘talking drama’; ‘They will go where there is scenic effects, and mechanical effects to please the eye.’ Max Beerbohm in </w:t>
      </w:r>
      <w:r w:rsidR="0041607B" w:rsidRPr="00233216">
        <w:rPr>
          <w:rFonts w:ascii="Georgia Pro Cond" w:hAnsi="Georgia Pro Cond"/>
          <w:i/>
        </w:rPr>
        <w:t>The Saturday Review</w:t>
      </w:r>
      <w:r w:rsidR="0041607B" w:rsidRPr="0041607B">
        <w:rPr>
          <w:rFonts w:ascii="Georgia Pro Cond" w:hAnsi="Georgia Pro Cond"/>
        </w:rPr>
        <w:t xml:space="preserve"> (1899) said: ‘Our public … will not tolerate poetry on the stage unless it gets also gorgeous and solid scenery, gorgeous and innumerable supers’ (i.e., extras on stage). Percy Fitzgerald in Tinsley’s </w:t>
      </w:r>
      <w:r w:rsidR="0041607B" w:rsidRPr="00233216">
        <w:rPr>
          <w:rFonts w:ascii="Georgia Pro Cond" w:hAnsi="Georgia Pro Cond"/>
          <w:i/>
        </w:rPr>
        <w:t xml:space="preserve">Principles of Comedy and Dramatic Effect </w:t>
      </w:r>
      <w:r w:rsidR="0041607B" w:rsidRPr="0041607B">
        <w:rPr>
          <w:rFonts w:ascii="Georgia Pro Cond" w:hAnsi="Georgia Pro Cond"/>
        </w:rPr>
        <w:t xml:space="preserve">(1870) said: ‘We go [to the theatre] not so much to hear as look. It is like a gigantic peep show, and we pay our showman and put our eyes to the glass and stare.’ </w:t>
      </w:r>
    </w:p>
    <w:p w14:paraId="27A00FEF" w14:textId="77777777" w:rsidR="00252E80" w:rsidRDefault="0041607B" w:rsidP="00252E80">
      <w:pPr>
        <w:spacing w:after="0"/>
        <w:ind w:firstLine="426"/>
        <w:jc w:val="both"/>
        <w:rPr>
          <w:rFonts w:ascii="Georgia Pro Cond" w:hAnsi="Georgia Pro Cond"/>
        </w:rPr>
      </w:pPr>
      <w:r w:rsidRPr="0041607B">
        <w:rPr>
          <w:rFonts w:ascii="Georgia Pro Cond" w:hAnsi="Georgia Pro Cond"/>
        </w:rPr>
        <w:t>Scenery and effects had high priority. ‘In these present days of scenic display, when even no poor ghost can walk undisturbed by scientific satellites, lime-lights, mirrors and the like, the scene-painter is a far more important person in the theatre than the Tragedian.’</w:t>
      </w:r>
      <w:r w:rsidRPr="001D2576">
        <w:rPr>
          <w:rFonts w:ascii="Georgia Pro Cond" w:hAnsi="Georgia Pro Cond"/>
          <w:vertAlign w:val="superscript"/>
        </w:rPr>
        <w:t xml:space="preserve">12 </w:t>
      </w:r>
      <w:r w:rsidRPr="0041607B">
        <w:rPr>
          <w:rFonts w:ascii="Georgia Pro Cond" w:hAnsi="Georgia Pro Cond"/>
        </w:rPr>
        <w:t xml:space="preserve">There were trends in printed publication to illustrate stories: magazines like the </w:t>
      </w:r>
      <w:r w:rsidRPr="00233216">
        <w:rPr>
          <w:rFonts w:ascii="Georgia Pro Cond" w:hAnsi="Georgia Pro Cond"/>
          <w:i/>
        </w:rPr>
        <w:t>Illustrated London News</w:t>
      </w:r>
      <w:r w:rsidRPr="0041607B">
        <w:rPr>
          <w:rFonts w:ascii="Georgia Pro Cond" w:hAnsi="Georgia Pro Cond"/>
        </w:rPr>
        <w:t xml:space="preserve"> from 1842, the </w:t>
      </w:r>
      <w:r w:rsidRPr="00233216">
        <w:rPr>
          <w:rFonts w:ascii="Georgia Pro Cond" w:hAnsi="Georgia Pro Cond"/>
          <w:i/>
        </w:rPr>
        <w:t>Pictorial Times</w:t>
      </w:r>
      <w:r w:rsidRPr="0041607B">
        <w:rPr>
          <w:rFonts w:ascii="Georgia Pro Cond" w:hAnsi="Georgia Pro Cond"/>
        </w:rPr>
        <w:t xml:space="preserve"> the following year, The </w:t>
      </w:r>
      <w:r w:rsidRPr="00233216">
        <w:rPr>
          <w:rFonts w:ascii="Georgia Pro Cond" w:hAnsi="Georgia Pro Cond"/>
          <w:i/>
        </w:rPr>
        <w:t>Illustrated Times</w:t>
      </w:r>
      <w:r w:rsidRPr="0041607B">
        <w:rPr>
          <w:rFonts w:ascii="Georgia Pro Cond" w:hAnsi="Georgia Pro Cond"/>
        </w:rPr>
        <w:t xml:space="preserve">, and the </w:t>
      </w:r>
      <w:r w:rsidRPr="00233216">
        <w:rPr>
          <w:rFonts w:ascii="Georgia Pro Cond" w:hAnsi="Georgia Pro Cond"/>
          <w:i/>
        </w:rPr>
        <w:t>Penny Illustrated</w:t>
      </w:r>
      <w:r w:rsidRPr="0041607B">
        <w:rPr>
          <w:rFonts w:ascii="Georgia Pro Cond" w:hAnsi="Georgia Pro Cond"/>
        </w:rPr>
        <w:t xml:space="preserve"> paper from 1861. Illustrated magazines were part of the cultural drift towards seeing the world and understanding narratives through pictures. This essentially visual taste of new </w:t>
      </w:r>
      <w:r w:rsidRPr="0041607B">
        <w:rPr>
          <w:rFonts w:ascii="Georgia Pro Cond" w:hAnsi="Georgia Pro Cond"/>
        </w:rPr>
        <w:lastRenderedPageBreak/>
        <w:t xml:space="preserve">audiences compelled writers to give priority to pictorial techniques of storytelling. A popular audience was being built, hungry for new developments in visual representation. Still barely literate, most people could respond to visual presentation. There was also the transition in chromolithographic processes in print technology that saw letterpress replaced with graphic illustrations; greater and cheaper printing technology saw the visual replace the printed block. </w:t>
      </w:r>
    </w:p>
    <w:p w14:paraId="1C8A8F92" w14:textId="77777777" w:rsidR="009B707A" w:rsidRDefault="00252E80" w:rsidP="00214571">
      <w:pPr>
        <w:spacing w:after="0"/>
        <w:ind w:firstLine="426"/>
        <w:jc w:val="both"/>
        <w:rPr>
          <w:rFonts w:ascii="Georgia Pro Cond" w:hAnsi="Georgia Pro Cond"/>
        </w:rPr>
      </w:pPr>
      <w:r>
        <w:rPr>
          <w:rFonts w:ascii="Georgia Pro Cond" w:hAnsi="Georgia Pro Cond"/>
        </w:rPr>
        <w:t>[p.</w:t>
      </w:r>
      <w:r w:rsidR="0041607B" w:rsidRPr="0041607B">
        <w:rPr>
          <w:rFonts w:ascii="Georgia Pro Cond" w:hAnsi="Georgia Pro Cond"/>
        </w:rPr>
        <w:t>158</w:t>
      </w:r>
      <w:r>
        <w:rPr>
          <w:rFonts w:ascii="Georgia Pro Cond" w:hAnsi="Georgia Pro Cond"/>
        </w:rPr>
        <w:t>]</w:t>
      </w:r>
      <w:r w:rsidR="0041607B" w:rsidRPr="0041607B">
        <w:rPr>
          <w:rFonts w:ascii="Georgia Pro Cond" w:hAnsi="Georgia Pro Cond"/>
        </w:rPr>
        <w:t xml:space="preserve"> In theatrical reviews in the press, there was an increase in the regularity of critics referring to ‘the pict</w:t>
      </w:r>
      <w:r w:rsidR="0041607B" w:rsidRPr="001D2576">
        <w:rPr>
          <w:rFonts w:ascii="Georgia Pro Cond" w:hAnsi="Georgia Pro Cond"/>
        </w:rPr>
        <w:t>ure’ on stage. Referring to the ‘pictures’ became part of the critic’s vocabulary. A popular way of concluding a performance was to bring the curtain down, assemble the company (in appropriate costumes) in a tableau and raise the curtain on this ‘picture’ (sometimes imitating a well-known work of art).</w:t>
      </w:r>
      <w:r w:rsidR="00CB603A" w:rsidRPr="001D2576">
        <w:rPr>
          <w:rFonts w:ascii="Georgia Pro Cond" w:hAnsi="Georgia Pro Cond"/>
        </w:rPr>
        <w:t xml:space="preserve"> </w:t>
      </w:r>
    </w:p>
    <w:p w14:paraId="68BB17F1" w14:textId="5A918AE6" w:rsidR="00214571" w:rsidRPr="001D2576" w:rsidRDefault="00A0076F" w:rsidP="00214571">
      <w:pPr>
        <w:spacing w:after="0"/>
        <w:ind w:firstLine="426"/>
        <w:jc w:val="both"/>
        <w:rPr>
          <w:rFonts w:ascii="Georgia Pro Cond" w:hAnsi="Georgia Pro Cond"/>
        </w:rPr>
      </w:pPr>
      <w:r w:rsidRPr="001D2576">
        <w:rPr>
          <w:rFonts w:ascii="Georgia Pro Cond" w:hAnsi="Georgia Pro Cond"/>
        </w:rPr>
        <w:t>[…]</w:t>
      </w:r>
      <w:r w:rsidR="00CB603A" w:rsidRPr="001D2576">
        <w:rPr>
          <w:rFonts w:ascii="Georgia Pro Cond" w:hAnsi="Georgia Pro Cond"/>
        </w:rPr>
        <w:t xml:space="preserve"> </w:t>
      </w:r>
      <w:r w:rsidR="00AA7FB5" w:rsidRPr="001D2576">
        <w:rPr>
          <w:rFonts w:ascii="Georgia Pro Cond" w:hAnsi="Georgia Pro Cond"/>
        </w:rPr>
        <w:t>The development of glass had its effect on the theatre. Plate glass had been achieved in the 1830s, and was soon common in superior shops, where you could peer through a large rectangular sheet of glass at attractively arranged goods. It was a frame of vision, ‘a picture’. The illusion of Peppers’ Ghost in the theatre required sheet glass for the required half-reflection, and a bright light played upon the off-stage or below front-of</w:t>
      </w:r>
      <w:r w:rsidR="00CB603A" w:rsidRPr="001D2576">
        <w:rPr>
          <w:rFonts w:ascii="Georgia Pro Cond" w:hAnsi="Georgia Pro Cond"/>
        </w:rPr>
        <w:t xml:space="preserve"> </w:t>
      </w:r>
      <w:r w:rsidR="00AA7FB5" w:rsidRPr="001D2576">
        <w:rPr>
          <w:rFonts w:ascii="Georgia Pro Cond" w:hAnsi="Georgia Pro Cond"/>
        </w:rPr>
        <w:t>stage white clad figure. Randall Williams toured the Pepper’s Ghost phenomenon in the 1870s following the success of the illusion at the Regent Street Polytechnic in the 1860s, but ‘during the 1896–97 Christmas Season, Williams took the bold step of turning over his entire Grand Phantascopical Exhibition, of some 25 years standing, to the exhibition of animated photographs’.</w:t>
      </w:r>
      <w:r w:rsidR="00AA7FB5" w:rsidRPr="001D2576">
        <w:rPr>
          <w:rFonts w:ascii="Georgia Pro Cond" w:hAnsi="Georgia Pro Cond"/>
          <w:vertAlign w:val="superscript"/>
        </w:rPr>
        <w:t xml:space="preserve">15 </w:t>
      </w:r>
    </w:p>
    <w:p w14:paraId="51917D03" w14:textId="7A49722A" w:rsidR="006762AC" w:rsidRPr="001D2576" w:rsidRDefault="00AA7FB5" w:rsidP="00350D31">
      <w:pPr>
        <w:ind w:firstLine="426"/>
        <w:jc w:val="both"/>
        <w:rPr>
          <w:rFonts w:ascii="Georgia Pro Cond" w:hAnsi="Georgia Pro Cond"/>
        </w:rPr>
      </w:pPr>
      <w:r w:rsidRPr="001D2576">
        <w:rPr>
          <w:rFonts w:ascii="Georgia Pro Cond" w:hAnsi="Georgia Pro Cond"/>
        </w:rPr>
        <w:t xml:space="preserve">Theatre designers incorporated lenses, coloured glass and silk filters to add subtlety and </w:t>
      </w:r>
      <w:r w:rsidR="00156BB2" w:rsidRPr="001D2576">
        <w:rPr>
          <w:rFonts w:ascii="Georgia Pro Cond" w:hAnsi="Georgia Pro Cond"/>
        </w:rPr>
        <w:t>focus to their lighting. However, spangles, metal foil, glass beads and other attachments were made to costumes to make key characters literally shine on stage. Limelight was projected through red filters onto white lycopodeum powder burnt in smoke pans to give the effect of live flame. Light could be projected from the front, or from behind onto gauzes or pierced cloths to effect starting changes. Day time to night time could be achieved by fading out front lighting and bringing up back lighting, which would also shine more brightly through a gauze-covered piercing representing the moon, for example. The Theatre Museum, based at the Victoria &amp; Albert Museum, has a collection of designers’ models incorporating such cloths</w:t>
      </w:r>
      <w:r w:rsidR="00350D31">
        <w:rPr>
          <w:rFonts w:ascii="Georgia Pro Cond" w:hAnsi="Georgia Pro Cond"/>
        </w:rPr>
        <w:t>.</w:t>
      </w:r>
      <w:r w:rsidR="00156BB2" w:rsidRPr="001D2576">
        <w:rPr>
          <w:rFonts w:ascii="Georgia Pro Cond" w:hAnsi="Georgia Pro Cond"/>
        </w:rPr>
        <w:t xml:space="preserve"> Good painted backcloths </w:t>
      </w:r>
      <w:r w:rsidR="009C59C2">
        <w:rPr>
          <w:rFonts w:ascii="Georgia Pro Cond" w:hAnsi="Georgia Pro Cond"/>
        </w:rPr>
        <w:t>[p.</w:t>
      </w:r>
      <w:r w:rsidR="00156BB2" w:rsidRPr="001D2576">
        <w:rPr>
          <w:rFonts w:ascii="Georgia Pro Cond" w:hAnsi="Georgia Pro Cond"/>
        </w:rPr>
        <w:t>159</w:t>
      </w:r>
      <w:r w:rsidR="009C59C2">
        <w:rPr>
          <w:rFonts w:ascii="Georgia Pro Cond" w:hAnsi="Georgia Pro Cond"/>
        </w:rPr>
        <w:t>]</w:t>
      </w:r>
      <w:r w:rsidR="00156BB2" w:rsidRPr="001D2576">
        <w:rPr>
          <w:rFonts w:ascii="Georgia Pro Cond" w:hAnsi="Georgia Pro Cond"/>
        </w:rPr>
        <w:t xml:space="preserve"> were a staple part of stage design throughout the later periods of realism. Renowned artists also work as scene painters for large theatres, including Ford Maddox Brown, Edward Burn Jones, Philip de Loutherbourg, Clarkson Stanfield, David Roberts, David Cox, Lawrence Alma-Tadema and many more. Some theatres maintained their own chief artist, but increasingly the work was contracted out to studios.</w:t>
      </w:r>
    </w:p>
    <w:p w14:paraId="59B2EB86" w14:textId="77777777" w:rsidR="0095021A" w:rsidRDefault="006762AC" w:rsidP="0095021A">
      <w:pPr>
        <w:jc w:val="both"/>
        <w:rPr>
          <w:rFonts w:ascii="Georgia Pro Cond" w:hAnsi="Georgia Pro Cond"/>
        </w:rPr>
      </w:pPr>
      <w:r w:rsidRPr="0095021A">
        <w:rPr>
          <w:rFonts w:ascii="Georgia Pro Cond" w:hAnsi="Georgia Pro Cond"/>
          <w:b/>
        </w:rPr>
        <w:t>Mechanical effects and transformations</w:t>
      </w:r>
      <w:r w:rsidRPr="001D2576">
        <w:rPr>
          <w:rFonts w:ascii="Georgia Pro Cond" w:hAnsi="Georgia Pro Cond"/>
        </w:rPr>
        <w:t xml:space="preserve"> </w:t>
      </w:r>
    </w:p>
    <w:p w14:paraId="1FED6BE6" w14:textId="4C9B0A1A" w:rsidR="00CB3DEC" w:rsidRDefault="006762AC" w:rsidP="00CB3DEC">
      <w:pPr>
        <w:spacing w:after="0"/>
        <w:jc w:val="both"/>
        <w:rPr>
          <w:rFonts w:ascii="Georgia Pro Cond" w:hAnsi="Georgia Pro Cond"/>
        </w:rPr>
      </w:pPr>
      <w:r w:rsidRPr="001D2576">
        <w:rPr>
          <w:rFonts w:ascii="Georgia Pro Cond" w:hAnsi="Georgia Pro Cond"/>
        </w:rPr>
        <w:t xml:space="preserve">The floor of a theatre stage was a patchwork of sliding panels revealing slots or ‘sloats’, moveable bridges, trapdoors, grooves for sliding wings and other scenery. The stage has always been hollow; the space below is referred to as the ‘hell’—in other words, that is where you went down to if you met your judgement in a play. Beneath the stage are the winches, capstans, drums and machinery to operate anything rising above or to stage level. The magic occurs because of what we cannot see. We expect the stage to be solid, yet the actor seems to come from nowhere. Trapdoors in number are a staple feature of larger Victorian theatres, but all theatres would have at least one trap (the ‘grave trap’) positioned just upstage of centre, and essential for any performance of </w:t>
      </w:r>
      <w:r w:rsidRPr="00350D31">
        <w:rPr>
          <w:rFonts w:ascii="Georgia Pro Cond" w:hAnsi="Georgia Pro Cond"/>
          <w:i/>
        </w:rPr>
        <w:t>Hamlet</w:t>
      </w:r>
      <w:r w:rsidRPr="001D2576">
        <w:rPr>
          <w:rFonts w:ascii="Georgia Pro Cond" w:hAnsi="Georgia Pro Cond"/>
        </w:rPr>
        <w:t xml:space="preserve"> at least. </w:t>
      </w:r>
      <w:r w:rsidR="00350D31">
        <w:rPr>
          <w:rFonts w:ascii="Georgia Pro Cond" w:hAnsi="Georgia Pro Cond"/>
        </w:rPr>
        <w:t>[…]</w:t>
      </w:r>
      <w:r w:rsidRPr="001D2576">
        <w:rPr>
          <w:rFonts w:ascii="Georgia Pro Cond" w:hAnsi="Georgia Pro Cond"/>
        </w:rPr>
        <w:t xml:space="preserve"> </w:t>
      </w:r>
    </w:p>
    <w:p w14:paraId="5E511AD4" w14:textId="77777777" w:rsidR="008B272C" w:rsidRDefault="00CB3DEC" w:rsidP="008B272C">
      <w:pPr>
        <w:spacing w:after="0"/>
        <w:ind w:firstLine="426"/>
        <w:jc w:val="both"/>
        <w:rPr>
          <w:rFonts w:ascii="Georgia Pro Cond" w:hAnsi="Georgia Pro Cond"/>
        </w:rPr>
      </w:pPr>
      <w:r>
        <w:rPr>
          <w:rFonts w:ascii="Georgia Pro Cond" w:hAnsi="Georgia Pro Cond"/>
        </w:rPr>
        <w:t>T</w:t>
      </w:r>
      <w:r w:rsidR="006762AC" w:rsidRPr="001D2576">
        <w:rPr>
          <w:rFonts w:ascii="Georgia Pro Cond" w:hAnsi="Georgia Pro Cond"/>
        </w:rPr>
        <w:t>here were many variations of trap—some created for individual productions. A star trap was a corner trap operated very quickly so that the actor shot into the air at stage level</w:t>
      </w:r>
      <w:r w:rsidR="00B266EA">
        <w:rPr>
          <w:rFonts w:ascii="Georgia Pro Cond" w:hAnsi="Georgia Pro Cond"/>
        </w:rPr>
        <w:t xml:space="preserve">. </w:t>
      </w:r>
      <w:r w:rsidR="006762AC" w:rsidRPr="001D2576">
        <w:rPr>
          <w:rFonts w:ascii="Georgia Pro Cond" w:hAnsi="Georgia Pro Cond"/>
        </w:rPr>
        <w:t xml:space="preserve">Before he or she landed, a ring of triangular flaps sprang back flat </w:t>
      </w:r>
      <w:r w:rsidR="002B4721">
        <w:rPr>
          <w:rFonts w:ascii="Georgia Pro Cond" w:hAnsi="Georgia Pro Cond"/>
        </w:rPr>
        <w:t>[p.160]</w:t>
      </w:r>
      <w:r w:rsidR="006762AC" w:rsidRPr="001D2576">
        <w:rPr>
          <w:rFonts w:ascii="Georgia Pro Cond" w:hAnsi="Georgia Pro Cond"/>
        </w:rPr>
        <w:t xml:space="preserve"> for the actor to land on. Very good for instant magical appearances! A leap trap allowed a character to disappear into scenery by literally ‘leaping’ through it. The vampire trap consisted of two sprung hinged flaps temporarily unsupported from underneath, which the actor could walk or jump onto and vanish beneath the stage— hopefully to land on something soft. The audience were looking at a ‘picture’ framed by the proscenium arch, but behind that arch was a working space larger than the auditorium itself. Wings had to be at least half the width of the stage each side beyond the arch, for sliding scenery in and out. The fly tower had to be at least twice the height of the stage to fly full-height scenery (although smaller theatres were still rolling and unrolling scene cloths, which took longer and damaged the paintwork on them), and it was 30 to 80 feet deep, depending on the size of the theatre site. </w:t>
      </w:r>
    </w:p>
    <w:p w14:paraId="42A508AB" w14:textId="77777777" w:rsidR="008B272C" w:rsidRDefault="006762AC" w:rsidP="008B272C">
      <w:pPr>
        <w:spacing w:after="0"/>
        <w:ind w:firstLine="426"/>
        <w:jc w:val="both"/>
        <w:rPr>
          <w:rFonts w:ascii="Georgia Pro Cond" w:hAnsi="Georgia Pro Cond"/>
        </w:rPr>
      </w:pPr>
      <w:r w:rsidRPr="001D2576">
        <w:rPr>
          <w:rFonts w:ascii="Georgia Pro Cond" w:hAnsi="Georgia Pro Cond"/>
        </w:rPr>
        <w:t>The types of apparatus included; fly galleries, systems of ropes over drums on shafts, counterbalancing with sandbags to aid manual raising and lowering of scenery, wind</w:t>
      </w:r>
      <w:r w:rsidR="00565B17">
        <w:rPr>
          <w:rFonts w:ascii="Georgia Pro Cond" w:hAnsi="Georgia Pro Cond"/>
        </w:rPr>
        <w:t xml:space="preserve"> [… p.162] </w:t>
      </w:r>
      <w:r w:rsidR="000C2637">
        <w:rPr>
          <w:rFonts w:ascii="Georgia Pro Cond" w:hAnsi="Georgia Pro Cond"/>
        </w:rPr>
        <w:t xml:space="preserve">- </w:t>
      </w:r>
      <w:r w:rsidRPr="001D2576">
        <w:rPr>
          <w:rFonts w:ascii="Georgia Pro Cond" w:hAnsi="Georgia Pro Cond"/>
        </w:rPr>
        <w:t xml:space="preserve">lasses for heavier lifting. And each theatre had sets of standard scenery reused in countless plays: forest scenes, a cottage, a prison, palaces, countryside and so on. In 1880, Henry Irving staged </w:t>
      </w:r>
      <w:r w:rsidRPr="008B272C">
        <w:rPr>
          <w:rFonts w:ascii="Georgia Pro Cond" w:hAnsi="Georgia Pro Cond"/>
          <w:i/>
        </w:rPr>
        <w:t>The Corsican Brothers</w:t>
      </w:r>
      <w:r w:rsidRPr="001D2576">
        <w:rPr>
          <w:rFonts w:ascii="Georgia Pro Cond" w:hAnsi="Georgia Pro Cond"/>
        </w:rPr>
        <w:t xml:space="preserve">, and his biographer Bram Stoker (author of </w:t>
      </w:r>
      <w:r w:rsidRPr="008B272C">
        <w:rPr>
          <w:rFonts w:ascii="Georgia Pro Cond" w:hAnsi="Georgia Pro Cond"/>
          <w:i/>
        </w:rPr>
        <w:t>Dracula</w:t>
      </w:r>
      <w:r w:rsidRPr="001D2576">
        <w:rPr>
          <w:rFonts w:ascii="Georgia Pro Cond" w:hAnsi="Georgia Pro Cond"/>
        </w:rPr>
        <w:t xml:space="preserve">) commented on the realistic use of tons of salt to represent snow. A remarkable new trapdoor was invented for this play, for when the murdered brother returns to haunt his </w:t>
      </w:r>
      <w:proofErr w:type="gramStart"/>
      <w:r w:rsidRPr="001D2576">
        <w:rPr>
          <w:rFonts w:ascii="Georgia Pro Cond" w:hAnsi="Georgia Pro Cond"/>
        </w:rPr>
        <w:t>twin, and</w:t>
      </w:r>
      <w:proofErr w:type="gramEnd"/>
      <w:r w:rsidRPr="001D2576">
        <w:rPr>
          <w:rFonts w:ascii="Georgia Pro Cond" w:hAnsi="Georgia Pro Cond"/>
        </w:rPr>
        <w:t xml:space="preserve"> became known as the ‘Corsican trap’. The ghost rises through the stage while simultaneously drifting laterally across it; this was </w:t>
      </w:r>
      <w:r w:rsidRPr="001D2576">
        <w:rPr>
          <w:rFonts w:ascii="Georgia Pro Cond" w:hAnsi="Georgia Pro Cond"/>
        </w:rPr>
        <w:lastRenderedPageBreak/>
        <w:t>achieved by the trap aperture moving across the stage in ‘scruto’ (used on treadmills described previously) while the platform carrying the actor traverses a railway-like track rising in height beneath the stage. The only surviving, and working, Corsican trap is in the Gaeity Theatre, Douglas.</w:t>
      </w:r>
      <w:r w:rsidRPr="008B272C">
        <w:rPr>
          <w:rFonts w:ascii="Georgia Pro Cond" w:hAnsi="Georgia Pro Cond"/>
          <w:vertAlign w:val="superscript"/>
        </w:rPr>
        <w:t>16</w:t>
      </w:r>
      <w:r w:rsidRPr="001D2576">
        <w:rPr>
          <w:rFonts w:ascii="Georgia Pro Cond" w:hAnsi="Georgia Pro Cond"/>
        </w:rPr>
        <w:t xml:space="preserve"> </w:t>
      </w:r>
    </w:p>
    <w:p w14:paraId="4F3B2A4E" w14:textId="77777777" w:rsidR="00263A84" w:rsidRDefault="006762AC" w:rsidP="00263A84">
      <w:pPr>
        <w:spacing w:after="0"/>
        <w:ind w:firstLine="426"/>
        <w:jc w:val="both"/>
        <w:rPr>
          <w:rFonts w:ascii="Georgia Pro Cond" w:hAnsi="Georgia Pro Cond"/>
        </w:rPr>
      </w:pPr>
      <w:r w:rsidRPr="001D2576">
        <w:rPr>
          <w:rFonts w:ascii="Georgia Pro Cond" w:hAnsi="Georgia Pro Cond"/>
        </w:rPr>
        <w:t xml:space="preserve">For a century, it had been known how to effect a quick transformation of the entire visual display with pairs of wing and border carriages, painted flats flying in and out (or unrolling) and backgrounds sliding together and apart in two halves. This visual ‘jolt’, sometimes accompanied by a flash, could still amaze and amuse. Consider the sheer size of the stage and its visual display—the large area of one’s vision it must have filled. We are not talking about the amazement at domestic optical toys here. The magnitude is an important element. It was on a scale not achieved by the cinema until the large screen formats over half a century later. </w:t>
      </w:r>
    </w:p>
    <w:p w14:paraId="3101FD64" w14:textId="77777777" w:rsidR="00263A84" w:rsidRDefault="006762AC" w:rsidP="00CB3DEC">
      <w:pPr>
        <w:ind w:firstLine="426"/>
        <w:jc w:val="both"/>
        <w:rPr>
          <w:rFonts w:ascii="Georgia Pro Cond" w:hAnsi="Georgia Pro Cond"/>
        </w:rPr>
      </w:pPr>
      <w:r w:rsidRPr="001D2576">
        <w:rPr>
          <w:rFonts w:ascii="Georgia Pro Cond" w:hAnsi="Georgia Pro Cond"/>
        </w:rPr>
        <w:t xml:space="preserve">The optical experiments of Pierre Mark Roget in the 1820s are still relevant, and the known effects were being exploited long before cinema and in fields other than those developing optical toys and photography. However, in the second half of the century, the new taste for visual transformation was a gradual one that may take up to 20 minutes </w:t>
      </w:r>
      <w:r w:rsidR="00263A84">
        <w:rPr>
          <w:rFonts w:ascii="Georgia Pro Cond" w:hAnsi="Georgia Pro Cond"/>
        </w:rPr>
        <w:t>[p.</w:t>
      </w:r>
      <w:r w:rsidRPr="001D2576">
        <w:rPr>
          <w:rFonts w:ascii="Georgia Pro Cond" w:hAnsi="Georgia Pro Cond"/>
        </w:rPr>
        <w:t>163</w:t>
      </w:r>
      <w:r w:rsidR="00263A84">
        <w:rPr>
          <w:rFonts w:ascii="Georgia Pro Cond" w:hAnsi="Georgia Pro Cond"/>
        </w:rPr>
        <w:t>]</w:t>
      </w:r>
      <w:r w:rsidRPr="001D2576">
        <w:rPr>
          <w:rFonts w:ascii="Georgia Pro Cond" w:hAnsi="Georgia Pro Cond"/>
        </w:rPr>
        <w:t xml:space="preserve"> to complete, with each stage thoroughly enjoyed and probably applauded by the audience. William Roxby Beverley (1814–1889) was the scene painter and designer of the first Drury Lane pantomimes, and was the first to incorporate a series of transformation scenes, with new effects incorporated each year. Here is one of his transformations from </w:t>
      </w:r>
      <w:r w:rsidRPr="00263A84">
        <w:rPr>
          <w:rFonts w:ascii="Georgia Pro Cond" w:hAnsi="Georgia Pro Cond"/>
          <w:i/>
        </w:rPr>
        <w:t>The Island of Jewels</w:t>
      </w:r>
      <w:r w:rsidRPr="001D2576">
        <w:rPr>
          <w:rFonts w:ascii="Georgia Pro Cond" w:hAnsi="Georgia Pro Cond"/>
        </w:rPr>
        <w:t xml:space="preserve"> described in the Dramatic Review of 1885: </w:t>
      </w:r>
    </w:p>
    <w:p w14:paraId="1F3771E5" w14:textId="77777777" w:rsidR="0061281A" w:rsidRDefault="006762AC" w:rsidP="0061281A">
      <w:pPr>
        <w:ind w:left="426"/>
        <w:jc w:val="both"/>
        <w:rPr>
          <w:rFonts w:ascii="Georgia Pro Cond" w:hAnsi="Georgia Pro Cond"/>
        </w:rPr>
      </w:pPr>
      <w:r w:rsidRPr="001D2576">
        <w:rPr>
          <w:rFonts w:ascii="Georgia Pro Cond" w:hAnsi="Georgia Pro Cond"/>
        </w:rPr>
        <w:t>How quietly and gradually it is evolved. First the gauzes lift slowly open one behind the other—giving glimpses of the Realms of Bliss … then is revealed a kind of half</w:t>
      </w:r>
      <w:r w:rsidR="008B272C">
        <w:rPr>
          <w:rFonts w:ascii="Georgia Pro Cond" w:hAnsi="Georgia Pro Cond"/>
        </w:rPr>
        <w:t xml:space="preserve"> </w:t>
      </w:r>
      <w:r w:rsidRPr="001D2576">
        <w:rPr>
          <w:rFonts w:ascii="Georgia Pro Cond" w:hAnsi="Georgia Pro Cond"/>
        </w:rPr>
        <w:t xml:space="preserve">glorified country, clouds and banks, evidently concealing much. Now bridges open to reveal more glories. … Now some of the banks begin to part showing realms of light … with fairies rising here and there … lights streaming on full in every colour and from every quarter, in the richest effulgence. … Finally, at the back of all, the most glorious paradise will open … and some fair spirit aloft in a cloud among the stars, the apex of all … the fires of crimson, green and blue fire begin to rise at the wings … the music bursts into a crash of exultation. </w:t>
      </w:r>
    </w:p>
    <w:p w14:paraId="359F609B" w14:textId="77777777" w:rsidR="0061281A" w:rsidRDefault="006762AC" w:rsidP="0061281A">
      <w:pPr>
        <w:spacing w:after="0"/>
        <w:jc w:val="both"/>
        <w:rPr>
          <w:rFonts w:ascii="Georgia Pro Cond" w:hAnsi="Georgia Pro Cond"/>
        </w:rPr>
      </w:pPr>
      <w:r w:rsidRPr="001D2576">
        <w:rPr>
          <w:rFonts w:ascii="Georgia Pro Cond" w:hAnsi="Georgia Pro Cond"/>
        </w:rPr>
        <w:t xml:space="preserve">Mechanically, these effects took a veritable army of people to achieve. Charles Kean’s </w:t>
      </w:r>
      <w:r w:rsidRPr="0061281A">
        <w:rPr>
          <w:rFonts w:ascii="Georgia Pro Cond" w:hAnsi="Georgia Pro Cond"/>
          <w:i/>
        </w:rPr>
        <w:t>The Tempest</w:t>
      </w:r>
      <w:r w:rsidRPr="001D2576">
        <w:rPr>
          <w:rFonts w:ascii="Georgia Pro Cond" w:hAnsi="Georgia Pro Cond"/>
        </w:rPr>
        <w:t xml:space="preserve"> in 1857 needed 150 operatives for each performance, in a total theatre company of 550. Joseph Knight, a critic writing of Henry Irving’s Hamlet in 1874, said: ‘The play is wholly spectacle—Shakespeare’s words might almost be regarded as a species of incidental music.’ </w:t>
      </w:r>
    </w:p>
    <w:p w14:paraId="2EAFD2D8" w14:textId="77777777" w:rsidR="000139C5" w:rsidRDefault="006762AC" w:rsidP="000139C5">
      <w:pPr>
        <w:spacing w:after="0"/>
        <w:ind w:firstLine="426"/>
        <w:jc w:val="both"/>
        <w:rPr>
          <w:rFonts w:ascii="Georgia Pro Cond" w:hAnsi="Georgia Pro Cond"/>
        </w:rPr>
      </w:pPr>
      <w:r w:rsidRPr="001D2576">
        <w:rPr>
          <w:rFonts w:ascii="Georgia Pro Cond" w:hAnsi="Georgia Pro Cond"/>
        </w:rPr>
        <w:t xml:space="preserve">Later in the century there was a taste for greater realism: architectural accuracy, for three-dimensional ‘built stuff’ as scenery, rather than cut-out flats and painted cloths. The presentations became hugely </w:t>
      </w:r>
      <w:proofErr w:type="gramStart"/>
      <w:r w:rsidRPr="001D2576">
        <w:rPr>
          <w:rFonts w:ascii="Georgia Pro Cond" w:hAnsi="Georgia Pro Cond"/>
        </w:rPr>
        <w:t>expensive, and</w:t>
      </w:r>
      <w:proofErr w:type="gramEnd"/>
      <w:r w:rsidRPr="001D2576">
        <w:rPr>
          <w:rFonts w:ascii="Georgia Pro Cond" w:hAnsi="Georgia Pro Cond"/>
        </w:rPr>
        <w:t xml:space="preserve"> could only hope to recoup their costs in long runs. Repertory disappeared from the larger theatres. A production needed to run and run. In the 1850s, only 13 productions ran for over 100 performances; in the 1860s, 45 productions ran for over 100 nights; and by the 1870s, 107 ran for over 100 performances. Given that the annual pantomime traditionally began on Lord Mayors’ Day (9 November) and ran until February, the three- to four-month pantomime also counted as a necessary long run. </w:t>
      </w:r>
    </w:p>
    <w:p w14:paraId="20DC911C" w14:textId="760165EB" w:rsidR="006762AC" w:rsidRPr="001D2576" w:rsidRDefault="006762AC" w:rsidP="0061281A">
      <w:pPr>
        <w:ind w:firstLine="426"/>
        <w:jc w:val="both"/>
        <w:rPr>
          <w:rFonts w:ascii="Georgia Pro Cond" w:hAnsi="Georgia Pro Cond"/>
        </w:rPr>
      </w:pPr>
      <w:r w:rsidRPr="001D2576">
        <w:rPr>
          <w:rFonts w:ascii="Georgia Pro Cond" w:hAnsi="Georgia Pro Cond"/>
        </w:rPr>
        <w:t xml:space="preserve">Transformation scenes were still important as a key part of the </w:t>
      </w:r>
      <w:proofErr w:type="gramStart"/>
      <w:r w:rsidRPr="001D2576">
        <w:rPr>
          <w:rFonts w:ascii="Georgia Pro Cond" w:hAnsi="Georgia Pro Cond"/>
        </w:rPr>
        <w:t>entertainment, and</w:t>
      </w:r>
      <w:proofErr w:type="gramEnd"/>
      <w:r w:rsidRPr="001D2576">
        <w:rPr>
          <w:rFonts w:ascii="Georgia Pro Cond" w:hAnsi="Georgia Pro Cond"/>
        </w:rPr>
        <w:t xml:space="preserve"> were applauded as such. They could last up to twenty minutes in duration, with each effect superseding the last.</w:t>
      </w:r>
    </w:p>
    <w:p w14:paraId="7434F4BF" w14:textId="2E9E2C4A" w:rsidR="002C0B69" w:rsidRPr="001D2576" w:rsidRDefault="002C0B69" w:rsidP="0041607B">
      <w:pPr>
        <w:ind w:firstLine="426"/>
        <w:jc w:val="both"/>
        <w:rPr>
          <w:rFonts w:ascii="Georgia Pro Cond" w:hAnsi="Georgia Pro Cond"/>
        </w:rPr>
      </w:pPr>
    </w:p>
    <w:p w14:paraId="7055CF3A" w14:textId="77777777" w:rsidR="00605EF4" w:rsidRPr="000139C5" w:rsidRDefault="002C0B69" w:rsidP="00605EF4">
      <w:pPr>
        <w:jc w:val="both"/>
        <w:rPr>
          <w:rFonts w:ascii="Georgia Pro Cond" w:hAnsi="Georgia Pro Cond"/>
          <w:sz w:val="18"/>
        </w:rPr>
      </w:pPr>
      <w:r w:rsidRPr="000139C5">
        <w:rPr>
          <w:rFonts w:ascii="Georgia Pro Cond" w:hAnsi="Georgia Pro Cond"/>
          <w:sz w:val="20"/>
          <w:vertAlign w:val="superscript"/>
        </w:rPr>
        <w:t>7</w:t>
      </w:r>
      <w:r w:rsidRPr="000139C5">
        <w:rPr>
          <w:rFonts w:ascii="Georgia Pro Cond" w:hAnsi="Georgia Pro Cond"/>
          <w:sz w:val="18"/>
        </w:rPr>
        <w:t xml:space="preserve">. The ‘Pit’ was an area of cheap bench seating closest to the stage. As theatres and music halls improved their interiors, these benches were moved back to the rear of more luxurious stalls seating (to beneath the overhang that was the circle) and, ultimately, to the upper gallery—the ‘gods’. The closest area to the stage, where an orchestra can now be accommodated, is still referred to as the ‘Pit’. </w:t>
      </w:r>
    </w:p>
    <w:p w14:paraId="1B54B6BA" w14:textId="77777777" w:rsidR="00187FF6" w:rsidRPr="000139C5" w:rsidRDefault="002C0B69" w:rsidP="00605EF4">
      <w:pPr>
        <w:jc w:val="both"/>
        <w:rPr>
          <w:rFonts w:ascii="Georgia Pro Cond" w:hAnsi="Georgia Pro Cond"/>
          <w:sz w:val="18"/>
        </w:rPr>
      </w:pPr>
      <w:r w:rsidRPr="000139C5">
        <w:rPr>
          <w:rFonts w:ascii="Georgia Pro Cond" w:hAnsi="Georgia Pro Cond"/>
          <w:sz w:val="20"/>
          <w:vertAlign w:val="superscript"/>
        </w:rPr>
        <w:t>8</w:t>
      </w:r>
      <w:r w:rsidRPr="000139C5">
        <w:rPr>
          <w:rFonts w:ascii="Georgia Pro Cond" w:hAnsi="Georgia Pro Cond"/>
          <w:sz w:val="18"/>
        </w:rPr>
        <w:t xml:space="preserve">. Fitzgerald, P. (1892) </w:t>
      </w:r>
      <w:r w:rsidRPr="000139C5">
        <w:rPr>
          <w:rFonts w:ascii="Georgia Pro Cond" w:hAnsi="Georgia Pro Cond"/>
          <w:i/>
          <w:sz w:val="18"/>
        </w:rPr>
        <w:t>The Art of Acting</w:t>
      </w:r>
      <w:r w:rsidRPr="000139C5">
        <w:rPr>
          <w:rFonts w:ascii="Georgia Pro Cond" w:hAnsi="Georgia Pro Cond"/>
          <w:sz w:val="18"/>
        </w:rPr>
        <w:t xml:space="preserve">, quoted in Jackson, R. (1994) </w:t>
      </w:r>
      <w:r w:rsidRPr="000139C5">
        <w:rPr>
          <w:rFonts w:ascii="Georgia Pro Cond" w:hAnsi="Georgia Pro Cond"/>
          <w:i/>
          <w:sz w:val="18"/>
        </w:rPr>
        <w:t>Victorian Theatre: The Theatre in Its Time</w:t>
      </w:r>
      <w:r w:rsidRPr="000139C5">
        <w:rPr>
          <w:rFonts w:ascii="Georgia Pro Cond" w:hAnsi="Georgia Pro Cond"/>
          <w:sz w:val="18"/>
        </w:rPr>
        <w:t xml:space="preserve">, New Amsterdam Books, New York, p. 217. </w:t>
      </w:r>
    </w:p>
    <w:p w14:paraId="0BE002A7" w14:textId="77777777" w:rsidR="009C59C2" w:rsidRPr="000139C5" w:rsidRDefault="002C0B69" w:rsidP="00605EF4">
      <w:pPr>
        <w:jc w:val="both"/>
        <w:rPr>
          <w:rFonts w:ascii="Georgia Pro Cond" w:hAnsi="Georgia Pro Cond"/>
          <w:sz w:val="18"/>
        </w:rPr>
      </w:pPr>
      <w:r w:rsidRPr="000139C5">
        <w:rPr>
          <w:rFonts w:ascii="Georgia Pro Cond" w:hAnsi="Georgia Pro Cond"/>
          <w:sz w:val="20"/>
          <w:vertAlign w:val="superscript"/>
        </w:rPr>
        <w:t>11.</w:t>
      </w:r>
      <w:r w:rsidRPr="000139C5">
        <w:rPr>
          <w:rFonts w:ascii="Georgia Pro Cond" w:hAnsi="Georgia Pro Cond"/>
          <w:sz w:val="20"/>
        </w:rPr>
        <w:t xml:space="preserve"> </w:t>
      </w:r>
      <w:r w:rsidRPr="000139C5">
        <w:rPr>
          <w:rFonts w:ascii="Georgia Pro Cond" w:hAnsi="Georgia Pro Cond"/>
          <w:sz w:val="18"/>
        </w:rPr>
        <w:t xml:space="preserve">Wickham, G. (1992) A History of the Theatre, Phaedon, London, p. 92. </w:t>
      </w:r>
    </w:p>
    <w:p w14:paraId="335A970A" w14:textId="77777777" w:rsidR="009C59C2" w:rsidRPr="000139C5" w:rsidRDefault="002C0B69" w:rsidP="00605EF4">
      <w:pPr>
        <w:jc w:val="both"/>
        <w:rPr>
          <w:rFonts w:ascii="Georgia Pro Cond" w:hAnsi="Georgia Pro Cond"/>
          <w:sz w:val="18"/>
        </w:rPr>
      </w:pPr>
      <w:r w:rsidRPr="000139C5">
        <w:rPr>
          <w:rFonts w:ascii="Georgia Pro Cond" w:hAnsi="Georgia Pro Cond"/>
          <w:sz w:val="20"/>
          <w:vertAlign w:val="superscript"/>
        </w:rPr>
        <w:t>12.</w:t>
      </w:r>
      <w:r w:rsidRPr="000139C5">
        <w:rPr>
          <w:rFonts w:ascii="Georgia Pro Cond" w:hAnsi="Georgia Pro Cond"/>
          <w:sz w:val="20"/>
        </w:rPr>
        <w:t xml:space="preserve"> </w:t>
      </w:r>
      <w:r w:rsidRPr="000139C5">
        <w:rPr>
          <w:rFonts w:ascii="Georgia Pro Cond" w:hAnsi="Georgia Pro Cond"/>
          <w:sz w:val="18"/>
        </w:rPr>
        <w:t xml:space="preserve">Robertson, T. W. (1864) ‘Theatrical types’, </w:t>
      </w:r>
      <w:r w:rsidRPr="000139C5">
        <w:rPr>
          <w:rFonts w:ascii="Georgia Pro Cond" w:hAnsi="Georgia Pro Cond"/>
          <w:i/>
          <w:sz w:val="18"/>
        </w:rPr>
        <w:t>Illustrated Times</w:t>
      </w:r>
      <w:r w:rsidRPr="000139C5">
        <w:rPr>
          <w:rFonts w:ascii="Georgia Pro Cond" w:hAnsi="Georgia Pro Cond"/>
          <w:sz w:val="18"/>
        </w:rPr>
        <w:t>, London, 4 June, quoted in Naylor, A. M. (1952) A Source Book in Theatrical History, Dover, Mineola, NY, p. 495</w:t>
      </w:r>
    </w:p>
    <w:p w14:paraId="4FE4F451" w14:textId="7B71D5F9" w:rsidR="008B272C" w:rsidRPr="000139C5" w:rsidRDefault="002C0B69" w:rsidP="00605EF4">
      <w:pPr>
        <w:jc w:val="both"/>
        <w:rPr>
          <w:rFonts w:ascii="Georgia Pro Cond" w:hAnsi="Georgia Pro Cond"/>
          <w:sz w:val="18"/>
        </w:rPr>
      </w:pPr>
      <w:r w:rsidRPr="000139C5">
        <w:rPr>
          <w:rFonts w:ascii="Georgia Pro Cond" w:hAnsi="Georgia Pro Cond"/>
          <w:sz w:val="20"/>
          <w:vertAlign w:val="superscript"/>
        </w:rPr>
        <w:t>15.</w:t>
      </w:r>
      <w:r w:rsidRPr="000139C5">
        <w:rPr>
          <w:rFonts w:ascii="Georgia Pro Cond" w:hAnsi="Georgia Pro Cond"/>
          <w:sz w:val="20"/>
        </w:rPr>
        <w:t xml:space="preserve"> </w:t>
      </w:r>
      <w:r w:rsidRPr="000139C5">
        <w:rPr>
          <w:rFonts w:ascii="Georgia Pro Cond" w:hAnsi="Georgia Pro Cond"/>
          <w:sz w:val="18"/>
        </w:rPr>
        <w:t>Head, M. (2000) ‘Come in please, come out pleased: The development of British fairground bioscope presentation and performance</w:t>
      </w:r>
      <w:r w:rsidR="00140223">
        <w:rPr>
          <w:rFonts w:ascii="Georgia Pro Cond" w:hAnsi="Georgia Pro Cond"/>
          <w:sz w:val="18"/>
        </w:rPr>
        <w:t>’</w:t>
      </w:r>
      <w:r w:rsidRPr="000139C5">
        <w:rPr>
          <w:rFonts w:ascii="Georgia Pro Cond" w:hAnsi="Georgia Pro Cond"/>
          <w:sz w:val="18"/>
        </w:rPr>
        <w:t xml:space="preserve">, in Fitsimmons &amp; Street, </w:t>
      </w:r>
      <w:r w:rsidRPr="000139C5">
        <w:rPr>
          <w:rFonts w:ascii="Georgia Pro Cond" w:hAnsi="Georgia Pro Cond"/>
          <w:i/>
          <w:sz w:val="18"/>
        </w:rPr>
        <w:t>Moving Performance</w:t>
      </w:r>
      <w:r w:rsidRPr="000139C5">
        <w:rPr>
          <w:rFonts w:ascii="Georgia Pro Cond" w:hAnsi="Georgia Pro Cond"/>
          <w:sz w:val="18"/>
        </w:rPr>
        <w:t xml:space="preserve">, p. 103. </w:t>
      </w:r>
    </w:p>
    <w:p w14:paraId="0515D1C0" w14:textId="504A5D2A" w:rsidR="002C0B69" w:rsidRPr="000139C5" w:rsidRDefault="002C0B69" w:rsidP="00605EF4">
      <w:pPr>
        <w:jc w:val="both"/>
        <w:rPr>
          <w:rFonts w:ascii="Georgia Pro Cond" w:hAnsi="Georgia Pro Cond"/>
          <w:sz w:val="18"/>
        </w:rPr>
      </w:pPr>
      <w:r w:rsidRPr="00140223">
        <w:rPr>
          <w:rFonts w:ascii="Georgia Pro Cond" w:hAnsi="Georgia Pro Cond"/>
          <w:sz w:val="20"/>
          <w:vertAlign w:val="superscript"/>
        </w:rPr>
        <w:t>16.</w:t>
      </w:r>
      <w:r w:rsidRPr="00140223">
        <w:rPr>
          <w:rFonts w:ascii="Georgia Pro Cond" w:hAnsi="Georgia Pro Cond"/>
          <w:sz w:val="20"/>
        </w:rPr>
        <w:t xml:space="preserve"> </w:t>
      </w:r>
      <w:r w:rsidRPr="000139C5">
        <w:rPr>
          <w:rFonts w:ascii="Georgia Pro Cond" w:hAnsi="Georgia Pro Cond"/>
          <w:sz w:val="18"/>
        </w:rPr>
        <w:t xml:space="preserve">See the Corsican Trap demonstrated on the DVD </w:t>
      </w:r>
      <w:r w:rsidRPr="000139C5">
        <w:rPr>
          <w:rFonts w:ascii="Georgia Pro Cond" w:hAnsi="Georgia Pro Cond"/>
          <w:i/>
          <w:sz w:val="18"/>
        </w:rPr>
        <w:t>More Curiosities of the Isle of Man</w:t>
      </w:r>
      <w:r w:rsidRPr="000139C5">
        <w:rPr>
          <w:rFonts w:ascii="Georgia Pro Cond" w:hAnsi="Georgia Pro Cond"/>
          <w:sz w:val="18"/>
        </w:rPr>
        <w:t>, Manx Heritage Foundation, 2004.</w:t>
      </w:r>
    </w:p>
    <w:p w14:paraId="0937A90A" w14:textId="629B5F97" w:rsidR="009E713E" w:rsidRDefault="009E713E" w:rsidP="007556B6">
      <w:pPr>
        <w:jc w:val="both"/>
        <w:rPr>
          <w:rFonts w:ascii="Georgia Pro Cond" w:hAnsi="Georgia Pro Cond"/>
          <w:b/>
          <w:sz w:val="24"/>
        </w:rPr>
      </w:pPr>
    </w:p>
    <w:p w14:paraId="7DAF0B07" w14:textId="77777777" w:rsidR="004E3EA1" w:rsidRDefault="004E3EA1" w:rsidP="007556B6">
      <w:pPr>
        <w:jc w:val="both"/>
        <w:rPr>
          <w:rFonts w:ascii="Georgia Pro Cond" w:hAnsi="Georgia Pro Cond"/>
          <w:b/>
          <w:sz w:val="24"/>
        </w:rPr>
      </w:pPr>
    </w:p>
    <w:p w14:paraId="5F976A4D" w14:textId="77777777" w:rsidR="00B26A92" w:rsidRDefault="00B26A92" w:rsidP="007556B6">
      <w:pPr>
        <w:jc w:val="both"/>
        <w:rPr>
          <w:rFonts w:ascii="Georgia Pro Cond" w:hAnsi="Georgia Pro Cond"/>
          <w:b/>
          <w:sz w:val="24"/>
        </w:rPr>
      </w:pPr>
    </w:p>
    <w:p w14:paraId="7E8DB1DA" w14:textId="7AC0B812" w:rsidR="00B26A92" w:rsidRDefault="002505F1" w:rsidP="007556B6">
      <w:pPr>
        <w:jc w:val="both"/>
        <w:rPr>
          <w:rFonts w:ascii="Georgia Pro Cond" w:hAnsi="Georgia Pro Cond"/>
          <w:b/>
          <w:sz w:val="24"/>
        </w:rPr>
      </w:pPr>
      <w:r>
        <w:rPr>
          <w:rFonts w:ascii="Georgia Pro Cond" w:hAnsi="Georgia Pro Cond"/>
          <w:b/>
          <w:sz w:val="24"/>
        </w:rPr>
        <w:t>Biographical information:</w:t>
      </w:r>
    </w:p>
    <w:p w14:paraId="1CECF840" w14:textId="77777777" w:rsidR="00B26A92" w:rsidRDefault="00B26A92" w:rsidP="00B26A92">
      <w:pPr>
        <w:jc w:val="both"/>
        <w:rPr>
          <w:rFonts w:ascii="Georgia Pro Cond" w:eastAsia="Times New Roman" w:hAnsi="Georgia Pro Cond" w:cs="Arial"/>
          <w:color w:val="222222"/>
          <w:sz w:val="21"/>
          <w:szCs w:val="21"/>
          <w:lang w:eastAsia="en-GB"/>
        </w:rPr>
      </w:pPr>
      <w:r w:rsidRPr="009B2BCF">
        <w:rPr>
          <w:rFonts w:ascii="Georgia Pro Cond" w:eastAsia="Times New Roman" w:hAnsi="Georgia Pro Cond" w:cs="Arial"/>
          <w:b/>
          <w:bCs/>
          <w:color w:val="222222"/>
          <w:sz w:val="21"/>
          <w:szCs w:val="21"/>
          <w:highlight w:val="yellow"/>
          <w:lang w:eastAsia="en-GB"/>
        </w:rPr>
        <w:t>FITZBALL</w:t>
      </w:r>
      <w:r w:rsidRPr="009B2BCF">
        <w:rPr>
          <w:rFonts w:ascii="Georgia Pro Cond" w:eastAsia="Times New Roman" w:hAnsi="Georgia Pro Cond" w:cs="Arial"/>
          <w:b/>
          <w:color w:val="222222"/>
          <w:sz w:val="21"/>
          <w:szCs w:val="21"/>
          <w:highlight w:val="yellow"/>
          <w:lang w:eastAsia="en-GB"/>
        </w:rPr>
        <w:t>, EDWARD (1792–1873),</w:t>
      </w:r>
      <w:r w:rsidRPr="009B2BCF">
        <w:rPr>
          <w:rFonts w:ascii="Georgia Pro Cond" w:eastAsia="Times New Roman" w:hAnsi="Georgia Pro Cond" w:cs="Arial"/>
          <w:color w:val="222222"/>
          <w:sz w:val="21"/>
          <w:szCs w:val="21"/>
          <w:lang w:eastAsia="en-GB"/>
        </w:rPr>
        <w:t xml:space="preserve"> dramatist and miscellaneous writer, born at Burwell, Cambridgeshire. The first of many nautical pieces, for which it was jocularly said that Fitzball had a patent, was 'The Floating Beacon</w:t>
      </w:r>
      <w:r>
        <w:rPr>
          <w:rFonts w:ascii="Georgia Pro Cond" w:eastAsia="Times New Roman" w:hAnsi="Georgia Pro Cond" w:cs="Arial"/>
          <w:color w:val="222222"/>
          <w:sz w:val="21"/>
          <w:szCs w:val="21"/>
          <w:lang w:eastAsia="en-GB"/>
        </w:rPr>
        <w:t>; a wild woman of the wreck</w:t>
      </w:r>
      <w:r w:rsidRPr="009B2BCF">
        <w:rPr>
          <w:rFonts w:ascii="Georgia Pro Cond" w:eastAsia="Times New Roman" w:hAnsi="Georgia Pro Cond" w:cs="Arial"/>
          <w:color w:val="222222"/>
          <w:sz w:val="21"/>
          <w:szCs w:val="21"/>
          <w:lang w:eastAsia="en-GB"/>
        </w:rPr>
        <w:t xml:space="preserve">' (Surrey, 19 April 1824), which ran 140 nights (repeated at Sadler's Wells and Adelphi, 1829). The dramatist was now </w:t>
      </w:r>
      <w:r w:rsidRPr="009E5F2B">
        <w:rPr>
          <w:rFonts w:ascii="Georgia Pro Cond" w:eastAsia="Times New Roman" w:hAnsi="Georgia Pro Cond" w:cs="Arial"/>
          <w:color w:val="222222"/>
          <w:sz w:val="21"/>
          <w:szCs w:val="21"/>
          <w:lang w:eastAsia="en-GB"/>
        </w:rPr>
        <w:t>requisitioned by the Adelphi, where in 1825 was produced his highly successful 'The Pilot; a nautical burletta’ (based on Fenimore Cooper's novel). The piece ran over 200 nights. There was also ‘</w:t>
      </w:r>
      <w:r w:rsidRPr="009E5F2B">
        <w:rPr>
          <w:rFonts w:ascii="Georgia Pro Cond" w:hAnsi="Georgia Pro Cond"/>
          <w:bCs/>
          <w:color w:val="000000"/>
          <w:sz w:val="21"/>
          <w:szCs w:val="21"/>
          <w:shd w:val="clear" w:color="auto" w:fill="FFFFFF"/>
        </w:rPr>
        <w:t xml:space="preserve">The Haunted Hulk: a nautical drama’ and ‘The Inchcape Bell: a nautical burletta,’. </w:t>
      </w:r>
      <w:r w:rsidRPr="009E5F2B">
        <w:rPr>
          <w:rFonts w:ascii="Georgia Pro Cond" w:eastAsia="Times New Roman" w:hAnsi="Georgia Pro Cond" w:cs="Arial"/>
          <w:color w:val="222222"/>
          <w:sz w:val="21"/>
          <w:szCs w:val="21"/>
          <w:lang w:eastAsia="en-GB"/>
        </w:rPr>
        <w:t xml:space="preserve">Another Adelphi success was 'The Flying Dutchman; or the Phantom Ship,' </w:t>
      </w:r>
      <w:r w:rsidRPr="009E5F2B">
        <w:rPr>
          <w:rFonts w:ascii="Georgia Pro Cond" w:hAnsi="Georgia Pro Cond" w:cs="Arial"/>
          <w:color w:val="252525"/>
          <w:sz w:val="21"/>
          <w:szCs w:val="21"/>
          <w:shd w:val="clear" w:color="auto" w:fill="FFFFFF"/>
        </w:rPr>
        <w:t>a nautical drama in three acts, with music by George Rodwell. Written 1826, opened at the Adelphi Theatre London, 8 January 1827</w:t>
      </w:r>
      <w:r w:rsidRPr="009E5F2B">
        <w:rPr>
          <w:rFonts w:ascii="Georgia Pro Cond" w:eastAsia="Times New Roman" w:hAnsi="Georgia Pro Cond" w:cs="Arial"/>
          <w:color w:val="222222"/>
          <w:sz w:val="21"/>
          <w:szCs w:val="21"/>
          <w:lang w:eastAsia="en-GB"/>
        </w:rPr>
        <w:t>.</w:t>
      </w:r>
      <w:r w:rsidRPr="009B2BCF">
        <w:rPr>
          <w:rFonts w:ascii="Georgia Pro Cond" w:eastAsia="Times New Roman" w:hAnsi="Georgia Pro Cond" w:cs="Arial"/>
          <w:color w:val="222222"/>
          <w:sz w:val="21"/>
          <w:szCs w:val="21"/>
          <w:lang w:eastAsia="en-GB"/>
        </w:rPr>
        <w:t xml:space="preserve"> </w:t>
      </w:r>
      <w:r>
        <w:rPr>
          <w:rFonts w:ascii="Georgia Pro Cond" w:eastAsia="Times New Roman" w:hAnsi="Georgia Pro Cond" w:cs="Arial"/>
          <w:color w:val="222222"/>
          <w:sz w:val="21"/>
          <w:szCs w:val="21"/>
          <w:lang w:eastAsia="en-GB"/>
        </w:rPr>
        <w:t>His penchant for gothic stage effects earned him the nickname “Blue-fire Fitzball”.</w:t>
      </w:r>
    </w:p>
    <w:p w14:paraId="74D6EF0C" w14:textId="77777777" w:rsidR="00B26A92" w:rsidRDefault="00B26A92" w:rsidP="007556B6">
      <w:pPr>
        <w:jc w:val="both"/>
        <w:rPr>
          <w:rFonts w:ascii="Georgia Pro Cond" w:hAnsi="Georgia Pro Cond"/>
          <w:b/>
          <w:sz w:val="24"/>
        </w:rPr>
      </w:pPr>
    </w:p>
    <w:p w14:paraId="17853238" w14:textId="5F7C634F" w:rsidR="00360C08" w:rsidRDefault="004E3EA1" w:rsidP="007556B6">
      <w:pPr>
        <w:jc w:val="both"/>
        <w:rPr>
          <w:rFonts w:ascii="Georgia Pro Cond" w:hAnsi="Georgia Pro Cond"/>
          <w:b/>
          <w:sz w:val="24"/>
        </w:rPr>
      </w:pPr>
      <w:r>
        <w:rPr>
          <w:rFonts w:ascii="Georgia Pro Cond" w:hAnsi="Georgia Pro Cond"/>
          <w:b/>
          <w:sz w:val="24"/>
        </w:rPr>
        <w:t xml:space="preserve">C19th </w:t>
      </w:r>
      <w:r w:rsidR="00360C08">
        <w:rPr>
          <w:rFonts w:ascii="Georgia Pro Cond" w:hAnsi="Georgia Pro Cond"/>
          <w:b/>
          <w:sz w:val="24"/>
        </w:rPr>
        <w:t>Adaptations and Transformations:</w:t>
      </w:r>
    </w:p>
    <w:p w14:paraId="5A502D7E" w14:textId="6ACE5883" w:rsidR="00220443" w:rsidRPr="00220443" w:rsidRDefault="004E3EA1" w:rsidP="007556B6">
      <w:pPr>
        <w:jc w:val="both"/>
        <w:rPr>
          <w:i/>
        </w:rPr>
      </w:pPr>
      <w:r>
        <w:rPr>
          <w:rFonts w:ascii="Georgia Pro Cond" w:hAnsi="Georgia Pro Cond"/>
          <w:sz w:val="24"/>
        </w:rPr>
        <w:t xml:space="preserve">These are just some of </w:t>
      </w:r>
      <w:r w:rsidR="007E24C5" w:rsidRPr="00360C08">
        <w:rPr>
          <w:rFonts w:ascii="Georgia Pro Cond" w:hAnsi="Georgia Pro Cond"/>
          <w:sz w:val="24"/>
        </w:rPr>
        <w:t xml:space="preserve">the </w:t>
      </w:r>
      <w:r w:rsidR="007E24C5" w:rsidRPr="00472400">
        <w:rPr>
          <w:rFonts w:ascii="Georgia Pro Cond" w:hAnsi="Georgia Pro Cond"/>
          <w:sz w:val="24"/>
          <w:u w:val="single"/>
        </w:rPr>
        <w:t>many</w:t>
      </w:r>
      <w:r w:rsidR="007E24C5" w:rsidRPr="00360C08">
        <w:rPr>
          <w:rFonts w:ascii="Georgia Pro Cond" w:hAnsi="Georgia Pro Cond"/>
          <w:sz w:val="24"/>
        </w:rPr>
        <w:t xml:space="preserve"> related dramas</w:t>
      </w:r>
      <w:r w:rsidR="002A2198" w:rsidRPr="00360C08">
        <w:rPr>
          <w:rFonts w:ascii="Georgia Pro Cond" w:hAnsi="Georgia Pro Cond"/>
          <w:sz w:val="24"/>
        </w:rPr>
        <w:t>, operas, novels, and tales</w:t>
      </w:r>
      <w:r w:rsidR="007E24C5" w:rsidRPr="00360C08">
        <w:rPr>
          <w:rFonts w:ascii="Georgia Pro Cond" w:hAnsi="Georgia Pro Cond"/>
          <w:sz w:val="24"/>
        </w:rPr>
        <w:t xml:space="preserve"> </w:t>
      </w:r>
      <w:r w:rsidR="00220443" w:rsidRPr="00360C08">
        <w:rPr>
          <w:rFonts w:ascii="Georgia Pro Cond" w:hAnsi="Georgia Pro Cond"/>
          <w:sz w:val="24"/>
        </w:rPr>
        <w:t xml:space="preserve">produced in the C19th around the Flying </w:t>
      </w:r>
      <w:r w:rsidR="00360C08">
        <w:rPr>
          <w:rFonts w:ascii="Georgia Pro Cond" w:hAnsi="Georgia Pro Cond"/>
          <w:sz w:val="24"/>
        </w:rPr>
        <w:t>D</w:t>
      </w:r>
      <w:r w:rsidR="00220443" w:rsidRPr="00360C08">
        <w:rPr>
          <w:rFonts w:ascii="Georgia Pro Cond" w:hAnsi="Georgia Pro Cond"/>
          <w:sz w:val="24"/>
        </w:rPr>
        <w:t xml:space="preserve">utchman or </w:t>
      </w:r>
      <w:r w:rsidR="00360C08" w:rsidRPr="00360C08">
        <w:rPr>
          <w:rFonts w:ascii="Georgia Pro Cond" w:hAnsi="Georgia Pro Cond"/>
          <w:sz w:val="24"/>
        </w:rPr>
        <w:t>Phantom</w:t>
      </w:r>
      <w:r w:rsidR="00220443" w:rsidRPr="00360C08">
        <w:rPr>
          <w:rFonts w:ascii="Georgia Pro Cond" w:hAnsi="Georgia Pro Cond"/>
          <w:sz w:val="24"/>
        </w:rPr>
        <w:t xml:space="preserve"> Ship Legend</w:t>
      </w:r>
      <w:r>
        <w:rPr>
          <w:rFonts w:ascii="Georgia Pro Cond" w:hAnsi="Georgia Pro Cond"/>
          <w:sz w:val="24"/>
        </w:rPr>
        <w:t>, which continued across the C20th and into the C21st</w:t>
      </w:r>
      <w:r w:rsidR="00360C08">
        <w:rPr>
          <w:rFonts w:ascii="Georgia Pro Cond" w:hAnsi="Georgia Pro Cond"/>
          <w:sz w:val="24"/>
        </w:rPr>
        <w:t>:</w:t>
      </w:r>
    </w:p>
    <w:p w14:paraId="3153AE67" w14:textId="5E62A3CE" w:rsidR="00220443" w:rsidRPr="00220443" w:rsidRDefault="007F0D02" w:rsidP="00220443">
      <w:pPr>
        <w:rPr>
          <w:rFonts w:ascii="Georgia Pro Cond" w:hAnsi="Georgia Pro Cond"/>
        </w:rPr>
      </w:pPr>
      <w:hyperlink r:id="rId11" w:history="1">
        <w:r w:rsidR="00220443" w:rsidRPr="00DC7C91">
          <w:rPr>
            <w:rStyle w:val="Hyperlink"/>
            <w:rFonts w:ascii="Georgia Pro Cond" w:hAnsi="Georgia Pro Cond"/>
            <w:i/>
          </w:rPr>
          <w:t>Vander decken; or, The Flying Dutchman. A legendary drama</w:t>
        </w:r>
      </w:hyperlink>
      <w:r w:rsidR="00220443" w:rsidRPr="00220443">
        <w:rPr>
          <w:rFonts w:ascii="Georgia Pro Cond" w:hAnsi="Georgia Pro Cond"/>
          <w:i/>
        </w:rPr>
        <w:t>,</w:t>
      </w:r>
      <w:r w:rsidR="00220443" w:rsidRPr="00220443">
        <w:rPr>
          <w:rFonts w:ascii="Georgia Pro Cond" w:hAnsi="Georgia Pro Cond"/>
        </w:rPr>
        <w:t xml:space="preserve"> in four acts, by Thomas Proclus Taylor, first performed at the City of London Theatre, 24 November 1846, in which the hero is named 'Philip' and the heroine 'Estelle</w:t>
      </w:r>
      <w:r w:rsidR="00220443">
        <w:rPr>
          <w:rFonts w:ascii="Georgia Pro Cond" w:hAnsi="Georgia Pro Cond"/>
        </w:rPr>
        <w:t>’ (</w:t>
      </w:r>
      <w:r w:rsidR="00BC7A1C">
        <w:rPr>
          <w:rFonts w:ascii="Georgia Pro Cond" w:hAnsi="Georgia Pro Cond"/>
        </w:rPr>
        <w:t xml:space="preserve">suggesting influences on Dickens’ </w:t>
      </w:r>
      <w:r w:rsidR="00BC7A1C">
        <w:rPr>
          <w:rFonts w:ascii="Georgia Pro Cond" w:hAnsi="Georgia Pro Cond"/>
          <w:i/>
        </w:rPr>
        <w:t>Great Expectations</w:t>
      </w:r>
      <w:r w:rsidR="00DC7C91" w:rsidRPr="00DC7C91">
        <w:rPr>
          <w:rFonts w:ascii="Georgia Pro Cond" w:hAnsi="Georgia Pro Cond"/>
        </w:rPr>
        <w:t>, 1861</w:t>
      </w:r>
      <w:r w:rsidR="00BC7A1C" w:rsidRPr="00DC7C91">
        <w:rPr>
          <w:rFonts w:ascii="Georgia Pro Cond" w:hAnsi="Georgia Pro Cond"/>
        </w:rPr>
        <w:t>)</w:t>
      </w:r>
      <w:r w:rsidR="00220443" w:rsidRPr="00220443">
        <w:rPr>
          <w:rFonts w:ascii="Georgia Pro Cond" w:hAnsi="Georgia Pro Cond"/>
        </w:rPr>
        <w:t xml:space="preserve"> </w:t>
      </w:r>
    </w:p>
    <w:p w14:paraId="56429BA6" w14:textId="3442747D" w:rsidR="00220443" w:rsidRPr="00220443" w:rsidRDefault="007F0D02" w:rsidP="00220443">
      <w:pPr>
        <w:rPr>
          <w:rFonts w:ascii="Georgia Pro Cond" w:hAnsi="Georgia Pro Cond"/>
        </w:rPr>
      </w:pPr>
      <w:hyperlink r:id="rId12" w:history="1">
        <w:r w:rsidR="00220443" w:rsidRPr="002A2198">
          <w:rPr>
            <w:rStyle w:val="Hyperlink"/>
            <w:rFonts w:ascii="Georgia Pro Cond" w:hAnsi="Georgia Pro Cond"/>
            <w:i/>
          </w:rPr>
          <w:t>The Flying Dutchman</w:t>
        </w:r>
      </w:hyperlink>
      <w:r w:rsidR="00F02E10">
        <w:rPr>
          <w:rFonts w:ascii="Georgia Pro Cond" w:hAnsi="Georgia Pro Cond"/>
        </w:rPr>
        <w:t xml:space="preserve"> </w:t>
      </w:r>
      <w:r w:rsidR="00F02E10" w:rsidRPr="00220443">
        <w:rPr>
          <w:rFonts w:ascii="Georgia Pro Cond" w:hAnsi="Georgia Pro Cond"/>
        </w:rPr>
        <w:t>(</w:t>
      </w:r>
      <w:r w:rsidR="00F02E10" w:rsidRPr="00F02E10">
        <w:rPr>
          <w:rFonts w:ascii="Georgia Pro Cond" w:hAnsi="Georgia Pro Cond"/>
        </w:rPr>
        <w:t>1840</w:t>
      </w:r>
      <w:r w:rsidR="00F02E10" w:rsidRPr="00220443">
        <w:rPr>
          <w:rFonts w:ascii="Georgia Pro Cond" w:hAnsi="Georgia Pro Cond"/>
        </w:rPr>
        <w:t>)</w:t>
      </w:r>
      <w:r w:rsidR="00F02E10">
        <w:rPr>
          <w:rFonts w:ascii="Georgia Pro Cond" w:hAnsi="Georgia Pro Cond"/>
        </w:rPr>
        <w:t xml:space="preserve"> </w:t>
      </w:r>
      <w:r w:rsidR="00634D22">
        <w:rPr>
          <w:rFonts w:ascii="Georgia Pro Cond" w:hAnsi="Georgia Pro Cond"/>
        </w:rPr>
        <w:t xml:space="preserve">a play </w:t>
      </w:r>
      <w:r w:rsidR="00220443" w:rsidRPr="00220443">
        <w:rPr>
          <w:rFonts w:ascii="Georgia Pro Cond" w:hAnsi="Georgia Pro Cond"/>
        </w:rPr>
        <w:t>by </w:t>
      </w:r>
      <w:r w:rsidR="00220443" w:rsidRPr="00F02E10">
        <w:rPr>
          <w:rFonts w:ascii="Georgia Pro Cond" w:hAnsi="Georgia Pro Cond"/>
        </w:rPr>
        <w:t>W</w:t>
      </w:r>
      <w:r w:rsidR="00F02E10">
        <w:rPr>
          <w:rFonts w:ascii="Georgia Pro Cond" w:hAnsi="Georgia Pro Cond"/>
        </w:rPr>
        <w:t>illiam</w:t>
      </w:r>
      <w:r w:rsidR="00220443" w:rsidRPr="00F02E10">
        <w:rPr>
          <w:rFonts w:ascii="Georgia Pro Cond" w:hAnsi="Georgia Pro Cond"/>
        </w:rPr>
        <w:t xml:space="preserve"> Johnson </w:t>
      </w:r>
      <w:r w:rsidR="00F02E10" w:rsidRPr="00F02E10">
        <w:rPr>
          <w:rFonts w:ascii="Georgia Pro Cond" w:hAnsi="Georgia Pro Cond"/>
        </w:rPr>
        <w:t xml:space="preserve">Neale, </w:t>
      </w:r>
      <w:r w:rsidR="00F02E10">
        <w:rPr>
          <w:rFonts w:ascii="Georgia Pro Cond" w:hAnsi="Georgia Pro Cond"/>
        </w:rPr>
        <w:t>[</w:t>
      </w:r>
      <w:r w:rsidR="00220443" w:rsidRPr="00F02E10">
        <w:rPr>
          <w:rFonts w:ascii="Georgia Pro Cond" w:hAnsi="Georgia Pro Cond"/>
        </w:rPr>
        <w:t>1812-1893</w:t>
      </w:r>
      <w:r w:rsidR="00F02E10">
        <w:rPr>
          <w:rFonts w:ascii="Georgia Pro Cond" w:hAnsi="Georgia Pro Cond"/>
        </w:rPr>
        <w:t>]</w:t>
      </w:r>
      <w:r w:rsidR="00220443" w:rsidRPr="00220443">
        <w:rPr>
          <w:rFonts w:ascii="Georgia Pro Cond" w:hAnsi="Georgia Pro Cond"/>
        </w:rPr>
        <w:t xml:space="preserve">; </w:t>
      </w:r>
    </w:p>
    <w:p w14:paraId="34DAF423" w14:textId="27DDB1E2" w:rsidR="002A2198" w:rsidRDefault="007F0D02" w:rsidP="002A2198">
      <w:pPr>
        <w:rPr>
          <w:rFonts w:ascii="Georgia Pro Cond" w:hAnsi="Georgia Pro Cond"/>
        </w:rPr>
      </w:pPr>
      <w:hyperlink r:id="rId13" w:history="1">
        <w:r w:rsidR="002A2198" w:rsidRPr="00906D55">
          <w:rPr>
            <w:rStyle w:val="Hyperlink"/>
            <w:rFonts w:ascii="Georgia Pro Cond" w:hAnsi="Georgia Pro Cond"/>
          </w:rPr>
          <w:t>The Flying Dutchman: Romantic Opera in Three Acts</w:t>
        </w:r>
      </w:hyperlink>
      <w:r w:rsidR="002A2198">
        <w:rPr>
          <w:rFonts w:ascii="Georgia Pro Cond" w:hAnsi="Georgia Pro Cond"/>
        </w:rPr>
        <w:t xml:space="preserve"> </w:t>
      </w:r>
      <w:r w:rsidR="00906D55">
        <w:rPr>
          <w:rFonts w:ascii="Georgia Pro Cond" w:hAnsi="Georgia Pro Cond"/>
        </w:rPr>
        <w:t xml:space="preserve">(1843) </w:t>
      </w:r>
      <w:r w:rsidR="002A2198" w:rsidRPr="00220443">
        <w:rPr>
          <w:rFonts w:ascii="Georgia Pro Cond" w:hAnsi="Georgia Pro Cond"/>
        </w:rPr>
        <w:t>by </w:t>
      </w:r>
      <w:r w:rsidR="002A2198" w:rsidRPr="00906D55">
        <w:rPr>
          <w:rFonts w:ascii="Georgia Pro Cond" w:hAnsi="Georgia Pro Cond"/>
        </w:rPr>
        <w:t>Richard Wagner</w:t>
      </w:r>
      <w:r w:rsidR="00906D55">
        <w:rPr>
          <w:rFonts w:ascii="Georgia Pro Cond" w:hAnsi="Georgia Pro Cond"/>
        </w:rPr>
        <w:t>. Translated in 1876</w:t>
      </w:r>
      <w:r w:rsidR="002A2198" w:rsidRPr="00220443">
        <w:rPr>
          <w:rFonts w:ascii="Georgia Pro Cond" w:hAnsi="Georgia Pro Cond"/>
        </w:rPr>
        <w:t xml:space="preserve"> </w:t>
      </w:r>
    </w:p>
    <w:p w14:paraId="7EFDF724" w14:textId="7DE413B1" w:rsidR="00FA0875" w:rsidRPr="00FA0875" w:rsidRDefault="007F0D02" w:rsidP="002A2198">
      <w:pPr>
        <w:rPr>
          <w:rFonts w:ascii="Georgia Pro Cond" w:hAnsi="Georgia Pro Cond"/>
        </w:rPr>
      </w:pPr>
      <w:hyperlink r:id="rId14" w:history="1">
        <w:r w:rsidR="00FA0875" w:rsidRPr="005C0B8C">
          <w:rPr>
            <w:rStyle w:val="Hyperlink"/>
            <w:rFonts w:ascii="Georgia Pro Cond" w:hAnsi="Georgia Pro Cond"/>
            <w:i/>
          </w:rPr>
          <w:t>The Phantom Ship</w:t>
        </w:r>
      </w:hyperlink>
      <w:r w:rsidR="005C0B8C">
        <w:rPr>
          <w:rFonts w:ascii="Georgia Pro Cond" w:hAnsi="Georgia Pro Cond"/>
          <w:i/>
        </w:rPr>
        <w:t xml:space="preserve"> </w:t>
      </w:r>
      <w:r w:rsidR="005C0B8C">
        <w:rPr>
          <w:rFonts w:ascii="Georgia Pro Cond" w:hAnsi="Georgia Pro Cond"/>
        </w:rPr>
        <w:t>(1839)</w:t>
      </w:r>
      <w:r w:rsidR="00FA0875">
        <w:rPr>
          <w:rFonts w:ascii="Georgia Pro Cond" w:hAnsi="Georgia Pro Cond"/>
          <w:i/>
        </w:rPr>
        <w:t xml:space="preserve"> </w:t>
      </w:r>
      <w:r w:rsidR="00FA0875">
        <w:rPr>
          <w:rFonts w:ascii="Georgia Pro Cond" w:hAnsi="Georgia Pro Cond"/>
        </w:rPr>
        <w:t>a novel by Frederick Marryat</w:t>
      </w:r>
      <w:r w:rsidR="005C0B8C">
        <w:rPr>
          <w:rFonts w:ascii="Georgia Pro Cond" w:hAnsi="Georgia Pro Cond"/>
        </w:rPr>
        <w:t xml:space="preserve"> </w:t>
      </w:r>
    </w:p>
    <w:p w14:paraId="2147C911" w14:textId="467D467C" w:rsidR="00220443" w:rsidRPr="00220443" w:rsidRDefault="007F0D02" w:rsidP="00220443">
      <w:pPr>
        <w:rPr>
          <w:rFonts w:ascii="Georgia Pro Cond" w:hAnsi="Georgia Pro Cond"/>
        </w:rPr>
      </w:pPr>
      <w:hyperlink r:id="rId15" w:history="1">
        <w:r w:rsidR="00220443" w:rsidRPr="002A2198">
          <w:rPr>
            <w:rStyle w:val="Hyperlink"/>
            <w:rFonts w:ascii="Georgia Pro Cond" w:hAnsi="Georgia Pro Cond"/>
            <w:i/>
          </w:rPr>
          <w:t>The death ship, a strange story;</w:t>
        </w:r>
      </w:hyperlink>
      <w:r w:rsidR="00220443" w:rsidRPr="002A2198">
        <w:rPr>
          <w:rFonts w:ascii="Georgia Pro Cond" w:hAnsi="Georgia Pro Cond"/>
          <w:i/>
        </w:rPr>
        <w:t xml:space="preserve"> an account of a cruise in "The Flying Dutchman," collected from the papers of the late Mr. Geoffrey Fenton, of Poplar, master mariner</w:t>
      </w:r>
      <w:r w:rsidR="002A2198">
        <w:rPr>
          <w:rFonts w:ascii="Georgia Pro Cond" w:hAnsi="Georgia Pro Cond"/>
          <w:i/>
        </w:rPr>
        <w:t>,</w:t>
      </w:r>
      <w:r w:rsidR="002A2198">
        <w:rPr>
          <w:rFonts w:ascii="Georgia Pro Cond" w:hAnsi="Georgia Pro Cond"/>
        </w:rPr>
        <w:t xml:space="preserve"> (</w:t>
      </w:r>
      <w:r w:rsidR="002A2198" w:rsidRPr="002A2198">
        <w:rPr>
          <w:rFonts w:ascii="Georgia Pro Cond" w:hAnsi="Georgia Pro Cond"/>
        </w:rPr>
        <w:t>1888</w:t>
      </w:r>
      <w:r w:rsidR="002A2198">
        <w:rPr>
          <w:rFonts w:ascii="Georgia Pro Cond" w:hAnsi="Georgia Pro Cond"/>
        </w:rPr>
        <w:t xml:space="preserve">) </w:t>
      </w:r>
      <w:r w:rsidR="00220443" w:rsidRPr="00220443">
        <w:rPr>
          <w:rFonts w:ascii="Georgia Pro Cond" w:hAnsi="Georgia Pro Cond"/>
        </w:rPr>
        <w:t>by </w:t>
      </w:r>
      <w:r w:rsidR="002A2198" w:rsidRPr="002A2198">
        <w:rPr>
          <w:rFonts w:ascii="Georgia Pro Cond" w:hAnsi="Georgia Pro Cond"/>
        </w:rPr>
        <w:t xml:space="preserve">William Clark </w:t>
      </w:r>
      <w:r w:rsidR="00220443" w:rsidRPr="002A2198">
        <w:rPr>
          <w:rFonts w:ascii="Georgia Pro Cond" w:hAnsi="Georgia Pro Cond"/>
        </w:rPr>
        <w:t xml:space="preserve">Russell, </w:t>
      </w:r>
      <w:r w:rsidR="002A2198">
        <w:rPr>
          <w:rFonts w:ascii="Georgia Pro Cond" w:hAnsi="Georgia Pro Cond"/>
        </w:rPr>
        <w:t>[</w:t>
      </w:r>
      <w:r w:rsidR="00220443" w:rsidRPr="002A2198">
        <w:rPr>
          <w:rFonts w:ascii="Georgia Pro Cond" w:hAnsi="Georgia Pro Cond"/>
        </w:rPr>
        <w:t>1844-1911</w:t>
      </w:r>
      <w:r w:rsidR="002A2198">
        <w:rPr>
          <w:rFonts w:ascii="Georgia Pro Cond" w:hAnsi="Georgia Pro Cond"/>
        </w:rPr>
        <w:t>]</w:t>
      </w:r>
    </w:p>
    <w:p w14:paraId="0EBB9E42" w14:textId="77777777" w:rsidR="005C0B8C" w:rsidRDefault="005C0B8C" w:rsidP="00220443">
      <w:pPr>
        <w:rPr>
          <w:rFonts w:ascii="Georgia Pro Cond" w:hAnsi="Georgia Pro Cond"/>
          <w:b/>
        </w:rPr>
      </w:pPr>
    </w:p>
    <w:p w14:paraId="0B2E3F87" w14:textId="25CB990F" w:rsidR="00220443" w:rsidRPr="005C0B8C" w:rsidRDefault="001C3DC6" w:rsidP="00220443">
      <w:pPr>
        <w:rPr>
          <w:rFonts w:ascii="Georgia Pro Cond" w:hAnsi="Georgia Pro Cond"/>
          <w:b/>
        </w:rPr>
      </w:pPr>
      <w:r w:rsidRPr="005C0B8C">
        <w:rPr>
          <w:rFonts w:ascii="Georgia Pro Cond" w:hAnsi="Georgia Pro Cond"/>
          <w:b/>
        </w:rPr>
        <w:t>Some extra secondary:</w:t>
      </w:r>
    </w:p>
    <w:p w14:paraId="632BC1CD" w14:textId="77777777" w:rsidR="00754191" w:rsidRPr="005C0B8C" w:rsidRDefault="00754191" w:rsidP="00754191">
      <w:pPr>
        <w:pStyle w:val="author"/>
        <w:spacing w:before="0" w:beforeAutospacing="0" w:after="0" w:afterAutospacing="0" w:line="270" w:lineRule="atLeast"/>
        <w:textAlignment w:val="baseline"/>
        <w:rPr>
          <w:rFonts w:ascii="Georgia Pro Cond" w:hAnsi="Georgia Pro Cond" w:cs="Helvetica"/>
          <w:sz w:val="22"/>
          <w:szCs w:val="22"/>
        </w:rPr>
      </w:pPr>
      <w:r w:rsidRPr="00754191">
        <w:rPr>
          <w:rStyle w:val="Hyperlink"/>
          <w:rFonts w:ascii="Georgia Pro Cond" w:hAnsi="Georgia Pro Cond" w:cs="Helvetica"/>
          <w:color w:val="auto"/>
          <w:sz w:val="22"/>
          <w:szCs w:val="22"/>
          <w:u w:val="none"/>
          <w:bdr w:val="none" w:sz="0" w:space="0" w:color="auto" w:frame="1"/>
        </w:rPr>
        <w:t>Cruz</w:t>
      </w:r>
      <w:r w:rsidRPr="005C0B8C">
        <w:rPr>
          <w:rFonts w:ascii="Georgia Pro Cond" w:hAnsi="Georgia Pro Cond" w:cs="Helvetica"/>
          <w:sz w:val="22"/>
          <w:szCs w:val="22"/>
        </w:rPr>
        <w:t>,</w:t>
      </w:r>
      <w:r w:rsidRPr="00791D1F">
        <w:t xml:space="preserve"> </w:t>
      </w:r>
      <w:r w:rsidRPr="00791D1F">
        <w:rPr>
          <w:rFonts w:ascii="Georgia Pro Cond" w:hAnsi="Georgia Pro Cond" w:cs="Helvetica"/>
          <w:sz w:val="22"/>
          <w:szCs w:val="22"/>
        </w:rPr>
        <w:t>Gabriela</w:t>
      </w:r>
      <w:r>
        <w:rPr>
          <w:rFonts w:ascii="Georgia Pro Cond" w:hAnsi="Georgia Pro Cond" w:cs="Helvetica"/>
          <w:sz w:val="22"/>
          <w:szCs w:val="22"/>
        </w:rPr>
        <w:t>,</w:t>
      </w:r>
      <w:r w:rsidRPr="00791D1F">
        <w:rPr>
          <w:rFonts w:ascii="Georgia Pro Cond" w:hAnsi="Georgia Pro Cond" w:cs="Helvetica"/>
          <w:sz w:val="22"/>
          <w:szCs w:val="22"/>
        </w:rPr>
        <w:t xml:space="preserve"> </w:t>
      </w:r>
      <w:r>
        <w:rPr>
          <w:rFonts w:ascii="Georgia Pro Cond" w:hAnsi="Georgia Pro Cond" w:cs="Helvetica"/>
          <w:sz w:val="22"/>
          <w:szCs w:val="22"/>
        </w:rPr>
        <w:t>“</w:t>
      </w:r>
      <w:r w:rsidRPr="005C0B8C">
        <w:rPr>
          <w:rFonts w:ascii="Georgia Pro Cond" w:hAnsi="Georgia Pro Cond" w:cs="Helvetica"/>
          <w:sz w:val="22"/>
          <w:szCs w:val="22"/>
        </w:rPr>
        <w:t>The Flying Dutchman, English Spectacle and the Remediation of Grand Opera</w:t>
      </w:r>
      <w:r>
        <w:rPr>
          <w:rFonts w:ascii="Georgia Pro Cond" w:hAnsi="Georgia Pro Cond" w:cs="Helvetica"/>
          <w:sz w:val="22"/>
          <w:szCs w:val="22"/>
        </w:rPr>
        <w:t xml:space="preserve">” </w:t>
      </w:r>
      <w:r w:rsidRPr="00791D1F">
        <w:rPr>
          <w:rStyle w:val="Hyperlink"/>
          <w:rFonts w:ascii="Georgia Pro Cond" w:hAnsi="Georgia Pro Cond" w:cs="Helvetica"/>
          <w:bCs/>
          <w:color w:val="auto"/>
          <w:sz w:val="22"/>
          <w:szCs w:val="22"/>
          <w:u w:val="none"/>
          <w:bdr w:val="none" w:sz="0" w:space="0" w:color="auto" w:frame="1"/>
        </w:rPr>
        <w:t>29</w:t>
      </w:r>
      <w:r w:rsidRPr="00791D1F">
        <w:rPr>
          <w:rFonts w:ascii="Georgia Pro Cond" w:hAnsi="Georgia Pro Cond" w:cs="Helvetica"/>
          <w:bCs/>
          <w:sz w:val="22"/>
          <w:szCs w:val="22"/>
        </w:rPr>
        <w:t xml:space="preserve">:1 </w:t>
      </w:r>
      <w:r w:rsidRPr="00791D1F">
        <w:rPr>
          <w:rStyle w:val="Hyperlink"/>
          <w:rFonts w:ascii="Georgia Pro Cond" w:hAnsi="Georgia Pro Cond" w:cs="Helvetica"/>
          <w:bCs/>
          <w:i/>
          <w:color w:val="auto"/>
          <w:sz w:val="22"/>
          <w:szCs w:val="22"/>
          <w:u w:val="none"/>
          <w:bdr w:val="none" w:sz="0" w:space="0" w:color="auto" w:frame="1"/>
        </w:rPr>
        <w:t>Nineteenth-Century Grand Opéra on the Move,</w:t>
      </w:r>
      <w:r w:rsidRPr="005C0B8C">
        <w:rPr>
          <w:rFonts w:ascii="Georgia Pro Cond" w:hAnsi="Georgia Pro Cond" w:cs="Helvetica"/>
          <w:b/>
          <w:bCs/>
          <w:sz w:val="22"/>
          <w:szCs w:val="22"/>
        </w:rPr>
        <w:t xml:space="preserve"> </w:t>
      </w:r>
      <w:r w:rsidRPr="005C0B8C">
        <w:rPr>
          <w:rStyle w:val="Date1"/>
          <w:rFonts w:ascii="Georgia Pro Cond" w:hAnsi="Georgia Pro Cond" w:cs="Helvetica"/>
          <w:sz w:val="22"/>
          <w:szCs w:val="22"/>
          <w:bdr w:val="none" w:sz="0" w:space="0" w:color="auto" w:frame="1"/>
        </w:rPr>
        <w:t xml:space="preserve">March </w:t>
      </w:r>
      <w:proofErr w:type="gramStart"/>
      <w:r w:rsidRPr="005C0B8C">
        <w:rPr>
          <w:rStyle w:val="Date1"/>
          <w:rFonts w:ascii="Georgia Pro Cond" w:hAnsi="Georgia Pro Cond" w:cs="Helvetica"/>
          <w:sz w:val="22"/>
          <w:szCs w:val="22"/>
          <w:bdr w:val="none" w:sz="0" w:space="0" w:color="auto" w:frame="1"/>
        </w:rPr>
        <w:t>2017</w:t>
      </w:r>
      <w:r w:rsidRPr="005C0B8C">
        <w:rPr>
          <w:rFonts w:ascii="Georgia Pro Cond" w:hAnsi="Georgia Pro Cond" w:cs="Helvetica"/>
          <w:sz w:val="22"/>
          <w:szCs w:val="22"/>
        </w:rPr>
        <w:t> </w:t>
      </w:r>
      <w:r w:rsidRPr="005C0B8C">
        <w:rPr>
          <w:rStyle w:val="Date1"/>
          <w:rFonts w:ascii="Georgia Pro Cond" w:hAnsi="Georgia Pro Cond" w:cs="Helvetica"/>
          <w:sz w:val="22"/>
          <w:szCs w:val="22"/>
          <w:bdr w:val="none" w:sz="0" w:space="0" w:color="auto" w:frame="1"/>
        </w:rPr>
        <w:t>,</w:t>
      </w:r>
      <w:proofErr w:type="gramEnd"/>
      <w:r w:rsidRPr="005C0B8C">
        <w:rPr>
          <w:rStyle w:val="Date1"/>
          <w:rFonts w:ascii="Georgia Pro Cond" w:hAnsi="Georgia Pro Cond" w:cs="Helvetica"/>
          <w:sz w:val="22"/>
          <w:szCs w:val="22"/>
          <w:bdr w:val="none" w:sz="0" w:space="0" w:color="auto" w:frame="1"/>
        </w:rPr>
        <w:t xml:space="preserve"> pp. 5-32</w:t>
      </w:r>
      <w:r>
        <w:rPr>
          <w:rStyle w:val="Date1"/>
          <w:rFonts w:ascii="Georgia Pro Cond" w:hAnsi="Georgia Pro Cond" w:cs="Helvetica"/>
          <w:sz w:val="22"/>
          <w:szCs w:val="22"/>
          <w:bdr w:val="none" w:sz="0" w:space="0" w:color="auto" w:frame="1"/>
        </w:rPr>
        <w:t>.</w:t>
      </w:r>
    </w:p>
    <w:p w14:paraId="1D506C24" w14:textId="77777777" w:rsidR="00754191" w:rsidRDefault="00754191" w:rsidP="001C3DC6">
      <w:pPr>
        <w:spacing w:after="0" w:line="240" w:lineRule="auto"/>
        <w:rPr>
          <w:rFonts w:ascii="Georgia Pro Cond" w:hAnsi="Georgia Pro Cond"/>
          <w:shd w:val="clear" w:color="auto" w:fill="FFFFFF"/>
        </w:rPr>
      </w:pPr>
    </w:p>
    <w:p w14:paraId="292F0AF8" w14:textId="77777777" w:rsidR="007E5586" w:rsidRPr="00754191" w:rsidRDefault="007E5586" w:rsidP="007E5586">
      <w:pPr>
        <w:rPr>
          <w:rFonts w:ascii="Georgia Pro Cond" w:hAnsi="Georgia Pro Cond" w:cs="Arial"/>
          <w:i/>
        </w:rPr>
      </w:pPr>
      <w:r w:rsidRPr="00754191">
        <w:rPr>
          <w:rStyle w:val="addmd"/>
          <w:rFonts w:ascii="Georgia Pro Cond" w:hAnsi="Georgia Pro Cond" w:cs="Arial"/>
          <w:shd w:val="clear" w:color="auto" w:fill="FFFFFF"/>
        </w:rPr>
        <w:t>Kabatchnik</w:t>
      </w:r>
      <w:r>
        <w:rPr>
          <w:rStyle w:val="addmd"/>
          <w:rFonts w:ascii="Georgia Pro Cond" w:hAnsi="Georgia Pro Cond" w:cs="Arial"/>
          <w:shd w:val="clear" w:color="auto" w:fill="FFFFFF"/>
        </w:rPr>
        <w:t>,</w:t>
      </w:r>
      <w:r w:rsidRPr="00754191">
        <w:rPr>
          <w:rStyle w:val="addmd"/>
          <w:rFonts w:ascii="Georgia Pro Cond" w:hAnsi="Georgia Pro Cond" w:cs="Arial"/>
          <w:shd w:val="clear" w:color="auto" w:fill="FFFFFF"/>
        </w:rPr>
        <w:t xml:space="preserve"> Amnon</w:t>
      </w:r>
      <w:r>
        <w:rPr>
          <w:rStyle w:val="addmd"/>
          <w:rFonts w:ascii="Georgia Pro Cond" w:hAnsi="Georgia Pro Cond" w:cs="Arial"/>
          <w:shd w:val="clear" w:color="auto" w:fill="FFFFFF"/>
        </w:rPr>
        <w:t xml:space="preserve">, </w:t>
      </w:r>
      <w:r w:rsidRPr="00754191">
        <w:rPr>
          <w:rFonts w:ascii="Georgia Pro Cond" w:hAnsi="Georgia Pro Cond" w:cs="Arial"/>
          <w:i/>
        </w:rPr>
        <w:t>Blood on the Stage, 1800 to 1900: Milestone Plays of Murder, Mystery, and Mayhem</w:t>
      </w:r>
      <w:r>
        <w:rPr>
          <w:rFonts w:ascii="Georgia Pro Cond" w:hAnsi="Georgia Pro Cond" w:cs="Arial"/>
          <w:i/>
        </w:rPr>
        <w:t xml:space="preserve">, </w:t>
      </w:r>
      <w:r>
        <w:rPr>
          <w:rFonts w:ascii="Georgia Pro Cond" w:hAnsi="Georgia Pro Cond" w:cs="Arial"/>
        </w:rPr>
        <w:t xml:space="preserve">Rowman and Littlefield, 2017. </w:t>
      </w:r>
      <w:hyperlink r:id="rId16" w:anchor="v=onepage&amp;q&amp;f=false" w:history="1">
        <w:r w:rsidRPr="007E5586">
          <w:rPr>
            <w:rStyle w:val="Hyperlink"/>
            <w:rFonts w:ascii="Georgia Pro Cond" w:hAnsi="Georgia Pro Cond" w:cs="Arial"/>
          </w:rPr>
          <w:t>Link to preview here</w:t>
        </w:r>
      </w:hyperlink>
      <w:r w:rsidRPr="00754191">
        <w:rPr>
          <w:rStyle w:val="addmd"/>
          <w:rFonts w:ascii="Georgia Pro Cond" w:hAnsi="Georgia Pro Cond" w:cs="Arial"/>
          <w:shd w:val="clear" w:color="auto" w:fill="FFFFFF"/>
        </w:rPr>
        <w:t xml:space="preserve"> [This book is a collection of other melodramas of the century]</w:t>
      </w:r>
    </w:p>
    <w:p w14:paraId="12BDC143" w14:textId="77777777" w:rsidR="00754191" w:rsidRPr="00B357FF" w:rsidRDefault="00754191" w:rsidP="00754191">
      <w:pPr>
        <w:rPr>
          <w:rFonts w:ascii="Georgia Pro Cond" w:hAnsi="Georgia Pro Cond"/>
        </w:rPr>
      </w:pPr>
      <w:r>
        <w:rPr>
          <w:rFonts w:ascii="Georgia Pro Cond" w:hAnsi="Georgia Pro Cond"/>
        </w:rPr>
        <w:t xml:space="preserve">Pisani, Michael V., </w:t>
      </w:r>
      <w:r w:rsidRPr="00B357FF">
        <w:rPr>
          <w:rFonts w:ascii="Georgia Pro Cond" w:hAnsi="Georgia Pro Cond"/>
          <w:i/>
        </w:rPr>
        <w:t>Music for the melodramatic theatre in nineteenth-century London &amp; New York</w:t>
      </w:r>
      <w:r>
        <w:rPr>
          <w:rFonts w:ascii="Georgia Pro Cond" w:hAnsi="Georgia Pro Cond"/>
          <w:i/>
        </w:rPr>
        <w:t xml:space="preserve">, </w:t>
      </w:r>
      <w:r>
        <w:rPr>
          <w:rFonts w:ascii="Georgia Pro Cond" w:hAnsi="Georgia Pro Cond"/>
        </w:rPr>
        <w:t>University of Iowa Press, 2014.</w:t>
      </w:r>
    </w:p>
    <w:p w14:paraId="25EDDB9E" w14:textId="77777777" w:rsidR="00754191" w:rsidRPr="00791D1F" w:rsidRDefault="00754191" w:rsidP="00754191">
      <w:pPr>
        <w:pStyle w:val="Heading1"/>
        <w:shd w:val="clear" w:color="auto" w:fill="FFFFFF"/>
        <w:spacing w:before="0" w:after="158"/>
        <w:rPr>
          <w:rFonts w:ascii="Georgia Pro Cond" w:hAnsi="Georgia Pro Cond" w:cs="Helvetica"/>
          <w:color w:val="auto"/>
          <w:sz w:val="22"/>
          <w:szCs w:val="22"/>
        </w:rPr>
      </w:pPr>
      <w:r w:rsidRPr="00BF171C">
        <w:rPr>
          <w:rStyle w:val="Hyperlink"/>
          <w:rFonts w:ascii="Georgia Pro Cond" w:hAnsi="Georgia Pro Cond" w:cs="Helvetica"/>
          <w:color w:val="auto"/>
          <w:sz w:val="22"/>
          <w:szCs w:val="22"/>
          <w:u w:val="none"/>
        </w:rPr>
        <w:t>Saglia, Diego</w:t>
      </w:r>
      <w:r w:rsidRPr="00791D1F">
        <w:rPr>
          <w:rStyle w:val="Hyperlink"/>
          <w:rFonts w:ascii="Georgia Pro Cond" w:hAnsi="Georgia Pro Cond" w:cs="Helvetica"/>
          <w:color w:val="auto"/>
          <w:sz w:val="22"/>
          <w:szCs w:val="22"/>
          <w:u w:val="none"/>
        </w:rPr>
        <w:t xml:space="preserve">, </w:t>
      </w:r>
      <w:r w:rsidRPr="00791D1F">
        <w:rPr>
          <w:rFonts w:ascii="Georgia Pro Cond" w:hAnsi="Georgia Pro Cond"/>
          <w:bCs/>
          <w:color w:val="auto"/>
          <w:sz w:val="22"/>
          <w:szCs w:val="22"/>
        </w:rPr>
        <w:t>“‘The Frighted Stage’: The Sensational Proliferation of Ghost Melodrama in the 1820s”</w:t>
      </w:r>
      <w:r w:rsidRPr="00791D1F">
        <w:rPr>
          <w:rStyle w:val="titleauthoretc"/>
          <w:rFonts w:ascii="Georgia Pro Cond" w:hAnsi="Georgia Pro Cond" w:cs="Helvetica"/>
          <w:color w:val="auto"/>
          <w:sz w:val="22"/>
          <w:szCs w:val="22"/>
        </w:rPr>
        <w:t>. </w:t>
      </w:r>
      <w:hyperlink r:id="rId17" w:tooltip="Click to search for more items from this journal" w:history="1">
        <w:r w:rsidRPr="00791D1F">
          <w:rPr>
            <w:rStyle w:val="Strong"/>
            <w:rFonts w:ascii="Georgia Pro Cond" w:hAnsi="Georgia Pro Cond" w:cs="Helvetica"/>
            <w:b w:val="0"/>
            <w:i/>
            <w:color w:val="auto"/>
            <w:sz w:val="22"/>
            <w:szCs w:val="22"/>
          </w:rPr>
          <w:t>Studies in Romanticism</w:t>
        </w:r>
      </w:hyperlink>
      <w:r w:rsidRPr="00791D1F">
        <w:rPr>
          <w:rStyle w:val="Strong"/>
          <w:rFonts w:ascii="Georgia Pro Cond" w:hAnsi="Georgia Pro Cond" w:cs="Helvetica"/>
          <w:color w:val="auto"/>
          <w:sz w:val="22"/>
          <w:szCs w:val="22"/>
        </w:rPr>
        <w:t xml:space="preserve">; </w:t>
      </w:r>
      <w:r w:rsidRPr="00791D1F">
        <w:rPr>
          <w:rStyle w:val="Hyperlink"/>
          <w:rFonts w:ascii="Georgia Pro Cond" w:hAnsi="Georgia Pro Cond" w:cs="Helvetica"/>
          <w:color w:val="auto"/>
          <w:sz w:val="22"/>
          <w:szCs w:val="22"/>
          <w:u w:val="none"/>
        </w:rPr>
        <w:t>54:2, </w:t>
      </w:r>
      <w:r w:rsidRPr="00791D1F">
        <w:rPr>
          <w:rStyle w:val="titleauthoretc"/>
          <w:rFonts w:ascii="Georgia Pro Cond" w:hAnsi="Georgia Pro Cond" w:cs="Helvetica"/>
          <w:color w:val="auto"/>
          <w:sz w:val="22"/>
          <w:szCs w:val="22"/>
        </w:rPr>
        <w:t>(Summer 2015): 269-293,</w:t>
      </w:r>
      <w:r>
        <w:rPr>
          <w:rStyle w:val="titleauthoretc"/>
          <w:rFonts w:ascii="Georgia Pro Cond" w:hAnsi="Georgia Pro Cond" w:cs="Helvetica"/>
          <w:color w:val="auto"/>
          <w:sz w:val="22"/>
          <w:szCs w:val="22"/>
        </w:rPr>
        <w:t xml:space="preserve"> </w:t>
      </w:r>
      <w:r w:rsidRPr="00791D1F">
        <w:rPr>
          <w:rStyle w:val="titleauthoretc"/>
          <w:rFonts w:ascii="Georgia Pro Cond" w:hAnsi="Georgia Pro Cond" w:cs="Helvetica"/>
          <w:color w:val="auto"/>
          <w:sz w:val="22"/>
          <w:szCs w:val="22"/>
        </w:rPr>
        <w:t>300.</w:t>
      </w:r>
      <w:r w:rsidRPr="00791D1F">
        <w:rPr>
          <w:rFonts w:ascii="Georgia Pro Cond" w:hAnsi="Georgia Pro Cond" w:cs="Helvetica"/>
          <w:color w:val="auto"/>
          <w:sz w:val="22"/>
          <w:szCs w:val="22"/>
        </w:rPr>
        <w:t xml:space="preserve"> </w:t>
      </w:r>
    </w:p>
    <w:p w14:paraId="3B087BD8" w14:textId="20B6BBD4" w:rsidR="001C3DC6" w:rsidRPr="00791D1F" w:rsidRDefault="001C3DC6" w:rsidP="001C3DC6">
      <w:pPr>
        <w:spacing w:after="0" w:line="240" w:lineRule="auto"/>
        <w:rPr>
          <w:rFonts w:ascii="Georgia Pro Cond" w:hAnsi="Georgia Pro Cond"/>
          <w:shd w:val="clear" w:color="auto" w:fill="FFFFFF"/>
        </w:rPr>
      </w:pPr>
      <w:r w:rsidRPr="00791D1F">
        <w:rPr>
          <w:rFonts w:ascii="Georgia Pro Cond" w:hAnsi="Georgia Pro Cond"/>
          <w:shd w:val="clear" w:color="auto" w:fill="FFFFFF"/>
        </w:rPr>
        <w:t>West, Gilian. "Dickens and the Flying Dutchman."</w:t>
      </w:r>
      <w:r w:rsidRPr="00791D1F">
        <w:rPr>
          <w:rFonts w:ascii="Georgia Pro Cond" w:hAnsi="Georgia Pro Cond"/>
          <w:i/>
          <w:iCs/>
          <w:shd w:val="clear" w:color="auto" w:fill="FFFFFF"/>
        </w:rPr>
        <w:t> The Dickensian</w:t>
      </w:r>
      <w:r w:rsidRPr="00791D1F">
        <w:rPr>
          <w:rFonts w:ascii="Georgia Pro Cond" w:hAnsi="Georgia Pro Cond"/>
          <w:shd w:val="clear" w:color="auto" w:fill="FFFFFF"/>
        </w:rPr>
        <w:t>, vol. 97, no. 453, 2001, pp. 43-62,6</w:t>
      </w:r>
      <w:r w:rsidRPr="00791D1F">
        <w:rPr>
          <w:rFonts w:ascii="Georgia Pro Cond" w:hAnsi="Georgia Pro Cond"/>
          <w:i/>
          <w:iCs/>
          <w:shd w:val="clear" w:color="auto" w:fill="FFFFFF"/>
        </w:rPr>
        <w:t>. ProQuest</w:t>
      </w:r>
      <w:r w:rsidRPr="00791D1F">
        <w:rPr>
          <w:rFonts w:ascii="Georgia Pro Cond" w:hAnsi="Georgia Pro Cond"/>
          <w:shd w:val="clear" w:color="auto" w:fill="FFFFFF"/>
        </w:rPr>
        <w:t xml:space="preserve">, </w:t>
      </w:r>
      <w:hyperlink r:id="rId18" w:history="1">
        <w:r w:rsidRPr="00791D1F">
          <w:rPr>
            <w:rStyle w:val="Hyperlink"/>
            <w:rFonts w:ascii="Georgia Pro Cond" w:hAnsi="Georgia Pro Cond"/>
            <w:color w:val="auto"/>
            <w:shd w:val="clear" w:color="auto" w:fill="FFFFFF"/>
          </w:rPr>
          <w:t>http://0-search.proquest.com.pugwash.lib.warwick.ac.uk/docview/993175316?accountid=14888</w:t>
        </w:r>
      </w:hyperlink>
      <w:r w:rsidRPr="00791D1F">
        <w:rPr>
          <w:rFonts w:ascii="Georgia Pro Cond" w:hAnsi="Georgia Pro Cond"/>
          <w:shd w:val="clear" w:color="auto" w:fill="FFFFFF"/>
        </w:rPr>
        <w:t>.</w:t>
      </w:r>
    </w:p>
    <w:p w14:paraId="4F83E6EF" w14:textId="77777777" w:rsidR="001C3DC6" w:rsidRPr="00791D1F" w:rsidRDefault="001C3DC6" w:rsidP="001C3DC6">
      <w:pPr>
        <w:spacing w:after="0" w:line="240" w:lineRule="auto"/>
        <w:rPr>
          <w:rFonts w:ascii="Georgia Pro Cond" w:hAnsi="Georgia Pro Cond" w:cs="Times New Roman"/>
        </w:rPr>
      </w:pPr>
    </w:p>
    <w:p w14:paraId="47CF66D4" w14:textId="77777777" w:rsidR="00B357FF" w:rsidRPr="00B357FF" w:rsidRDefault="00B357FF" w:rsidP="00B357FF">
      <w:pPr>
        <w:rPr>
          <w:rFonts w:ascii="Georgia Pro Cond" w:hAnsi="Georgia Pro Cond"/>
          <w:i/>
        </w:rPr>
      </w:pPr>
    </w:p>
    <w:p w14:paraId="493D2A75" w14:textId="77777777" w:rsidR="00220443" w:rsidRPr="00D543A6" w:rsidRDefault="00220443" w:rsidP="00220443">
      <w:pPr>
        <w:spacing w:after="0" w:line="240" w:lineRule="auto"/>
        <w:rPr>
          <w:rFonts w:ascii="Georgia Pro Cond" w:hAnsi="Georgia Pro Cond"/>
        </w:rPr>
      </w:pPr>
    </w:p>
    <w:p w14:paraId="5AEF81CE" w14:textId="77777777" w:rsidR="00220443" w:rsidRDefault="00220443" w:rsidP="007556B6">
      <w:pPr>
        <w:jc w:val="both"/>
      </w:pPr>
    </w:p>
    <w:p w14:paraId="7BDF8587" w14:textId="77777777" w:rsidR="00583790" w:rsidRDefault="00583790" w:rsidP="007556B6">
      <w:pPr>
        <w:jc w:val="both"/>
        <w:sectPr w:rsidR="00583790" w:rsidSect="00D67E00">
          <w:pgSz w:w="11906" w:h="16838"/>
          <w:pgMar w:top="851" w:right="991" w:bottom="568" w:left="993" w:header="708" w:footer="708" w:gutter="0"/>
          <w:cols w:space="708"/>
          <w:docGrid w:linePitch="360"/>
        </w:sectPr>
      </w:pPr>
    </w:p>
    <w:p w14:paraId="6561F83D" w14:textId="25EBE53C" w:rsidR="00583790" w:rsidRPr="00171B99" w:rsidRDefault="00583790" w:rsidP="00171B99">
      <w:pPr>
        <w:spacing w:line="240" w:lineRule="auto"/>
        <w:rPr>
          <w:sz w:val="24"/>
          <w:szCs w:val="24"/>
        </w:rPr>
        <w:sectPr w:rsidR="00583790" w:rsidRPr="00171B99" w:rsidSect="00583790">
          <w:pgSz w:w="16838" w:h="11906" w:orient="landscape"/>
          <w:pgMar w:top="992" w:right="567" w:bottom="567" w:left="851" w:header="709" w:footer="709" w:gutter="0"/>
          <w:cols w:space="708"/>
          <w:docGrid w:linePitch="360"/>
        </w:sectPr>
      </w:pPr>
      <w:r>
        <w:rPr>
          <w:noProof/>
          <w:lang w:eastAsia="en-GB"/>
        </w:rPr>
        <w:lastRenderedPageBreak/>
        <w:drawing>
          <wp:inline distT="0" distB="0" distL="0" distR="0" wp14:anchorId="7855030B" wp14:editId="3A59DD0C">
            <wp:extent cx="4238357" cy="6527570"/>
            <wp:effectExtent l="0" t="0" r="0" b="6985"/>
            <wp:docPr id="1" name="Picture 1" descr="https://ia801405.us.archive.org/BookReader/BookReaderImages.php?zip=/27/items/nightsatplayavi00cookgoog/nightsatplayavi00cookgoog_tif.zip&amp;file=nightsatplayavi00cookgoog_tif/nightsatplayavi00cookgoog_0386.tif&amp;scale=4&amp;rotat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a801405.us.archive.org/BookReader/BookReaderImages.php?zip=/27/items/nightsatplayavi00cookgoog/nightsatplayavi00cookgoog_tif.zip&amp;file=nightsatplayavi00cookgoog_tif/nightsatplayavi00cookgoog_0386.tif&amp;scale=4&amp;rotate=0"/>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5393" t="8287" b="8400"/>
                    <a:stretch/>
                  </pic:blipFill>
                  <pic:spPr bwMode="auto">
                    <a:xfrm>
                      <a:off x="0" y="0"/>
                      <a:ext cx="4244093" cy="6536405"/>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t xml:space="preserve"> </w:t>
      </w:r>
      <w:r>
        <w:rPr>
          <w:noProof/>
          <w:lang w:eastAsia="en-GB"/>
        </w:rPr>
        <w:drawing>
          <wp:inline distT="0" distB="0" distL="0" distR="0" wp14:anchorId="325A5F63" wp14:editId="4B7B8037">
            <wp:extent cx="4352226" cy="6517714"/>
            <wp:effectExtent l="0" t="0" r="0" b="0"/>
            <wp:docPr id="2" name="Picture 2" descr="https://ia801405.us.archive.org/BookReader/BookReaderImages.php?zip=/27/items/nightsatplayavi00cookgoog/nightsatplayavi00cookgoog_tif.zip&amp;file=nightsatplayavi00cookgoog_tif/nightsatplayavi00cookgoog_0387.tif&amp;scale=4&amp;rotat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a801405.us.archive.org/BookReader/BookReaderImages.php?zip=/27/items/nightsatplayavi00cookgoog/nightsatplayavi00cookgoog_tif.zip&amp;file=nightsatplayavi00cookgoog_tif/nightsatplayavi00cookgoog_0387.tif&amp;scale=4&amp;rotate=0"/>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824" t="8422" r="8542" b="8628"/>
                    <a:stretch/>
                  </pic:blipFill>
                  <pic:spPr bwMode="auto">
                    <a:xfrm>
                      <a:off x="0" y="0"/>
                      <a:ext cx="4361327" cy="6531344"/>
                    </a:xfrm>
                    <a:prstGeom prst="rect">
                      <a:avLst/>
                    </a:prstGeom>
                    <a:noFill/>
                    <a:ln>
                      <a:noFill/>
                    </a:ln>
                    <a:extLst>
                      <a:ext uri="{53640926-AAD7-44D8-BBD7-CCE9431645EC}">
                        <a14:shadowObscured xmlns:a14="http://schemas.microsoft.com/office/drawing/2010/main"/>
                      </a:ext>
                    </a:extLst>
                  </pic:spPr>
                </pic:pic>
              </a:graphicData>
            </a:graphic>
          </wp:inline>
        </w:drawing>
      </w:r>
      <w:r w:rsidR="00503225">
        <w:rPr>
          <w:noProof/>
          <w:lang w:eastAsia="en-GB"/>
        </w:rPr>
        <w:lastRenderedPageBreak/>
        <w:drawing>
          <wp:anchor distT="0" distB="0" distL="114300" distR="114300" simplePos="0" relativeHeight="251658240" behindDoc="0" locked="0" layoutInCell="1" allowOverlap="1" wp14:anchorId="17C28A86" wp14:editId="24BA3A1D">
            <wp:simplePos x="0" y="0"/>
            <wp:positionH relativeFrom="column">
              <wp:posOffset>4350488</wp:posOffset>
            </wp:positionH>
            <wp:positionV relativeFrom="paragraph">
              <wp:posOffset>-34777</wp:posOffset>
            </wp:positionV>
            <wp:extent cx="4592955" cy="2316480"/>
            <wp:effectExtent l="0" t="0" r="0" b="7620"/>
            <wp:wrapNone/>
            <wp:docPr id="4" name="Picture 4" descr="https://ia801405.us.archive.org/BookReader/BookReaderImages.php?zip=/27/items/nightsatplayavi00cookgoog/nightsatplayavi00cookgoog_tif.zip&amp;file=nightsatplayavi00cookgoog_tif/nightsatplayavi00cookgoog_0389.tif&amp;scale=4&amp;rotat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a801405.us.archive.org/BookReader/BookReaderImages.php?zip=/27/items/nightsatplayavi00cookgoog/nightsatplayavi00cookgoog_tif.zip&amp;file=nightsatplayavi00cookgoog_tif/nightsatplayavi00cookgoog_0389.tif&amp;scale=4&amp;rotate=0"/>
                    <pic:cNvPicPr>
                      <a:picLocks noChangeAspect="1" noChangeArrowheads="1"/>
                    </pic:cNvPicPr>
                  </pic:nvPicPr>
                  <pic:blipFill rotWithShape="1">
                    <a:blip r:embed="rId21">
                      <a:extLst>
                        <a:ext uri="{28A0092B-C50C-407E-A947-70E740481C1C}">
                          <a14:useLocalDpi xmlns:a14="http://schemas.microsoft.com/office/drawing/2010/main" val="0"/>
                        </a:ext>
                      </a:extLst>
                    </a:blip>
                    <a:srcRect l="6866" t="7236" r="12959" b="66908"/>
                    <a:stretch/>
                  </pic:blipFill>
                  <pic:spPr bwMode="auto">
                    <a:xfrm>
                      <a:off x="0" y="0"/>
                      <a:ext cx="4592955" cy="23164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362D84B9" wp14:editId="63470419">
            <wp:extent cx="4196005" cy="6368902"/>
            <wp:effectExtent l="0" t="0" r="0" b="0"/>
            <wp:docPr id="3" name="Picture 3" descr="https://ia801405.us.archive.org/BookReader/BookReaderImages.php?zip=/27/items/nightsatplayavi00cookgoog/nightsatplayavi00cookgoog_tif.zip&amp;file=nightsatplayavi00cookgoog_tif/nightsatplayavi00cookgoog_0388.tif&amp;scale=4&amp;rotat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a801405.us.archive.org/BookReader/BookReaderImages.php?zip=/27/items/nightsatplayavi00cookgoog/nightsatplayavi00cookgoog_tif.zip&amp;file=nightsatplayavi00cookgoog_tif/nightsatplayavi00cookgoog_0388.tif&amp;scale=4&amp;rotate=0"/>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3172" t="7473" b="8264"/>
                    <a:stretch/>
                  </pic:blipFill>
                  <pic:spPr bwMode="auto">
                    <a:xfrm>
                      <a:off x="0" y="0"/>
                      <a:ext cx="4202618" cy="6378939"/>
                    </a:xfrm>
                    <a:prstGeom prst="rect">
                      <a:avLst/>
                    </a:prstGeom>
                    <a:noFill/>
                    <a:ln>
                      <a:noFill/>
                    </a:ln>
                    <a:extLst>
                      <a:ext uri="{53640926-AAD7-44D8-BBD7-CCE9431645EC}">
                        <a14:shadowObscured xmlns:a14="http://schemas.microsoft.com/office/drawing/2010/main"/>
                      </a:ext>
                    </a:extLst>
                  </pic:spPr>
                </pic:pic>
              </a:graphicData>
            </a:graphic>
          </wp:inline>
        </w:drawing>
      </w:r>
      <w:bookmarkStart w:id="0" w:name="_GoBack"/>
      <w:bookmarkEnd w:id="0"/>
    </w:p>
    <w:p w14:paraId="2BD771D2" w14:textId="033661AE" w:rsidR="00F77A0F" w:rsidRDefault="00F77A0F" w:rsidP="002572F2">
      <w:pPr>
        <w:rPr>
          <w:rFonts w:ascii="Times New Roman" w:hAnsi="Times New Roman" w:cs="Times New Roman"/>
          <w:sz w:val="24"/>
        </w:rPr>
      </w:pPr>
    </w:p>
    <w:p w14:paraId="584E0243" w14:textId="43B9AB12" w:rsidR="00F77A0F" w:rsidRDefault="00F77A0F" w:rsidP="002572F2">
      <w:pPr>
        <w:rPr>
          <w:rFonts w:ascii="Times New Roman" w:hAnsi="Times New Roman" w:cs="Times New Roman"/>
          <w:sz w:val="24"/>
        </w:rPr>
      </w:pPr>
    </w:p>
    <w:p w14:paraId="44E49D24" w14:textId="116D527C" w:rsidR="00F77A0F" w:rsidRDefault="00F77A0F" w:rsidP="002572F2">
      <w:pPr>
        <w:rPr>
          <w:rFonts w:ascii="Times New Roman" w:hAnsi="Times New Roman" w:cs="Times New Roman"/>
          <w:sz w:val="24"/>
        </w:rPr>
      </w:pPr>
    </w:p>
    <w:p w14:paraId="2A0221CF" w14:textId="2ED7D5F8" w:rsidR="00F77A0F" w:rsidRDefault="00F77A0F" w:rsidP="002572F2">
      <w:pPr>
        <w:rPr>
          <w:rFonts w:ascii="Times New Roman" w:hAnsi="Times New Roman" w:cs="Times New Roman"/>
          <w:sz w:val="24"/>
        </w:rPr>
      </w:pPr>
    </w:p>
    <w:p w14:paraId="293867C8" w14:textId="73F23194" w:rsidR="00F77A0F" w:rsidRDefault="00F77A0F" w:rsidP="002572F2">
      <w:pPr>
        <w:rPr>
          <w:rFonts w:ascii="Times New Roman" w:hAnsi="Times New Roman" w:cs="Times New Roman"/>
          <w:sz w:val="24"/>
        </w:rPr>
      </w:pPr>
    </w:p>
    <w:p w14:paraId="2D64F75F" w14:textId="1572D40D" w:rsidR="00F77A0F" w:rsidRDefault="00F77A0F" w:rsidP="002572F2">
      <w:pPr>
        <w:rPr>
          <w:rFonts w:ascii="Times New Roman" w:hAnsi="Times New Roman" w:cs="Times New Roman"/>
          <w:sz w:val="24"/>
        </w:rPr>
      </w:pPr>
    </w:p>
    <w:p w14:paraId="6110877D" w14:textId="522A9EE6" w:rsidR="00F77A0F" w:rsidRDefault="00F77A0F" w:rsidP="002572F2">
      <w:pPr>
        <w:rPr>
          <w:rFonts w:ascii="Times New Roman" w:hAnsi="Times New Roman" w:cs="Times New Roman"/>
          <w:sz w:val="24"/>
        </w:rPr>
      </w:pPr>
    </w:p>
    <w:p w14:paraId="481ECB40" w14:textId="60682D17" w:rsidR="00F77A0F" w:rsidRDefault="00F77A0F" w:rsidP="002572F2">
      <w:pPr>
        <w:rPr>
          <w:rFonts w:ascii="Times New Roman" w:hAnsi="Times New Roman" w:cs="Times New Roman"/>
          <w:sz w:val="24"/>
        </w:rPr>
      </w:pPr>
    </w:p>
    <w:p w14:paraId="1796B934" w14:textId="0C4BBE4F" w:rsidR="00F77A0F" w:rsidRDefault="00F77A0F" w:rsidP="002572F2">
      <w:pPr>
        <w:rPr>
          <w:rFonts w:ascii="Times New Roman" w:hAnsi="Times New Roman" w:cs="Times New Roman"/>
          <w:sz w:val="24"/>
        </w:rPr>
      </w:pPr>
    </w:p>
    <w:p w14:paraId="50D09BF0" w14:textId="6DFB2BB6" w:rsidR="00F77A0F" w:rsidRDefault="00F77A0F" w:rsidP="002572F2">
      <w:pPr>
        <w:rPr>
          <w:rFonts w:ascii="Times New Roman" w:hAnsi="Times New Roman" w:cs="Times New Roman"/>
          <w:sz w:val="24"/>
        </w:rPr>
      </w:pPr>
    </w:p>
    <w:p w14:paraId="57C8EA0A" w14:textId="51C76476" w:rsidR="00F77A0F" w:rsidRDefault="00F77A0F" w:rsidP="002572F2">
      <w:pPr>
        <w:rPr>
          <w:rFonts w:ascii="Times New Roman" w:hAnsi="Times New Roman" w:cs="Times New Roman"/>
          <w:sz w:val="24"/>
        </w:rPr>
      </w:pPr>
    </w:p>
    <w:p w14:paraId="6965F31C" w14:textId="072C56C3" w:rsidR="00F77A0F" w:rsidRDefault="00F77A0F" w:rsidP="002572F2">
      <w:pPr>
        <w:rPr>
          <w:rFonts w:ascii="Times New Roman" w:hAnsi="Times New Roman" w:cs="Times New Roman"/>
          <w:sz w:val="24"/>
        </w:rPr>
      </w:pPr>
    </w:p>
    <w:p w14:paraId="4B09254C" w14:textId="38E89FC3" w:rsidR="00F77A0F" w:rsidRDefault="00F77A0F" w:rsidP="002572F2">
      <w:pPr>
        <w:rPr>
          <w:rFonts w:ascii="Times New Roman" w:hAnsi="Times New Roman" w:cs="Times New Roman"/>
          <w:sz w:val="24"/>
        </w:rPr>
      </w:pPr>
    </w:p>
    <w:p w14:paraId="4F45DCCC" w14:textId="46345999" w:rsidR="00F77A0F" w:rsidRDefault="00F77A0F" w:rsidP="002572F2">
      <w:pPr>
        <w:rPr>
          <w:rFonts w:ascii="Times New Roman" w:hAnsi="Times New Roman" w:cs="Times New Roman"/>
          <w:sz w:val="24"/>
        </w:rPr>
      </w:pPr>
    </w:p>
    <w:p w14:paraId="615E141A" w14:textId="71361B42" w:rsidR="00F77A0F" w:rsidRDefault="00F77A0F" w:rsidP="002572F2">
      <w:pPr>
        <w:rPr>
          <w:rFonts w:ascii="Times New Roman" w:hAnsi="Times New Roman" w:cs="Times New Roman"/>
          <w:sz w:val="24"/>
        </w:rPr>
      </w:pPr>
    </w:p>
    <w:p w14:paraId="43C0AFCF" w14:textId="5225635A" w:rsidR="00F77A0F" w:rsidRDefault="00F77A0F" w:rsidP="002572F2">
      <w:pPr>
        <w:rPr>
          <w:rFonts w:ascii="Times New Roman" w:hAnsi="Times New Roman" w:cs="Times New Roman"/>
          <w:sz w:val="24"/>
        </w:rPr>
      </w:pPr>
    </w:p>
    <w:p w14:paraId="7F6154A6" w14:textId="53F96628" w:rsidR="00F77A0F" w:rsidRDefault="00F77A0F" w:rsidP="002572F2">
      <w:pPr>
        <w:rPr>
          <w:rFonts w:ascii="Times New Roman" w:hAnsi="Times New Roman" w:cs="Times New Roman"/>
          <w:sz w:val="24"/>
        </w:rPr>
      </w:pPr>
    </w:p>
    <w:p w14:paraId="21D0DE21" w14:textId="64E66A68" w:rsidR="00F77A0F" w:rsidRDefault="00F77A0F" w:rsidP="002572F2">
      <w:pPr>
        <w:rPr>
          <w:rFonts w:ascii="Times New Roman" w:hAnsi="Times New Roman" w:cs="Times New Roman"/>
          <w:sz w:val="24"/>
        </w:rPr>
      </w:pPr>
    </w:p>
    <w:p w14:paraId="1B2F7C89" w14:textId="67EAD78B" w:rsidR="002F7580" w:rsidRPr="001C79E6" w:rsidRDefault="002F7580" w:rsidP="002572F2">
      <w:pPr>
        <w:rPr>
          <w:rFonts w:ascii="Georgia Pro Cond" w:hAnsi="Georgia Pro Cond" w:cs="Times New Roman"/>
          <w:b/>
          <w:sz w:val="24"/>
        </w:rPr>
      </w:pPr>
    </w:p>
    <w:sectPr w:rsidR="002F7580" w:rsidRPr="001C79E6" w:rsidSect="00D67E00">
      <w:pgSz w:w="11906" w:h="16838"/>
      <w:pgMar w:top="851" w:right="991" w:bottom="568"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E2D495" w14:textId="77777777" w:rsidR="00A223BA" w:rsidRDefault="00A223BA" w:rsidP="00713A0E">
      <w:pPr>
        <w:spacing w:after="0" w:line="240" w:lineRule="auto"/>
      </w:pPr>
      <w:r>
        <w:separator/>
      </w:r>
    </w:p>
  </w:endnote>
  <w:endnote w:type="continuationSeparator" w:id="0">
    <w:p w14:paraId="0CDBCAE5" w14:textId="77777777" w:rsidR="00A223BA" w:rsidRDefault="00A223BA" w:rsidP="00713A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Pro Cond">
    <w:altName w:val="Georgia Pro Cond"/>
    <w:charset w:val="00"/>
    <w:family w:val="roman"/>
    <w:pitch w:val="variable"/>
    <w:sig w:usb0="80000287" w:usb1="00000043"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skerville 10 Pro">
    <w:altName w:val="Baskerville Old Face"/>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1CD439" w14:textId="77777777" w:rsidR="00A223BA" w:rsidRDefault="00A223BA" w:rsidP="00713A0E">
      <w:pPr>
        <w:spacing w:after="0" w:line="240" w:lineRule="auto"/>
      </w:pPr>
      <w:r>
        <w:separator/>
      </w:r>
    </w:p>
  </w:footnote>
  <w:footnote w:type="continuationSeparator" w:id="0">
    <w:p w14:paraId="6B580CD3" w14:textId="77777777" w:rsidR="00A223BA" w:rsidRDefault="00A223BA" w:rsidP="00713A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AC328D"/>
    <w:multiLevelType w:val="multilevel"/>
    <w:tmpl w:val="EDC67B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6021D4"/>
    <w:multiLevelType w:val="hybridMultilevel"/>
    <w:tmpl w:val="E612082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3A37A7"/>
    <w:multiLevelType w:val="hybridMultilevel"/>
    <w:tmpl w:val="A16C2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2F127D"/>
    <w:multiLevelType w:val="hybridMultilevel"/>
    <w:tmpl w:val="F03832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A74E24"/>
    <w:multiLevelType w:val="hybridMultilevel"/>
    <w:tmpl w:val="044AC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271609"/>
    <w:multiLevelType w:val="hybridMultilevel"/>
    <w:tmpl w:val="35CA0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673AD0"/>
    <w:multiLevelType w:val="hybridMultilevel"/>
    <w:tmpl w:val="14D0B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E47EFE"/>
    <w:multiLevelType w:val="hybridMultilevel"/>
    <w:tmpl w:val="62F613A0"/>
    <w:lvl w:ilvl="0" w:tplc="698454AE">
      <w:start w:val="1"/>
      <w:numFmt w:val="decimal"/>
      <w:lvlText w:val="%1."/>
      <w:lvlJc w:val="left"/>
      <w:pPr>
        <w:ind w:left="765" w:hanging="360"/>
      </w:pPr>
      <w:rPr>
        <w:rFonts w:hint="default"/>
        <w:b w:val="0"/>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397B7292"/>
    <w:multiLevelType w:val="hybridMultilevel"/>
    <w:tmpl w:val="11BA6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7832A4"/>
    <w:multiLevelType w:val="hybridMultilevel"/>
    <w:tmpl w:val="B6020E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EA874BB"/>
    <w:multiLevelType w:val="hybridMultilevel"/>
    <w:tmpl w:val="605035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0F4630"/>
    <w:multiLevelType w:val="hybridMultilevel"/>
    <w:tmpl w:val="6D46AF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DE3F3A"/>
    <w:multiLevelType w:val="hybridMultilevel"/>
    <w:tmpl w:val="96EA3D62"/>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3125E30"/>
    <w:multiLevelType w:val="hybridMultilevel"/>
    <w:tmpl w:val="C5B2E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E32E89"/>
    <w:multiLevelType w:val="hybridMultilevel"/>
    <w:tmpl w:val="06CE5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44343A"/>
    <w:multiLevelType w:val="hybridMultilevel"/>
    <w:tmpl w:val="B448A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0FE5D43"/>
    <w:multiLevelType w:val="hybridMultilevel"/>
    <w:tmpl w:val="55921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610E84"/>
    <w:multiLevelType w:val="hybridMultilevel"/>
    <w:tmpl w:val="060E9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9E410A"/>
    <w:multiLevelType w:val="hybridMultilevel"/>
    <w:tmpl w:val="043606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207EB6"/>
    <w:multiLevelType w:val="multilevel"/>
    <w:tmpl w:val="DE2CD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4D64F5"/>
    <w:multiLevelType w:val="hybridMultilevel"/>
    <w:tmpl w:val="9050C99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595334"/>
    <w:multiLevelType w:val="hybridMultilevel"/>
    <w:tmpl w:val="951A8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F53344E"/>
    <w:multiLevelType w:val="hybridMultilevel"/>
    <w:tmpl w:val="49689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7C6601"/>
    <w:multiLevelType w:val="multilevel"/>
    <w:tmpl w:val="F06C1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8943EC6"/>
    <w:multiLevelType w:val="hybridMultilevel"/>
    <w:tmpl w:val="97528F42"/>
    <w:lvl w:ilvl="0" w:tplc="4670B7A6">
      <w:start w:val="1"/>
      <w:numFmt w:val="decimal"/>
      <w:lvlText w:val="%1."/>
      <w:lvlJc w:val="left"/>
      <w:pPr>
        <w:ind w:left="720" w:hanging="360"/>
      </w:pPr>
      <w:rPr>
        <w:rFonts w:ascii="Georgia Pro Cond" w:hAnsi="Georgia Pro Cond"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4040C09"/>
    <w:multiLevelType w:val="hybridMultilevel"/>
    <w:tmpl w:val="000C108C"/>
    <w:lvl w:ilvl="0" w:tplc="9D28B3D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7"/>
  </w:num>
  <w:num w:numId="3">
    <w:abstractNumId w:val="3"/>
  </w:num>
  <w:num w:numId="4">
    <w:abstractNumId w:val="10"/>
  </w:num>
  <w:num w:numId="5">
    <w:abstractNumId w:val="21"/>
  </w:num>
  <w:num w:numId="6">
    <w:abstractNumId w:val="0"/>
  </w:num>
  <w:num w:numId="7">
    <w:abstractNumId w:val="19"/>
  </w:num>
  <w:num w:numId="8">
    <w:abstractNumId w:val="2"/>
  </w:num>
  <w:num w:numId="9">
    <w:abstractNumId w:val="16"/>
  </w:num>
  <w:num w:numId="10">
    <w:abstractNumId w:val="22"/>
  </w:num>
  <w:num w:numId="11">
    <w:abstractNumId w:val="13"/>
  </w:num>
  <w:num w:numId="12">
    <w:abstractNumId w:val="5"/>
  </w:num>
  <w:num w:numId="13">
    <w:abstractNumId w:val="1"/>
  </w:num>
  <w:num w:numId="14">
    <w:abstractNumId w:val="12"/>
  </w:num>
  <w:num w:numId="15">
    <w:abstractNumId w:val="24"/>
  </w:num>
  <w:num w:numId="16">
    <w:abstractNumId w:val="14"/>
  </w:num>
  <w:num w:numId="17">
    <w:abstractNumId w:val="6"/>
  </w:num>
  <w:num w:numId="18">
    <w:abstractNumId w:val="17"/>
  </w:num>
  <w:num w:numId="19">
    <w:abstractNumId w:val="4"/>
  </w:num>
  <w:num w:numId="20">
    <w:abstractNumId w:val="8"/>
  </w:num>
  <w:num w:numId="21">
    <w:abstractNumId w:val="15"/>
  </w:num>
  <w:num w:numId="22">
    <w:abstractNumId w:val="9"/>
  </w:num>
  <w:num w:numId="23">
    <w:abstractNumId w:val="25"/>
  </w:num>
  <w:num w:numId="24">
    <w:abstractNumId w:val="23"/>
  </w:num>
  <w:num w:numId="25">
    <w:abstractNumId w:val="18"/>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03FA"/>
    <w:rsid w:val="000025CB"/>
    <w:rsid w:val="00002C8A"/>
    <w:rsid w:val="00002ED3"/>
    <w:rsid w:val="00010E95"/>
    <w:rsid w:val="00013785"/>
    <w:rsid w:val="000139C5"/>
    <w:rsid w:val="000153A0"/>
    <w:rsid w:val="00022D9A"/>
    <w:rsid w:val="00041F6D"/>
    <w:rsid w:val="0005009A"/>
    <w:rsid w:val="000570BD"/>
    <w:rsid w:val="00060D2C"/>
    <w:rsid w:val="00084284"/>
    <w:rsid w:val="000860A3"/>
    <w:rsid w:val="00087E63"/>
    <w:rsid w:val="000925E2"/>
    <w:rsid w:val="000936D9"/>
    <w:rsid w:val="00096E3C"/>
    <w:rsid w:val="000A3BC0"/>
    <w:rsid w:val="000A7909"/>
    <w:rsid w:val="000B50AF"/>
    <w:rsid w:val="000B57A5"/>
    <w:rsid w:val="000C2637"/>
    <w:rsid w:val="000C7AB5"/>
    <w:rsid w:val="000D13FD"/>
    <w:rsid w:val="000D7BED"/>
    <w:rsid w:val="000E3F4A"/>
    <w:rsid w:val="000F01EC"/>
    <w:rsid w:val="000F02E0"/>
    <w:rsid w:val="000F7CB3"/>
    <w:rsid w:val="00104CE8"/>
    <w:rsid w:val="00110E22"/>
    <w:rsid w:val="00113E91"/>
    <w:rsid w:val="001147D9"/>
    <w:rsid w:val="00124431"/>
    <w:rsid w:val="00124FFC"/>
    <w:rsid w:val="00131280"/>
    <w:rsid w:val="0013157C"/>
    <w:rsid w:val="001326D7"/>
    <w:rsid w:val="00134D7C"/>
    <w:rsid w:val="00140223"/>
    <w:rsid w:val="00141E97"/>
    <w:rsid w:val="0014291A"/>
    <w:rsid w:val="00143E9D"/>
    <w:rsid w:val="00145B37"/>
    <w:rsid w:val="00150701"/>
    <w:rsid w:val="00150BB1"/>
    <w:rsid w:val="0015509F"/>
    <w:rsid w:val="00156BB2"/>
    <w:rsid w:val="00170492"/>
    <w:rsid w:val="00170E97"/>
    <w:rsid w:val="00171B99"/>
    <w:rsid w:val="00177B3F"/>
    <w:rsid w:val="00187FF6"/>
    <w:rsid w:val="00192826"/>
    <w:rsid w:val="00193A69"/>
    <w:rsid w:val="00196A59"/>
    <w:rsid w:val="001A5214"/>
    <w:rsid w:val="001A72E4"/>
    <w:rsid w:val="001B4E24"/>
    <w:rsid w:val="001B5769"/>
    <w:rsid w:val="001C2633"/>
    <w:rsid w:val="001C3DC6"/>
    <w:rsid w:val="001C79E6"/>
    <w:rsid w:val="001D05FD"/>
    <w:rsid w:val="001D2576"/>
    <w:rsid w:val="001D2F10"/>
    <w:rsid w:val="001E4C46"/>
    <w:rsid w:val="001E6E67"/>
    <w:rsid w:val="001F169A"/>
    <w:rsid w:val="001F2DC6"/>
    <w:rsid w:val="0020066F"/>
    <w:rsid w:val="002014DB"/>
    <w:rsid w:val="00212065"/>
    <w:rsid w:val="002142F5"/>
    <w:rsid w:val="00214571"/>
    <w:rsid w:val="00220443"/>
    <w:rsid w:val="002210E5"/>
    <w:rsid w:val="002251A6"/>
    <w:rsid w:val="00227256"/>
    <w:rsid w:val="00233216"/>
    <w:rsid w:val="00244835"/>
    <w:rsid w:val="002505F1"/>
    <w:rsid w:val="00252E80"/>
    <w:rsid w:val="002546CF"/>
    <w:rsid w:val="002571A4"/>
    <w:rsid w:val="002572F2"/>
    <w:rsid w:val="00257C2C"/>
    <w:rsid w:val="00257FB1"/>
    <w:rsid w:val="0026243E"/>
    <w:rsid w:val="00263A84"/>
    <w:rsid w:val="00265787"/>
    <w:rsid w:val="00265A3B"/>
    <w:rsid w:val="002660CF"/>
    <w:rsid w:val="00272BC1"/>
    <w:rsid w:val="00277042"/>
    <w:rsid w:val="00295329"/>
    <w:rsid w:val="002965E9"/>
    <w:rsid w:val="002A1670"/>
    <w:rsid w:val="002A2198"/>
    <w:rsid w:val="002A470A"/>
    <w:rsid w:val="002A4D2E"/>
    <w:rsid w:val="002B4721"/>
    <w:rsid w:val="002B6E35"/>
    <w:rsid w:val="002C0B69"/>
    <w:rsid w:val="002D225E"/>
    <w:rsid w:val="002E012B"/>
    <w:rsid w:val="002E0341"/>
    <w:rsid w:val="002F4C3D"/>
    <w:rsid w:val="002F7580"/>
    <w:rsid w:val="00310295"/>
    <w:rsid w:val="00310442"/>
    <w:rsid w:val="00314352"/>
    <w:rsid w:val="003156C9"/>
    <w:rsid w:val="00337B9F"/>
    <w:rsid w:val="00350D31"/>
    <w:rsid w:val="00352433"/>
    <w:rsid w:val="00352604"/>
    <w:rsid w:val="00354C9F"/>
    <w:rsid w:val="00360253"/>
    <w:rsid w:val="00360C08"/>
    <w:rsid w:val="003661E9"/>
    <w:rsid w:val="00367E56"/>
    <w:rsid w:val="00385E50"/>
    <w:rsid w:val="003876D9"/>
    <w:rsid w:val="003877BE"/>
    <w:rsid w:val="00392976"/>
    <w:rsid w:val="003A00F4"/>
    <w:rsid w:val="003A6A67"/>
    <w:rsid w:val="003D2A92"/>
    <w:rsid w:val="003D426A"/>
    <w:rsid w:val="003D4C7C"/>
    <w:rsid w:val="003E0924"/>
    <w:rsid w:val="003F0CA1"/>
    <w:rsid w:val="003F47CF"/>
    <w:rsid w:val="004109C8"/>
    <w:rsid w:val="0041607B"/>
    <w:rsid w:val="0042177D"/>
    <w:rsid w:val="004276D5"/>
    <w:rsid w:val="00432D0B"/>
    <w:rsid w:val="004349BE"/>
    <w:rsid w:val="004350DD"/>
    <w:rsid w:val="00446777"/>
    <w:rsid w:val="00452CFD"/>
    <w:rsid w:val="00453CCF"/>
    <w:rsid w:val="00456575"/>
    <w:rsid w:val="00472400"/>
    <w:rsid w:val="004752B0"/>
    <w:rsid w:val="004768E1"/>
    <w:rsid w:val="004822C2"/>
    <w:rsid w:val="0048515D"/>
    <w:rsid w:val="0048673F"/>
    <w:rsid w:val="0049652E"/>
    <w:rsid w:val="004B6038"/>
    <w:rsid w:val="004C0848"/>
    <w:rsid w:val="004C09C7"/>
    <w:rsid w:val="004C19AB"/>
    <w:rsid w:val="004C3D05"/>
    <w:rsid w:val="004D2B82"/>
    <w:rsid w:val="004D2F9A"/>
    <w:rsid w:val="004D4A63"/>
    <w:rsid w:val="004E3EA1"/>
    <w:rsid w:val="004E49FA"/>
    <w:rsid w:val="004F3B37"/>
    <w:rsid w:val="00500C7E"/>
    <w:rsid w:val="00500E70"/>
    <w:rsid w:val="00501813"/>
    <w:rsid w:val="00502409"/>
    <w:rsid w:val="00503225"/>
    <w:rsid w:val="00505DA6"/>
    <w:rsid w:val="00510D34"/>
    <w:rsid w:val="00521204"/>
    <w:rsid w:val="0053268C"/>
    <w:rsid w:val="00543024"/>
    <w:rsid w:val="005442A2"/>
    <w:rsid w:val="00547AD4"/>
    <w:rsid w:val="00557D47"/>
    <w:rsid w:val="0056174A"/>
    <w:rsid w:val="00564706"/>
    <w:rsid w:val="00565B17"/>
    <w:rsid w:val="00571940"/>
    <w:rsid w:val="00580DA6"/>
    <w:rsid w:val="00583790"/>
    <w:rsid w:val="00590472"/>
    <w:rsid w:val="00590553"/>
    <w:rsid w:val="005A48E9"/>
    <w:rsid w:val="005C079F"/>
    <w:rsid w:val="005C0B8C"/>
    <w:rsid w:val="005D2871"/>
    <w:rsid w:val="005D78D8"/>
    <w:rsid w:val="005E17C5"/>
    <w:rsid w:val="005F03A7"/>
    <w:rsid w:val="005F6978"/>
    <w:rsid w:val="00604E8A"/>
    <w:rsid w:val="00605EF4"/>
    <w:rsid w:val="00606704"/>
    <w:rsid w:val="0061281A"/>
    <w:rsid w:val="00614E93"/>
    <w:rsid w:val="006158C9"/>
    <w:rsid w:val="006221B1"/>
    <w:rsid w:val="00622D03"/>
    <w:rsid w:val="00630A5A"/>
    <w:rsid w:val="00634136"/>
    <w:rsid w:val="00634D22"/>
    <w:rsid w:val="00635017"/>
    <w:rsid w:val="006423CC"/>
    <w:rsid w:val="006443B9"/>
    <w:rsid w:val="00647CD6"/>
    <w:rsid w:val="0065211A"/>
    <w:rsid w:val="006615AE"/>
    <w:rsid w:val="00664ED8"/>
    <w:rsid w:val="00667BA6"/>
    <w:rsid w:val="00672B95"/>
    <w:rsid w:val="006762AC"/>
    <w:rsid w:val="00683806"/>
    <w:rsid w:val="006843F5"/>
    <w:rsid w:val="006C12D8"/>
    <w:rsid w:val="006D17BD"/>
    <w:rsid w:val="006D7524"/>
    <w:rsid w:val="006D75D5"/>
    <w:rsid w:val="006D7C48"/>
    <w:rsid w:val="006E452E"/>
    <w:rsid w:val="006E4722"/>
    <w:rsid w:val="006E7799"/>
    <w:rsid w:val="006F2B0C"/>
    <w:rsid w:val="006F3DC8"/>
    <w:rsid w:val="00704FAB"/>
    <w:rsid w:val="0071042B"/>
    <w:rsid w:val="00713A0E"/>
    <w:rsid w:val="00715E0C"/>
    <w:rsid w:val="00716EF0"/>
    <w:rsid w:val="00717218"/>
    <w:rsid w:val="00717B09"/>
    <w:rsid w:val="00752711"/>
    <w:rsid w:val="00754191"/>
    <w:rsid w:val="007556B6"/>
    <w:rsid w:val="007661CF"/>
    <w:rsid w:val="0076788F"/>
    <w:rsid w:val="00774A4C"/>
    <w:rsid w:val="007776C9"/>
    <w:rsid w:val="00777711"/>
    <w:rsid w:val="0079131C"/>
    <w:rsid w:val="00791D1F"/>
    <w:rsid w:val="007A2603"/>
    <w:rsid w:val="007A7D55"/>
    <w:rsid w:val="007B50D2"/>
    <w:rsid w:val="007C34C5"/>
    <w:rsid w:val="007C4C6A"/>
    <w:rsid w:val="007C7E8D"/>
    <w:rsid w:val="007D1BA1"/>
    <w:rsid w:val="007D675F"/>
    <w:rsid w:val="007D7479"/>
    <w:rsid w:val="007D7BB1"/>
    <w:rsid w:val="007E24C5"/>
    <w:rsid w:val="007E5586"/>
    <w:rsid w:val="007E7F33"/>
    <w:rsid w:val="00813A52"/>
    <w:rsid w:val="008207DD"/>
    <w:rsid w:val="00821DED"/>
    <w:rsid w:val="00825B7D"/>
    <w:rsid w:val="00825D10"/>
    <w:rsid w:val="0084566E"/>
    <w:rsid w:val="00856CAF"/>
    <w:rsid w:val="00861092"/>
    <w:rsid w:val="00866818"/>
    <w:rsid w:val="00870BB9"/>
    <w:rsid w:val="00873BB2"/>
    <w:rsid w:val="00881F9C"/>
    <w:rsid w:val="00882505"/>
    <w:rsid w:val="0088306A"/>
    <w:rsid w:val="00885B94"/>
    <w:rsid w:val="008B0EC1"/>
    <w:rsid w:val="008B1577"/>
    <w:rsid w:val="008B1988"/>
    <w:rsid w:val="008B272C"/>
    <w:rsid w:val="008B4DF2"/>
    <w:rsid w:val="008C0301"/>
    <w:rsid w:val="008C17A5"/>
    <w:rsid w:val="008D35D5"/>
    <w:rsid w:val="008D4742"/>
    <w:rsid w:val="008E09FB"/>
    <w:rsid w:val="008E4C69"/>
    <w:rsid w:val="008F7565"/>
    <w:rsid w:val="00903739"/>
    <w:rsid w:val="00906AB7"/>
    <w:rsid w:val="00906D55"/>
    <w:rsid w:val="00913565"/>
    <w:rsid w:val="00913EBA"/>
    <w:rsid w:val="0092079F"/>
    <w:rsid w:val="0092185F"/>
    <w:rsid w:val="00932518"/>
    <w:rsid w:val="00932E59"/>
    <w:rsid w:val="0094362E"/>
    <w:rsid w:val="0095021A"/>
    <w:rsid w:val="00953D22"/>
    <w:rsid w:val="00961375"/>
    <w:rsid w:val="009619DB"/>
    <w:rsid w:val="0097447C"/>
    <w:rsid w:val="00981B7F"/>
    <w:rsid w:val="00987511"/>
    <w:rsid w:val="0099580A"/>
    <w:rsid w:val="009A0D3A"/>
    <w:rsid w:val="009A18DE"/>
    <w:rsid w:val="009A19A8"/>
    <w:rsid w:val="009B2BCF"/>
    <w:rsid w:val="009B3DB9"/>
    <w:rsid w:val="009B707A"/>
    <w:rsid w:val="009B7BA4"/>
    <w:rsid w:val="009C44DD"/>
    <w:rsid w:val="009C59C2"/>
    <w:rsid w:val="009C631D"/>
    <w:rsid w:val="009D3E42"/>
    <w:rsid w:val="009D5D71"/>
    <w:rsid w:val="009E20E4"/>
    <w:rsid w:val="009E5C35"/>
    <w:rsid w:val="009E5F2B"/>
    <w:rsid w:val="009E713E"/>
    <w:rsid w:val="009F38DF"/>
    <w:rsid w:val="00A0076F"/>
    <w:rsid w:val="00A02FD0"/>
    <w:rsid w:val="00A047A8"/>
    <w:rsid w:val="00A048EA"/>
    <w:rsid w:val="00A068D1"/>
    <w:rsid w:val="00A10275"/>
    <w:rsid w:val="00A13D0B"/>
    <w:rsid w:val="00A16983"/>
    <w:rsid w:val="00A223BA"/>
    <w:rsid w:val="00A2682E"/>
    <w:rsid w:val="00A307B3"/>
    <w:rsid w:val="00A32ECC"/>
    <w:rsid w:val="00A37F98"/>
    <w:rsid w:val="00A46974"/>
    <w:rsid w:val="00A57E9D"/>
    <w:rsid w:val="00A601FB"/>
    <w:rsid w:val="00A707F5"/>
    <w:rsid w:val="00A81825"/>
    <w:rsid w:val="00A82415"/>
    <w:rsid w:val="00A869D8"/>
    <w:rsid w:val="00A9398D"/>
    <w:rsid w:val="00A95E21"/>
    <w:rsid w:val="00AA02FC"/>
    <w:rsid w:val="00AA2021"/>
    <w:rsid w:val="00AA7FB5"/>
    <w:rsid w:val="00AB1DAD"/>
    <w:rsid w:val="00AC12B5"/>
    <w:rsid w:val="00AC22CF"/>
    <w:rsid w:val="00AC7786"/>
    <w:rsid w:val="00AC77C9"/>
    <w:rsid w:val="00AD37B7"/>
    <w:rsid w:val="00AD6230"/>
    <w:rsid w:val="00AE32FB"/>
    <w:rsid w:val="00AE66F7"/>
    <w:rsid w:val="00AF2816"/>
    <w:rsid w:val="00AF543A"/>
    <w:rsid w:val="00B0588A"/>
    <w:rsid w:val="00B066FE"/>
    <w:rsid w:val="00B067A0"/>
    <w:rsid w:val="00B1083D"/>
    <w:rsid w:val="00B16EDF"/>
    <w:rsid w:val="00B22543"/>
    <w:rsid w:val="00B25271"/>
    <w:rsid w:val="00B266EA"/>
    <w:rsid w:val="00B26A92"/>
    <w:rsid w:val="00B335BC"/>
    <w:rsid w:val="00B357FF"/>
    <w:rsid w:val="00B366EF"/>
    <w:rsid w:val="00B67377"/>
    <w:rsid w:val="00B83AB4"/>
    <w:rsid w:val="00B95856"/>
    <w:rsid w:val="00BA0825"/>
    <w:rsid w:val="00BA4E7A"/>
    <w:rsid w:val="00BA5EC7"/>
    <w:rsid w:val="00BB4D88"/>
    <w:rsid w:val="00BC1CCF"/>
    <w:rsid w:val="00BC1DD3"/>
    <w:rsid w:val="00BC24A7"/>
    <w:rsid w:val="00BC7A1C"/>
    <w:rsid w:val="00BC7F87"/>
    <w:rsid w:val="00BD2A30"/>
    <w:rsid w:val="00BD2B04"/>
    <w:rsid w:val="00BD365B"/>
    <w:rsid w:val="00BD39AB"/>
    <w:rsid w:val="00BD58DD"/>
    <w:rsid w:val="00BE2330"/>
    <w:rsid w:val="00BF171C"/>
    <w:rsid w:val="00C05816"/>
    <w:rsid w:val="00C134C1"/>
    <w:rsid w:val="00C14D89"/>
    <w:rsid w:val="00C15AB0"/>
    <w:rsid w:val="00C25322"/>
    <w:rsid w:val="00C34F7D"/>
    <w:rsid w:val="00C42034"/>
    <w:rsid w:val="00C4454E"/>
    <w:rsid w:val="00C461BC"/>
    <w:rsid w:val="00C4678A"/>
    <w:rsid w:val="00C54F85"/>
    <w:rsid w:val="00C565F4"/>
    <w:rsid w:val="00C616E1"/>
    <w:rsid w:val="00C6351E"/>
    <w:rsid w:val="00C709B0"/>
    <w:rsid w:val="00C73292"/>
    <w:rsid w:val="00C76FD3"/>
    <w:rsid w:val="00C77778"/>
    <w:rsid w:val="00C77DE7"/>
    <w:rsid w:val="00C8247E"/>
    <w:rsid w:val="00C83D82"/>
    <w:rsid w:val="00C926DC"/>
    <w:rsid w:val="00CA66F0"/>
    <w:rsid w:val="00CA738D"/>
    <w:rsid w:val="00CB06C6"/>
    <w:rsid w:val="00CB0ADB"/>
    <w:rsid w:val="00CB3DEC"/>
    <w:rsid w:val="00CB603A"/>
    <w:rsid w:val="00CB7567"/>
    <w:rsid w:val="00CC7590"/>
    <w:rsid w:val="00CD234E"/>
    <w:rsid w:val="00CD346A"/>
    <w:rsid w:val="00CE03DB"/>
    <w:rsid w:val="00CE6119"/>
    <w:rsid w:val="00CF0BF9"/>
    <w:rsid w:val="00CF1828"/>
    <w:rsid w:val="00D018AD"/>
    <w:rsid w:val="00D12F76"/>
    <w:rsid w:val="00D136BE"/>
    <w:rsid w:val="00D168F2"/>
    <w:rsid w:val="00D16DEE"/>
    <w:rsid w:val="00D21531"/>
    <w:rsid w:val="00D22AEF"/>
    <w:rsid w:val="00D248CD"/>
    <w:rsid w:val="00D33270"/>
    <w:rsid w:val="00D427D7"/>
    <w:rsid w:val="00D54E64"/>
    <w:rsid w:val="00D63DF4"/>
    <w:rsid w:val="00D66EEA"/>
    <w:rsid w:val="00D67E00"/>
    <w:rsid w:val="00D741A5"/>
    <w:rsid w:val="00D76748"/>
    <w:rsid w:val="00D9133D"/>
    <w:rsid w:val="00D92F32"/>
    <w:rsid w:val="00DA1E8D"/>
    <w:rsid w:val="00DA209E"/>
    <w:rsid w:val="00DA3D6D"/>
    <w:rsid w:val="00DA4A79"/>
    <w:rsid w:val="00DA6535"/>
    <w:rsid w:val="00DB22A6"/>
    <w:rsid w:val="00DB51B0"/>
    <w:rsid w:val="00DB6A85"/>
    <w:rsid w:val="00DC7C91"/>
    <w:rsid w:val="00DD00B0"/>
    <w:rsid w:val="00DD295A"/>
    <w:rsid w:val="00DD35BD"/>
    <w:rsid w:val="00E05B95"/>
    <w:rsid w:val="00E07DB3"/>
    <w:rsid w:val="00E15271"/>
    <w:rsid w:val="00E21F44"/>
    <w:rsid w:val="00E244F4"/>
    <w:rsid w:val="00E357C6"/>
    <w:rsid w:val="00E36E37"/>
    <w:rsid w:val="00E37288"/>
    <w:rsid w:val="00E43DAC"/>
    <w:rsid w:val="00E5404B"/>
    <w:rsid w:val="00E63ACC"/>
    <w:rsid w:val="00E828AA"/>
    <w:rsid w:val="00E832C8"/>
    <w:rsid w:val="00EA0702"/>
    <w:rsid w:val="00EA7C88"/>
    <w:rsid w:val="00ED0BE4"/>
    <w:rsid w:val="00ED6883"/>
    <w:rsid w:val="00EE0E9A"/>
    <w:rsid w:val="00EE5AEF"/>
    <w:rsid w:val="00EF02F3"/>
    <w:rsid w:val="00EF0D16"/>
    <w:rsid w:val="00EF37A9"/>
    <w:rsid w:val="00EF3DBC"/>
    <w:rsid w:val="00EF76FE"/>
    <w:rsid w:val="00EF7961"/>
    <w:rsid w:val="00EF7CD9"/>
    <w:rsid w:val="00F02E10"/>
    <w:rsid w:val="00F043AE"/>
    <w:rsid w:val="00F04451"/>
    <w:rsid w:val="00F07EA9"/>
    <w:rsid w:val="00F3733E"/>
    <w:rsid w:val="00F47233"/>
    <w:rsid w:val="00F54633"/>
    <w:rsid w:val="00F56FC6"/>
    <w:rsid w:val="00F65E27"/>
    <w:rsid w:val="00F65F61"/>
    <w:rsid w:val="00F72FC5"/>
    <w:rsid w:val="00F75AB3"/>
    <w:rsid w:val="00F76FC3"/>
    <w:rsid w:val="00F77A0F"/>
    <w:rsid w:val="00F80965"/>
    <w:rsid w:val="00F9234B"/>
    <w:rsid w:val="00FA03FA"/>
    <w:rsid w:val="00FA0875"/>
    <w:rsid w:val="00FA7594"/>
    <w:rsid w:val="00FB2D46"/>
    <w:rsid w:val="00FB311A"/>
    <w:rsid w:val="00FB6053"/>
    <w:rsid w:val="00FB7FD0"/>
    <w:rsid w:val="00FC37A5"/>
    <w:rsid w:val="00FD7DA0"/>
    <w:rsid w:val="00FE06E3"/>
    <w:rsid w:val="00FF38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7B803"/>
  <w15:chartTrackingRefBased/>
  <w15:docId w15:val="{ECE47125-AA0C-4850-B827-38373A6F7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7AB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A00F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A00F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3A00F4"/>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link w:val="Heading6Char"/>
    <w:uiPriority w:val="9"/>
    <w:qFormat/>
    <w:rsid w:val="00FA03FA"/>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rsid w:val="00FA03FA"/>
    <w:rPr>
      <w:rFonts w:ascii="Times New Roman" w:eastAsia="Times New Roman" w:hAnsi="Times New Roman" w:cs="Times New Roman"/>
      <w:b/>
      <w:bCs/>
      <w:sz w:val="15"/>
      <w:szCs w:val="15"/>
      <w:lang w:eastAsia="en-GB"/>
    </w:rPr>
  </w:style>
  <w:style w:type="paragraph" w:styleId="NormalWeb">
    <w:name w:val="Normal (Web)"/>
    <w:basedOn w:val="Normal"/>
    <w:uiPriority w:val="99"/>
    <w:unhideWhenUsed/>
    <w:rsid w:val="00FA03F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FA03FA"/>
    <w:rPr>
      <w:color w:val="0563C1" w:themeColor="hyperlink"/>
      <w:u w:val="single"/>
    </w:rPr>
  </w:style>
  <w:style w:type="character" w:customStyle="1" w:styleId="UnresolvedMention1">
    <w:name w:val="Unresolved Mention1"/>
    <w:basedOn w:val="DefaultParagraphFont"/>
    <w:uiPriority w:val="99"/>
    <w:semiHidden/>
    <w:unhideWhenUsed/>
    <w:rsid w:val="00FA03FA"/>
    <w:rPr>
      <w:color w:val="605E5C"/>
      <w:shd w:val="clear" w:color="auto" w:fill="E1DFDD"/>
    </w:rPr>
  </w:style>
  <w:style w:type="character" w:styleId="Strong">
    <w:name w:val="Strong"/>
    <w:basedOn w:val="DefaultParagraphFont"/>
    <w:uiPriority w:val="22"/>
    <w:qFormat/>
    <w:rsid w:val="00FA03FA"/>
    <w:rPr>
      <w:b/>
      <w:bCs/>
    </w:rPr>
  </w:style>
  <w:style w:type="character" w:styleId="Emphasis">
    <w:name w:val="Emphasis"/>
    <w:basedOn w:val="DefaultParagraphFont"/>
    <w:uiPriority w:val="20"/>
    <w:qFormat/>
    <w:rsid w:val="00FA03FA"/>
    <w:rPr>
      <w:i/>
      <w:iCs/>
    </w:rPr>
  </w:style>
  <w:style w:type="paragraph" w:styleId="ListParagraph">
    <w:name w:val="List Paragraph"/>
    <w:basedOn w:val="Normal"/>
    <w:uiPriority w:val="34"/>
    <w:qFormat/>
    <w:rsid w:val="00212065"/>
    <w:pPr>
      <w:ind w:left="720"/>
      <w:contextualSpacing/>
    </w:pPr>
  </w:style>
  <w:style w:type="character" w:customStyle="1" w:styleId="c-resourcefield">
    <w:name w:val="c-resource__field"/>
    <w:basedOn w:val="DefaultParagraphFont"/>
    <w:rsid w:val="0020066F"/>
  </w:style>
  <w:style w:type="character" w:customStyle="1" w:styleId="style7">
    <w:name w:val="style7"/>
    <w:basedOn w:val="DefaultParagraphFont"/>
    <w:rsid w:val="004768E1"/>
  </w:style>
  <w:style w:type="character" w:customStyle="1" w:styleId="Heading2Char">
    <w:name w:val="Heading 2 Char"/>
    <w:basedOn w:val="DefaultParagraphFont"/>
    <w:link w:val="Heading2"/>
    <w:uiPriority w:val="9"/>
    <w:rsid w:val="003A00F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3A00F4"/>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3A00F4"/>
    <w:rPr>
      <w:rFonts w:asciiTheme="majorHAnsi" w:eastAsiaTheme="majorEastAsia" w:hAnsiTheme="majorHAnsi" w:cstheme="majorBidi"/>
      <w:i/>
      <w:iCs/>
      <w:color w:val="2F5496" w:themeColor="accent1" w:themeShade="BF"/>
    </w:rPr>
  </w:style>
  <w:style w:type="character" w:customStyle="1" w:styleId="smcap">
    <w:name w:val="smcap"/>
    <w:basedOn w:val="DefaultParagraphFont"/>
    <w:rsid w:val="003A00F4"/>
  </w:style>
  <w:style w:type="paragraph" w:customStyle="1" w:styleId="n">
    <w:name w:val="n"/>
    <w:basedOn w:val="Normal"/>
    <w:rsid w:val="003A00F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agenum">
    <w:name w:val="pagenum"/>
    <w:basedOn w:val="DefaultParagraphFont"/>
    <w:rsid w:val="003A00F4"/>
  </w:style>
  <w:style w:type="character" w:customStyle="1" w:styleId="A1">
    <w:name w:val="A1"/>
    <w:uiPriority w:val="99"/>
    <w:rsid w:val="002210E5"/>
    <w:rPr>
      <w:rFonts w:cs="Baskerville 10 Pro"/>
      <w:color w:val="000000"/>
      <w:sz w:val="20"/>
      <w:szCs w:val="20"/>
    </w:rPr>
  </w:style>
  <w:style w:type="character" w:customStyle="1" w:styleId="A2">
    <w:name w:val="A2"/>
    <w:uiPriority w:val="99"/>
    <w:rsid w:val="004C3D05"/>
    <w:rPr>
      <w:rFonts w:cs="Baskerville 10 Pro"/>
      <w:color w:val="000000"/>
      <w:sz w:val="11"/>
      <w:szCs w:val="11"/>
    </w:rPr>
  </w:style>
  <w:style w:type="paragraph" w:customStyle="1" w:styleId="Default">
    <w:name w:val="Default"/>
    <w:rsid w:val="001A72E4"/>
    <w:pPr>
      <w:autoSpaceDE w:val="0"/>
      <w:autoSpaceDN w:val="0"/>
      <w:adjustRightInd w:val="0"/>
      <w:spacing w:after="0" w:line="240" w:lineRule="auto"/>
    </w:pPr>
    <w:rPr>
      <w:rFonts w:ascii="Baskerville 10 Pro" w:hAnsi="Baskerville 10 Pro" w:cs="Baskerville 10 Pro"/>
      <w:color w:val="000000"/>
      <w:sz w:val="24"/>
      <w:szCs w:val="24"/>
    </w:rPr>
  </w:style>
  <w:style w:type="character" w:customStyle="1" w:styleId="A3">
    <w:name w:val="A3"/>
    <w:uiPriority w:val="99"/>
    <w:rsid w:val="00564706"/>
    <w:rPr>
      <w:rFonts w:cs="Baskerville 10 Pro"/>
      <w:color w:val="000000"/>
      <w:sz w:val="10"/>
      <w:szCs w:val="10"/>
    </w:rPr>
  </w:style>
  <w:style w:type="character" w:customStyle="1" w:styleId="Heading1Char">
    <w:name w:val="Heading 1 Char"/>
    <w:basedOn w:val="DefaultParagraphFont"/>
    <w:link w:val="Heading1"/>
    <w:uiPriority w:val="9"/>
    <w:rsid w:val="000C7AB5"/>
    <w:rPr>
      <w:rFonts w:asciiTheme="majorHAnsi" w:eastAsiaTheme="majorEastAsia" w:hAnsiTheme="majorHAnsi" w:cstheme="majorBidi"/>
      <w:color w:val="2F5496" w:themeColor="accent1" w:themeShade="BF"/>
      <w:sz w:val="32"/>
      <w:szCs w:val="32"/>
    </w:rPr>
  </w:style>
  <w:style w:type="paragraph" w:styleId="NoSpacing">
    <w:name w:val="No Spacing"/>
    <w:uiPriority w:val="1"/>
    <w:qFormat/>
    <w:rsid w:val="00456575"/>
    <w:pPr>
      <w:spacing w:after="0" w:line="240" w:lineRule="auto"/>
    </w:pPr>
    <w:rPr>
      <w:rFonts w:ascii="Calibri" w:eastAsia="Times New Roman" w:hAnsi="Calibri" w:cs="Calibri"/>
    </w:rPr>
  </w:style>
  <w:style w:type="character" w:customStyle="1" w:styleId="Title1">
    <w:name w:val="Title1"/>
    <w:basedOn w:val="DefaultParagraphFont"/>
    <w:rsid w:val="00C73292"/>
  </w:style>
  <w:style w:type="character" w:customStyle="1" w:styleId="additionalfields">
    <w:name w:val="additionalfields"/>
    <w:basedOn w:val="DefaultParagraphFont"/>
    <w:rsid w:val="00C73292"/>
  </w:style>
  <w:style w:type="paragraph" w:customStyle="1" w:styleId="c-resourcefield1">
    <w:name w:val="c-resource__field1"/>
    <w:basedOn w:val="Normal"/>
    <w:rsid w:val="00AA202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ighlight">
    <w:name w:val="highlight"/>
    <w:basedOn w:val="DefaultParagraphFont"/>
    <w:rsid w:val="00CE6119"/>
  </w:style>
  <w:style w:type="character" w:customStyle="1" w:styleId="Title10">
    <w:name w:val="Title1"/>
    <w:basedOn w:val="DefaultParagraphFont"/>
    <w:rsid w:val="005F03A7"/>
  </w:style>
  <w:style w:type="paragraph" w:styleId="Header">
    <w:name w:val="header"/>
    <w:basedOn w:val="Normal"/>
    <w:link w:val="HeaderChar"/>
    <w:uiPriority w:val="99"/>
    <w:unhideWhenUsed/>
    <w:rsid w:val="000860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60A3"/>
  </w:style>
  <w:style w:type="paragraph" w:styleId="Footer">
    <w:name w:val="footer"/>
    <w:basedOn w:val="Normal"/>
    <w:link w:val="FooterChar"/>
    <w:uiPriority w:val="99"/>
    <w:unhideWhenUsed/>
    <w:rsid w:val="00713A0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3A0E"/>
  </w:style>
  <w:style w:type="character" w:styleId="FollowedHyperlink">
    <w:name w:val="FollowedHyperlink"/>
    <w:basedOn w:val="DefaultParagraphFont"/>
    <w:uiPriority w:val="99"/>
    <w:semiHidden/>
    <w:unhideWhenUsed/>
    <w:rsid w:val="007D1BA1"/>
    <w:rPr>
      <w:color w:val="954F72" w:themeColor="followedHyperlink"/>
      <w:u w:val="single"/>
    </w:rPr>
  </w:style>
  <w:style w:type="character" w:customStyle="1" w:styleId="visually-hidden">
    <w:name w:val="visually-hidden"/>
    <w:basedOn w:val="DefaultParagraphFont"/>
    <w:rsid w:val="00AE66F7"/>
  </w:style>
  <w:style w:type="character" w:customStyle="1" w:styleId="key">
    <w:name w:val="key"/>
    <w:basedOn w:val="DefaultParagraphFont"/>
    <w:rsid w:val="00220443"/>
  </w:style>
  <w:style w:type="character" w:customStyle="1" w:styleId="value">
    <w:name w:val="value"/>
    <w:basedOn w:val="DefaultParagraphFont"/>
    <w:rsid w:val="00220443"/>
  </w:style>
  <w:style w:type="character" w:customStyle="1" w:styleId="titleauthoretc">
    <w:name w:val="titleauthoretc"/>
    <w:basedOn w:val="DefaultParagraphFont"/>
    <w:rsid w:val="001C3DC6"/>
  </w:style>
  <w:style w:type="character" w:customStyle="1" w:styleId="Date1">
    <w:name w:val="Date1"/>
    <w:basedOn w:val="DefaultParagraphFont"/>
    <w:rsid w:val="001C3DC6"/>
  </w:style>
  <w:style w:type="paragraph" w:customStyle="1" w:styleId="author">
    <w:name w:val="author"/>
    <w:basedOn w:val="Normal"/>
    <w:rsid w:val="001C3D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ddmd">
    <w:name w:val="addmd"/>
    <w:basedOn w:val="DefaultParagraphFont"/>
    <w:rsid w:val="00754191"/>
  </w:style>
  <w:style w:type="character" w:customStyle="1" w:styleId="authors">
    <w:name w:val="authors"/>
    <w:basedOn w:val="DefaultParagraphFont"/>
    <w:rsid w:val="00DA209E"/>
  </w:style>
  <w:style w:type="character" w:customStyle="1" w:styleId="Date2">
    <w:name w:val="Date2"/>
    <w:basedOn w:val="DefaultParagraphFont"/>
    <w:rsid w:val="00DA209E"/>
  </w:style>
  <w:style w:type="character" w:customStyle="1" w:styleId="arttitle">
    <w:name w:val="art_title"/>
    <w:basedOn w:val="DefaultParagraphFont"/>
    <w:rsid w:val="00DA209E"/>
  </w:style>
  <w:style w:type="character" w:customStyle="1" w:styleId="serialtitle">
    <w:name w:val="serial_title"/>
    <w:basedOn w:val="DefaultParagraphFont"/>
    <w:rsid w:val="00DA209E"/>
  </w:style>
  <w:style w:type="character" w:customStyle="1" w:styleId="volumeissue">
    <w:name w:val="volume_issue"/>
    <w:basedOn w:val="DefaultParagraphFont"/>
    <w:rsid w:val="00DA209E"/>
  </w:style>
  <w:style w:type="character" w:customStyle="1" w:styleId="pagerange">
    <w:name w:val="page_range"/>
    <w:basedOn w:val="DefaultParagraphFont"/>
    <w:rsid w:val="00DA209E"/>
  </w:style>
  <w:style w:type="character" w:customStyle="1" w:styleId="doilink">
    <w:name w:val="doi_link"/>
    <w:basedOn w:val="DefaultParagraphFont"/>
    <w:rsid w:val="00DA20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338199">
      <w:bodyDiv w:val="1"/>
      <w:marLeft w:val="0"/>
      <w:marRight w:val="0"/>
      <w:marTop w:val="0"/>
      <w:marBottom w:val="0"/>
      <w:divBdr>
        <w:top w:val="none" w:sz="0" w:space="0" w:color="auto"/>
        <w:left w:val="none" w:sz="0" w:space="0" w:color="auto"/>
        <w:bottom w:val="none" w:sz="0" w:space="0" w:color="auto"/>
        <w:right w:val="none" w:sz="0" w:space="0" w:color="auto"/>
      </w:divBdr>
    </w:div>
    <w:div w:id="318459399">
      <w:bodyDiv w:val="1"/>
      <w:marLeft w:val="0"/>
      <w:marRight w:val="0"/>
      <w:marTop w:val="0"/>
      <w:marBottom w:val="0"/>
      <w:divBdr>
        <w:top w:val="none" w:sz="0" w:space="0" w:color="auto"/>
        <w:left w:val="none" w:sz="0" w:space="0" w:color="auto"/>
        <w:bottom w:val="none" w:sz="0" w:space="0" w:color="auto"/>
        <w:right w:val="none" w:sz="0" w:space="0" w:color="auto"/>
      </w:divBdr>
      <w:divsChild>
        <w:div w:id="1176075435">
          <w:marLeft w:val="0"/>
          <w:marRight w:val="0"/>
          <w:marTop w:val="60"/>
          <w:marBottom w:val="60"/>
          <w:divBdr>
            <w:top w:val="none" w:sz="0" w:space="0" w:color="auto"/>
            <w:left w:val="none" w:sz="0" w:space="0" w:color="auto"/>
            <w:bottom w:val="none" w:sz="0" w:space="0" w:color="auto"/>
            <w:right w:val="none" w:sz="0" w:space="0" w:color="auto"/>
          </w:divBdr>
        </w:div>
        <w:div w:id="1530725590">
          <w:marLeft w:val="0"/>
          <w:marRight w:val="0"/>
          <w:marTop w:val="60"/>
          <w:marBottom w:val="60"/>
          <w:divBdr>
            <w:top w:val="none" w:sz="0" w:space="0" w:color="auto"/>
            <w:left w:val="none" w:sz="0" w:space="0" w:color="auto"/>
            <w:bottom w:val="none" w:sz="0" w:space="0" w:color="auto"/>
            <w:right w:val="none" w:sz="0" w:space="0" w:color="auto"/>
          </w:divBdr>
        </w:div>
        <w:div w:id="207570260">
          <w:marLeft w:val="0"/>
          <w:marRight w:val="0"/>
          <w:marTop w:val="60"/>
          <w:marBottom w:val="60"/>
          <w:divBdr>
            <w:top w:val="none" w:sz="0" w:space="0" w:color="auto"/>
            <w:left w:val="none" w:sz="0" w:space="0" w:color="auto"/>
            <w:bottom w:val="none" w:sz="0" w:space="0" w:color="auto"/>
            <w:right w:val="none" w:sz="0" w:space="0" w:color="auto"/>
          </w:divBdr>
        </w:div>
      </w:divsChild>
    </w:div>
    <w:div w:id="398984058">
      <w:bodyDiv w:val="1"/>
      <w:marLeft w:val="0"/>
      <w:marRight w:val="0"/>
      <w:marTop w:val="0"/>
      <w:marBottom w:val="0"/>
      <w:divBdr>
        <w:top w:val="none" w:sz="0" w:space="0" w:color="auto"/>
        <w:left w:val="none" w:sz="0" w:space="0" w:color="auto"/>
        <w:bottom w:val="none" w:sz="0" w:space="0" w:color="auto"/>
        <w:right w:val="none" w:sz="0" w:space="0" w:color="auto"/>
      </w:divBdr>
    </w:div>
    <w:div w:id="439763113">
      <w:bodyDiv w:val="1"/>
      <w:marLeft w:val="0"/>
      <w:marRight w:val="0"/>
      <w:marTop w:val="0"/>
      <w:marBottom w:val="0"/>
      <w:divBdr>
        <w:top w:val="none" w:sz="0" w:space="0" w:color="auto"/>
        <w:left w:val="none" w:sz="0" w:space="0" w:color="auto"/>
        <w:bottom w:val="none" w:sz="0" w:space="0" w:color="auto"/>
        <w:right w:val="none" w:sz="0" w:space="0" w:color="auto"/>
      </w:divBdr>
      <w:divsChild>
        <w:div w:id="664473752">
          <w:marLeft w:val="0"/>
          <w:marRight w:val="0"/>
          <w:marTop w:val="0"/>
          <w:marBottom w:val="0"/>
          <w:divBdr>
            <w:top w:val="none" w:sz="0" w:space="0" w:color="auto"/>
            <w:left w:val="none" w:sz="0" w:space="0" w:color="auto"/>
            <w:bottom w:val="none" w:sz="0" w:space="0" w:color="auto"/>
            <w:right w:val="none" w:sz="0" w:space="0" w:color="auto"/>
          </w:divBdr>
          <w:divsChild>
            <w:div w:id="571163790">
              <w:marLeft w:val="-150"/>
              <w:marRight w:val="-150"/>
              <w:marTop w:val="0"/>
              <w:marBottom w:val="0"/>
              <w:divBdr>
                <w:top w:val="none" w:sz="0" w:space="0" w:color="auto"/>
                <w:left w:val="none" w:sz="0" w:space="0" w:color="auto"/>
                <w:bottom w:val="none" w:sz="0" w:space="0" w:color="auto"/>
                <w:right w:val="none" w:sz="0" w:space="0" w:color="auto"/>
              </w:divBdr>
              <w:divsChild>
                <w:div w:id="1286959086">
                  <w:marLeft w:val="0"/>
                  <w:marRight w:val="0"/>
                  <w:marTop w:val="0"/>
                  <w:marBottom w:val="0"/>
                  <w:divBdr>
                    <w:top w:val="none" w:sz="0" w:space="0" w:color="auto"/>
                    <w:left w:val="none" w:sz="0" w:space="0" w:color="auto"/>
                    <w:bottom w:val="none" w:sz="0" w:space="0" w:color="auto"/>
                    <w:right w:val="none" w:sz="0" w:space="0" w:color="auto"/>
                  </w:divBdr>
                  <w:divsChild>
                    <w:div w:id="95043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61670">
      <w:bodyDiv w:val="1"/>
      <w:marLeft w:val="0"/>
      <w:marRight w:val="0"/>
      <w:marTop w:val="0"/>
      <w:marBottom w:val="0"/>
      <w:divBdr>
        <w:top w:val="none" w:sz="0" w:space="0" w:color="auto"/>
        <w:left w:val="none" w:sz="0" w:space="0" w:color="auto"/>
        <w:bottom w:val="none" w:sz="0" w:space="0" w:color="auto"/>
        <w:right w:val="none" w:sz="0" w:space="0" w:color="auto"/>
      </w:divBdr>
    </w:div>
    <w:div w:id="873807108">
      <w:bodyDiv w:val="1"/>
      <w:marLeft w:val="0"/>
      <w:marRight w:val="0"/>
      <w:marTop w:val="0"/>
      <w:marBottom w:val="0"/>
      <w:divBdr>
        <w:top w:val="none" w:sz="0" w:space="0" w:color="auto"/>
        <w:left w:val="none" w:sz="0" w:space="0" w:color="auto"/>
        <w:bottom w:val="none" w:sz="0" w:space="0" w:color="auto"/>
        <w:right w:val="none" w:sz="0" w:space="0" w:color="auto"/>
      </w:divBdr>
      <w:divsChild>
        <w:div w:id="1853179052">
          <w:marLeft w:val="0"/>
          <w:marRight w:val="0"/>
          <w:marTop w:val="0"/>
          <w:marBottom w:val="0"/>
          <w:divBdr>
            <w:top w:val="none" w:sz="0" w:space="0" w:color="auto"/>
            <w:left w:val="none" w:sz="0" w:space="0" w:color="auto"/>
            <w:bottom w:val="none" w:sz="0" w:space="0" w:color="auto"/>
            <w:right w:val="none" w:sz="0" w:space="0" w:color="auto"/>
          </w:divBdr>
        </w:div>
        <w:div w:id="655916275">
          <w:marLeft w:val="0"/>
          <w:marRight w:val="0"/>
          <w:marTop w:val="30"/>
          <w:marBottom w:val="0"/>
          <w:divBdr>
            <w:top w:val="none" w:sz="0" w:space="0" w:color="auto"/>
            <w:left w:val="none" w:sz="0" w:space="0" w:color="auto"/>
            <w:bottom w:val="none" w:sz="0" w:space="0" w:color="auto"/>
            <w:right w:val="none" w:sz="0" w:space="0" w:color="auto"/>
          </w:divBdr>
        </w:div>
      </w:divsChild>
    </w:div>
    <w:div w:id="913930292">
      <w:bodyDiv w:val="1"/>
      <w:marLeft w:val="0"/>
      <w:marRight w:val="0"/>
      <w:marTop w:val="0"/>
      <w:marBottom w:val="0"/>
      <w:divBdr>
        <w:top w:val="none" w:sz="0" w:space="0" w:color="auto"/>
        <w:left w:val="none" w:sz="0" w:space="0" w:color="auto"/>
        <w:bottom w:val="none" w:sz="0" w:space="0" w:color="auto"/>
        <w:right w:val="none" w:sz="0" w:space="0" w:color="auto"/>
      </w:divBdr>
    </w:div>
    <w:div w:id="926769832">
      <w:bodyDiv w:val="1"/>
      <w:marLeft w:val="0"/>
      <w:marRight w:val="0"/>
      <w:marTop w:val="0"/>
      <w:marBottom w:val="0"/>
      <w:divBdr>
        <w:top w:val="none" w:sz="0" w:space="0" w:color="auto"/>
        <w:left w:val="none" w:sz="0" w:space="0" w:color="auto"/>
        <w:bottom w:val="none" w:sz="0" w:space="0" w:color="auto"/>
        <w:right w:val="none" w:sz="0" w:space="0" w:color="auto"/>
      </w:divBdr>
    </w:div>
    <w:div w:id="1034845124">
      <w:bodyDiv w:val="1"/>
      <w:marLeft w:val="0"/>
      <w:marRight w:val="0"/>
      <w:marTop w:val="0"/>
      <w:marBottom w:val="0"/>
      <w:divBdr>
        <w:top w:val="none" w:sz="0" w:space="0" w:color="auto"/>
        <w:left w:val="none" w:sz="0" w:space="0" w:color="auto"/>
        <w:bottom w:val="none" w:sz="0" w:space="0" w:color="auto"/>
        <w:right w:val="none" w:sz="0" w:space="0" w:color="auto"/>
      </w:divBdr>
    </w:div>
    <w:div w:id="1254121680">
      <w:bodyDiv w:val="1"/>
      <w:marLeft w:val="0"/>
      <w:marRight w:val="0"/>
      <w:marTop w:val="0"/>
      <w:marBottom w:val="0"/>
      <w:divBdr>
        <w:top w:val="none" w:sz="0" w:space="0" w:color="auto"/>
        <w:left w:val="none" w:sz="0" w:space="0" w:color="auto"/>
        <w:bottom w:val="none" w:sz="0" w:space="0" w:color="auto"/>
        <w:right w:val="none" w:sz="0" w:space="0" w:color="auto"/>
      </w:divBdr>
      <w:divsChild>
        <w:div w:id="1498573152">
          <w:marLeft w:val="0"/>
          <w:marRight w:val="0"/>
          <w:marTop w:val="0"/>
          <w:marBottom w:val="0"/>
          <w:divBdr>
            <w:top w:val="none" w:sz="0" w:space="0" w:color="auto"/>
            <w:left w:val="none" w:sz="0" w:space="0" w:color="auto"/>
            <w:bottom w:val="none" w:sz="0" w:space="0" w:color="auto"/>
            <w:right w:val="none" w:sz="0" w:space="0" w:color="auto"/>
          </w:divBdr>
        </w:div>
        <w:div w:id="652830889">
          <w:marLeft w:val="0"/>
          <w:marRight w:val="0"/>
          <w:marTop w:val="30"/>
          <w:marBottom w:val="0"/>
          <w:divBdr>
            <w:top w:val="none" w:sz="0" w:space="0" w:color="auto"/>
            <w:left w:val="none" w:sz="0" w:space="0" w:color="auto"/>
            <w:bottom w:val="none" w:sz="0" w:space="0" w:color="auto"/>
            <w:right w:val="none" w:sz="0" w:space="0" w:color="auto"/>
          </w:divBdr>
        </w:div>
      </w:divsChild>
    </w:div>
    <w:div w:id="1384333899">
      <w:bodyDiv w:val="1"/>
      <w:marLeft w:val="0"/>
      <w:marRight w:val="0"/>
      <w:marTop w:val="0"/>
      <w:marBottom w:val="0"/>
      <w:divBdr>
        <w:top w:val="none" w:sz="0" w:space="0" w:color="auto"/>
        <w:left w:val="none" w:sz="0" w:space="0" w:color="auto"/>
        <w:bottom w:val="none" w:sz="0" w:space="0" w:color="auto"/>
        <w:right w:val="none" w:sz="0" w:space="0" w:color="auto"/>
      </w:divBdr>
    </w:div>
    <w:div w:id="1454401045">
      <w:bodyDiv w:val="1"/>
      <w:marLeft w:val="0"/>
      <w:marRight w:val="0"/>
      <w:marTop w:val="0"/>
      <w:marBottom w:val="0"/>
      <w:divBdr>
        <w:top w:val="none" w:sz="0" w:space="0" w:color="auto"/>
        <w:left w:val="none" w:sz="0" w:space="0" w:color="auto"/>
        <w:bottom w:val="none" w:sz="0" w:space="0" w:color="auto"/>
        <w:right w:val="none" w:sz="0" w:space="0" w:color="auto"/>
      </w:divBdr>
    </w:div>
    <w:div w:id="1567447919">
      <w:bodyDiv w:val="1"/>
      <w:marLeft w:val="0"/>
      <w:marRight w:val="0"/>
      <w:marTop w:val="0"/>
      <w:marBottom w:val="0"/>
      <w:divBdr>
        <w:top w:val="none" w:sz="0" w:space="0" w:color="auto"/>
        <w:left w:val="none" w:sz="0" w:space="0" w:color="auto"/>
        <w:bottom w:val="none" w:sz="0" w:space="0" w:color="auto"/>
        <w:right w:val="none" w:sz="0" w:space="0" w:color="auto"/>
      </w:divBdr>
    </w:div>
    <w:div w:id="1700353566">
      <w:bodyDiv w:val="1"/>
      <w:marLeft w:val="0"/>
      <w:marRight w:val="0"/>
      <w:marTop w:val="0"/>
      <w:marBottom w:val="0"/>
      <w:divBdr>
        <w:top w:val="none" w:sz="0" w:space="0" w:color="auto"/>
        <w:left w:val="none" w:sz="0" w:space="0" w:color="auto"/>
        <w:bottom w:val="none" w:sz="0" w:space="0" w:color="auto"/>
        <w:right w:val="none" w:sz="0" w:space="0" w:color="auto"/>
      </w:divBdr>
    </w:div>
    <w:div w:id="1737238315">
      <w:bodyDiv w:val="1"/>
      <w:marLeft w:val="0"/>
      <w:marRight w:val="0"/>
      <w:marTop w:val="0"/>
      <w:marBottom w:val="0"/>
      <w:divBdr>
        <w:top w:val="none" w:sz="0" w:space="0" w:color="auto"/>
        <w:left w:val="none" w:sz="0" w:space="0" w:color="auto"/>
        <w:bottom w:val="none" w:sz="0" w:space="0" w:color="auto"/>
        <w:right w:val="none" w:sz="0" w:space="0" w:color="auto"/>
      </w:divBdr>
    </w:div>
    <w:div w:id="1945570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chive.org/details/talesfromblackwo01unknuoft" TargetMode="External"/><Relationship Id="rId13" Type="http://schemas.openxmlformats.org/officeDocument/2006/relationships/hyperlink" Target="https://archive.org/details/flyingdutchmanr00wagngoog" TargetMode="External"/><Relationship Id="rId18" Type="http://schemas.openxmlformats.org/officeDocument/2006/relationships/hyperlink" Target="http://0-search.proquest.com.pugwash.lib.warwick.ac.uk/docview/993175316?accountid=14888" TargetMode="External"/><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hyperlink" Target="https://archive.org/details/flyingdutchmana00nealgoog" TargetMode="External"/><Relationship Id="rId17" Type="http://schemas.openxmlformats.org/officeDocument/2006/relationships/hyperlink" Target="https://search.proquest.com/pubidlinkhandler/sng/pubtitle/Studies+in+Romanticism/$N/48468/OpenView/1719402814/$B/141B12590CDC4BECPQ/1?accountid=14888" TargetMode="External"/><Relationship Id="rId2" Type="http://schemas.openxmlformats.org/officeDocument/2006/relationships/numbering" Target="numbering.xml"/><Relationship Id="rId16" Type="http://schemas.openxmlformats.org/officeDocument/2006/relationships/hyperlink" Target="https://books.google.co.uk/books?id=11MzDwAAQBAJ&amp;pg=PA42&amp;lpg=PA42&amp;dq=The+Vampire+Trap+1820&amp;source=bl&amp;ots=5bLdyOxwFQ&amp;sig=t6eneNc-FKhTVdouMhrgPjkjli4&amp;hl=en&amp;sa=X&amp;ved=2ahUKEwjRwJTRstHdAhWOVsAKHUqsDDYQ6AEwDXoECAAQAQ" TargetMode="Externa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rchive.org/details/vanderdeckenorfl00tayluoft"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atalog.hathitrust.org/Record/008719219" TargetMode="External"/><Relationship Id="rId23" Type="http://schemas.openxmlformats.org/officeDocument/2006/relationships/fontTable" Target="fontTable.xml"/><Relationship Id="rId10" Type="http://schemas.openxmlformats.org/officeDocument/2006/relationships/hyperlink" Target="https://doi.org/10.1080/17460650701433673" TargetMode="External"/><Relationship Id="rId19"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r.search.yahoo.com/_ylt=AwrJQ57rvKdbXRMAlSUM34lQ;_ylu=X3oDMTByMWk2OWNtBGNvbG8DaXIyBHBvcwMyBHZ0aWQDBHNlYwNzcg--/RV=2/RE=1537748332/RO=10/RU=http%3a%2f%2fepublications.marquette.edu%2fcgi%2fviewcontent.cgi%3farticle%3d1027%26context%3denglish_fac/RK=2/RS=ZB.wM4YXY2WP6xfY6raeZtQo6hk-" TargetMode="External"/><Relationship Id="rId14" Type="http://schemas.openxmlformats.org/officeDocument/2006/relationships/hyperlink" Target="https://archive.org/details/phantomship00marruoft" TargetMode="External"/><Relationship Id="rId22"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5CDD20-285F-4ED3-91C5-BF1E20195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4750</Words>
  <Characters>27076</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Jen</dc:creator>
  <cp:keywords/>
  <dc:description/>
  <cp:lastModifiedBy>Baker, Jen</cp:lastModifiedBy>
  <cp:revision>2</cp:revision>
  <dcterms:created xsi:type="dcterms:W3CDTF">2018-09-29T08:54:00Z</dcterms:created>
  <dcterms:modified xsi:type="dcterms:W3CDTF">2018-09-29T08:54:00Z</dcterms:modified>
</cp:coreProperties>
</file>