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8423E" w:rsidRPr="00825F78" w:rsidRDefault="0008423E" w:rsidP="0008423E">
      <w:pPr>
        <w:tabs>
          <w:tab w:val="left" w:pos="7920"/>
        </w:tabs>
        <w:jc w:val="center"/>
        <w:rPr>
          <w:rFonts w:ascii="Trebuchet MS" w:hAnsi="Trebuchet MS" w:cs="Arial"/>
          <w:b/>
          <w:color w:val="00B050"/>
          <w:sz w:val="22"/>
          <w:szCs w:val="22"/>
        </w:rPr>
      </w:pPr>
      <w:r w:rsidRPr="00825F78">
        <w:rPr>
          <w:rFonts w:ascii="Trebuchet MS" w:hAnsi="Trebuchet MS" w:cs="Arial"/>
          <w:b/>
          <w:color w:val="00B050"/>
          <w:sz w:val="22"/>
          <w:szCs w:val="22"/>
        </w:rPr>
        <w:t>Sample Dissertation Proposals</w:t>
      </w:r>
    </w:p>
    <w:p w:rsidR="0008423E" w:rsidRPr="007B1191" w:rsidRDefault="0008423E" w:rsidP="0008423E">
      <w:pPr>
        <w:tabs>
          <w:tab w:val="left" w:pos="7920"/>
        </w:tabs>
        <w:jc w:val="center"/>
        <w:rPr>
          <w:rFonts w:ascii="Trebuchet MS" w:hAnsi="Trebuchet MS" w:cs="Arial"/>
          <w:b/>
          <w:sz w:val="22"/>
          <w:szCs w:val="22"/>
        </w:rPr>
      </w:pPr>
    </w:p>
    <w:p w:rsidR="0008423E" w:rsidRPr="007B1191" w:rsidRDefault="0008423E" w:rsidP="0008423E">
      <w:pPr>
        <w:tabs>
          <w:tab w:val="left" w:pos="7920"/>
        </w:tabs>
        <w:spacing w:line="276" w:lineRule="auto"/>
        <w:rPr>
          <w:rFonts w:ascii="Trebuchet MS" w:hAnsi="Trebuchet MS" w:cs="Arial"/>
          <w:sz w:val="22"/>
          <w:szCs w:val="22"/>
        </w:rPr>
      </w:pPr>
      <w:r w:rsidRPr="00BF1BE8">
        <w:rPr>
          <w:rFonts w:ascii="Trebuchet MS" w:hAnsi="Trebuchet MS" w:cs="Arial"/>
          <w:sz w:val="22"/>
          <w:szCs w:val="22"/>
        </w:rPr>
        <w:t xml:space="preserve">Below are two examples of a successful MA dissertation proposal, the first for a ‘classic’ dissertation and the second for a translation with commentary. Note particularly the robust referencing, and the way </w:t>
      </w:r>
      <w:r>
        <w:rPr>
          <w:rFonts w:ascii="Trebuchet MS" w:hAnsi="Trebuchet MS" w:cs="Arial"/>
          <w:sz w:val="22"/>
          <w:szCs w:val="22"/>
        </w:rPr>
        <w:t xml:space="preserve">in which the authors have </w:t>
      </w:r>
      <w:r w:rsidRPr="00BF1BE8">
        <w:rPr>
          <w:rFonts w:ascii="Trebuchet MS" w:hAnsi="Trebuchet MS" w:cs="Arial"/>
          <w:sz w:val="22"/>
          <w:szCs w:val="22"/>
        </w:rPr>
        <w:t>done preparatory work in the field so that clear areas of critical enquiry have already been formulated.</w:t>
      </w:r>
      <w:r w:rsidRPr="007B1191">
        <w:rPr>
          <w:rFonts w:ascii="Trebuchet MS" w:hAnsi="Trebuchet MS" w:cs="Arial"/>
          <w:sz w:val="22"/>
          <w:szCs w:val="22"/>
        </w:rPr>
        <w:t xml:space="preserve"> </w:t>
      </w:r>
    </w:p>
    <w:p w:rsidR="0008423E" w:rsidRPr="007B1191" w:rsidRDefault="0008423E" w:rsidP="0008423E">
      <w:pPr>
        <w:tabs>
          <w:tab w:val="left" w:pos="7920"/>
        </w:tabs>
        <w:spacing w:line="276" w:lineRule="auto"/>
        <w:jc w:val="center"/>
        <w:rPr>
          <w:rFonts w:ascii="Trebuchet MS" w:hAnsi="Trebuchet MS" w:cs="Arial"/>
          <w:b/>
          <w:sz w:val="22"/>
          <w:szCs w:val="22"/>
        </w:rPr>
      </w:pPr>
    </w:p>
    <w:p w:rsidR="0008423E" w:rsidRDefault="0008423E" w:rsidP="0008423E">
      <w:pPr>
        <w:tabs>
          <w:tab w:val="left" w:pos="7920"/>
        </w:tabs>
        <w:spacing w:line="276" w:lineRule="auto"/>
        <w:jc w:val="center"/>
        <w:rPr>
          <w:rFonts w:ascii="Trebuchet MS" w:hAnsi="Trebuchet MS" w:cs="Arial"/>
          <w:b/>
          <w:sz w:val="22"/>
          <w:szCs w:val="22"/>
        </w:rPr>
      </w:pPr>
    </w:p>
    <w:p w:rsidR="0008423E" w:rsidRPr="007B1191" w:rsidRDefault="0008423E" w:rsidP="0008423E">
      <w:pPr>
        <w:tabs>
          <w:tab w:val="left" w:pos="7920"/>
        </w:tabs>
        <w:spacing w:line="276" w:lineRule="auto"/>
        <w:jc w:val="center"/>
        <w:rPr>
          <w:rFonts w:ascii="Trebuchet MS" w:hAnsi="Trebuchet MS" w:cs="Arial"/>
          <w:b/>
          <w:sz w:val="22"/>
          <w:szCs w:val="22"/>
        </w:rPr>
      </w:pPr>
      <w:r>
        <w:rPr>
          <w:rFonts w:ascii="Trebuchet MS" w:hAnsi="Trebuchet MS" w:cs="Arial"/>
          <w:b/>
          <w:sz w:val="22"/>
          <w:szCs w:val="22"/>
        </w:rPr>
        <w:t xml:space="preserve">A. </w:t>
      </w:r>
      <w:r w:rsidRPr="007B1191">
        <w:rPr>
          <w:rFonts w:ascii="Trebuchet MS" w:hAnsi="Trebuchet MS" w:cs="Arial"/>
          <w:b/>
          <w:sz w:val="22"/>
          <w:szCs w:val="22"/>
        </w:rPr>
        <w:t>Modernist Poetics and the Acquisition of the Other Tongue</w:t>
      </w:r>
    </w:p>
    <w:p w:rsidR="0008423E" w:rsidRPr="007B1191" w:rsidRDefault="0008423E" w:rsidP="0008423E">
      <w:pPr>
        <w:tabs>
          <w:tab w:val="left" w:pos="7920"/>
        </w:tabs>
        <w:spacing w:line="276" w:lineRule="auto"/>
        <w:rPr>
          <w:rFonts w:ascii="Trebuchet MS" w:hAnsi="Trebuchet MS" w:cs="Arial"/>
          <w:sz w:val="22"/>
          <w:szCs w:val="22"/>
        </w:rPr>
      </w:pPr>
    </w:p>
    <w:p w:rsidR="0008423E" w:rsidRPr="007B1191" w:rsidRDefault="0008423E" w:rsidP="0008423E">
      <w:pPr>
        <w:tabs>
          <w:tab w:val="left" w:pos="7920"/>
        </w:tabs>
        <w:spacing w:line="276" w:lineRule="auto"/>
        <w:rPr>
          <w:rFonts w:ascii="Trebuchet MS" w:hAnsi="Trebuchet MS" w:cs="Arial"/>
          <w:sz w:val="22"/>
          <w:szCs w:val="22"/>
        </w:rPr>
      </w:pPr>
      <w:r w:rsidRPr="007B1191">
        <w:rPr>
          <w:rFonts w:ascii="Trebuchet MS" w:hAnsi="Trebuchet MS" w:cs="Arial"/>
          <w:sz w:val="22"/>
          <w:szCs w:val="22"/>
        </w:rPr>
        <w:t xml:space="preserve">I will reconsider the role that multilingualism plays in modernist poetry, and particularly Ezra Pound’s, by moving away from a text-based model – in which the poem is understood primarily as translation, appropriation or montage of another language’s representative texts – and towards a more author-centric one, in which the poem documents the lived experience of knowing multiple languages, each of which transcends the finite set of words and texts that its author knows. I hope that my work will extend Robert Stark’s recent assertion that Pound acquired poetic style as if it were a foreign language, but by paying attention to the more literal encounters with foreign languages that make this simile possible. However, in contrast to Stark’s model of ‘apprenticeship’, Steven Yao has argued that modernism marked the point at which mastering the source language stopped being a prerequisite for a literary translator: thus, the different ways in which Pound translated or incorporated Chinese texts into English works over the course of his career, or used original ‘handy language’ in Italian alongside quotations, may represent different heuristic approaches to a code that still remained somehow impenetrable. ‘Barbarism and onomatopoeia’, rather than forming the comfortable pair of terms sometimes used by Stark, might define a driving tension in Pound’s verse practice, between seeing another language as pure sound and as the product of another culture incompletely understood. </w:t>
      </w:r>
    </w:p>
    <w:p w:rsidR="0008423E" w:rsidRPr="007B1191" w:rsidRDefault="0008423E" w:rsidP="0008423E">
      <w:pPr>
        <w:tabs>
          <w:tab w:val="left" w:pos="7920"/>
        </w:tabs>
        <w:spacing w:line="276" w:lineRule="auto"/>
        <w:rPr>
          <w:rFonts w:ascii="Trebuchet MS" w:hAnsi="Trebuchet MS" w:cs="Arial"/>
          <w:sz w:val="22"/>
          <w:szCs w:val="22"/>
        </w:rPr>
      </w:pPr>
      <w:r w:rsidRPr="007B1191">
        <w:rPr>
          <w:rFonts w:ascii="Trebuchet MS" w:hAnsi="Trebuchet MS" w:cs="Arial"/>
          <w:sz w:val="22"/>
          <w:szCs w:val="22"/>
        </w:rPr>
        <w:t xml:space="preserve">   </w:t>
      </w:r>
    </w:p>
    <w:p w:rsidR="0008423E" w:rsidRPr="007B1191" w:rsidRDefault="0008423E" w:rsidP="0008423E">
      <w:pPr>
        <w:tabs>
          <w:tab w:val="left" w:pos="7920"/>
        </w:tabs>
        <w:spacing w:line="276" w:lineRule="auto"/>
        <w:rPr>
          <w:rFonts w:ascii="Trebuchet MS" w:hAnsi="Trebuchet MS" w:cs="Arial"/>
          <w:sz w:val="22"/>
          <w:szCs w:val="22"/>
        </w:rPr>
      </w:pPr>
      <w:proofErr w:type="spellStart"/>
      <w:r w:rsidRPr="007B1191">
        <w:rPr>
          <w:rFonts w:ascii="Trebuchet MS" w:hAnsi="Trebuchet MS" w:cs="Arial"/>
          <w:sz w:val="22"/>
          <w:szCs w:val="22"/>
        </w:rPr>
        <w:t>Mutlu</w:t>
      </w:r>
      <w:proofErr w:type="spellEnd"/>
      <w:r w:rsidRPr="007B1191">
        <w:rPr>
          <w:rFonts w:ascii="Trebuchet MS" w:hAnsi="Trebuchet MS" w:cs="Arial"/>
          <w:sz w:val="22"/>
          <w:szCs w:val="22"/>
        </w:rPr>
        <w:t xml:space="preserve"> </w:t>
      </w:r>
      <w:proofErr w:type="spellStart"/>
      <w:r w:rsidRPr="007B1191">
        <w:rPr>
          <w:rFonts w:ascii="Trebuchet MS" w:hAnsi="Trebuchet MS" w:cs="Arial"/>
          <w:sz w:val="22"/>
          <w:szCs w:val="22"/>
        </w:rPr>
        <w:t>Konuk</w:t>
      </w:r>
      <w:proofErr w:type="spellEnd"/>
      <w:r w:rsidRPr="007B1191">
        <w:rPr>
          <w:rFonts w:ascii="Trebuchet MS" w:hAnsi="Trebuchet MS" w:cs="Arial"/>
          <w:sz w:val="22"/>
          <w:szCs w:val="22"/>
        </w:rPr>
        <w:t xml:space="preserve"> </w:t>
      </w:r>
      <w:proofErr w:type="spellStart"/>
      <w:r w:rsidRPr="007B1191">
        <w:rPr>
          <w:rFonts w:ascii="Trebuchet MS" w:hAnsi="Trebuchet MS" w:cs="Arial"/>
          <w:sz w:val="22"/>
          <w:szCs w:val="22"/>
        </w:rPr>
        <w:t>Blasing’s</w:t>
      </w:r>
      <w:proofErr w:type="spellEnd"/>
      <w:r w:rsidRPr="007B1191">
        <w:rPr>
          <w:rFonts w:ascii="Trebuchet MS" w:hAnsi="Trebuchet MS" w:cs="Arial"/>
          <w:sz w:val="22"/>
          <w:szCs w:val="22"/>
        </w:rPr>
        <w:t xml:space="preserve"> </w:t>
      </w:r>
      <w:r w:rsidRPr="007B1191">
        <w:rPr>
          <w:rFonts w:ascii="Trebuchet MS" w:hAnsi="Trebuchet MS" w:cs="Arial"/>
          <w:i/>
          <w:sz w:val="22"/>
          <w:szCs w:val="22"/>
        </w:rPr>
        <w:t>Lyric Poetry</w:t>
      </w:r>
      <w:r w:rsidRPr="007B1191">
        <w:rPr>
          <w:rFonts w:ascii="Trebuchet MS" w:hAnsi="Trebuchet MS" w:cs="Arial"/>
          <w:sz w:val="22"/>
          <w:szCs w:val="22"/>
        </w:rPr>
        <w:t xml:space="preserve"> will be an important source: although she focuses almost exclusively on the role of the mother tongue, and uses it to justify lyric’s untranslatability, many of the phenomena which she associates with first language acquisition, such as the delay in recognising phonemes, are also relevant to second language acquisition. I also hope to move beyond </w:t>
      </w:r>
      <w:proofErr w:type="spellStart"/>
      <w:r w:rsidRPr="007B1191">
        <w:rPr>
          <w:rFonts w:ascii="Trebuchet MS" w:hAnsi="Trebuchet MS" w:cs="Arial"/>
          <w:sz w:val="22"/>
          <w:szCs w:val="22"/>
        </w:rPr>
        <w:t>Blasing’s</w:t>
      </w:r>
      <w:proofErr w:type="spellEnd"/>
      <w:r w:rsidRPr="007B1191">
        <w:rPr>
          <w:rFonts w:ascii="Trebuchet MS" w:hAnsi="Trebuchet MS" w:cs="Arial"/>
          <w:sz w:val="22"/>
          <w:szCs w:val="22"/>
        </w:rPr>
        <w:t xml:space="preserve"> cognitive and psychoanalytic approaches, to position Pound within a broader cultural history of language acquisition theory: texts to investigate may include the prose treatises by Dante that he admired, and contemporary reflections on language-learning by Leo Spitzer. I expect to offer a reading of Cantos LXXII and LXXIII (perhaps alongside T S Eliot’s early French poems) in light of this investigation, as possible oversights in </w:t>
      </w:r>
      <w:proofErr w:type="spellStart"/>
      <w:r w:rsidRPr="007B1191">
        <w:rPr>
          <w:rFonts w:ascii="Trebuchet MS" w:hAnsi="Trebuchet MS" w:cs="Arial"/>
          <w:sz w:val="22"/>
          <w:szCs w:val="22"/>
        </w:rPr>
        <w:t>Blasing’s</w:t>
      </w:r>
      <w:proofErr w:type="spellEnd"/>
      <w:r w:rsidRPr="007B1191">
        <w:rPr>
          <w:rFonts w:ascii="Trebuchet MS" w:hAnsi="Trebuchet MS" w:cs="Arial"/>
          <w:sz w:val="22"/>
          <w:szCs w:val="22"/>
        </w:rPr>
        <w:t xml:space="preserve"> argument.</w:t>
      </w:r>
    </w:p>
    <w:p w:rsidR="0008423E" w:rsidRPr="007B1191" w:rsidRDefault="0008423E" w:rsidP="0008423E">
      <w:pPr>
        <w:tabs>
          <w:tab w:val="left" w:pos="7920"/>
        </w:tabs>
        <w:spacing w:line="276" w:lineRule="auto"/>
        <w:rPr>
          <w:rFonts w:ascii="Trebuchet MS" w:hAnsi="Trebuchet MS" w:cs="Arial"/>
          <w:sz w:val="22"/>
          <w:szCs w:val="22"/>
        </w:rPr>
      </w:pPr>
    </w:p>
    <w:p w:rsidR="0008423E" w:rsidRPr="007B1191" w:rsidRDefault="0008423E" w:rsidP="0008423E">
      <w:pPr>
        <w:tabs>
          <w:tab w:val="left" w:pos="7920"/>
        </w:tabs>
        <w:spacing w:line="276" w:lineRule="auto"/>
        <w:rPr>
          <w:rFonts w:ascii="Trebuchet MS" w:hAnsi="Trebuchet MS" w:cs="Arial"/>
          <w:sz w:val="22"/>
          <w:szCs w:val="22"/>
        </w:rPr>
      </w:pPr>
      <w:r w:rsidRPr="007B1191">
        <w:rPr>
          <w:rFonts w:ascii="Trebuchet MS" w:hAnsi="Trebuchet MS" w:cs="Arial"/>
          <w:sz w:val="22"/>
          <w:szCs w:val="22"/>
        </w:rPr>
        <w:t xml:space="preserve">Both </w:t>
      </w:r>
      <w:proofErr w:type="spellStart"/>
      <w:r w:rsidRPr="007B1191">
        <w:rPr>
          <w:rFonts w:ascii="Trebuchet MS" w:hAnsi="Trebuchet MS" w:cs="Arial"/>
          <w:sz w:val="22"/>
          <w:szCs w:val="22"/>
        </w:rPr>
        <w:t>Blasing’s</w:t>
      </w:r>
      <w:proofErr w:type="spellEnd"/>
      <w:r w:rsidRPr="007B1191">
        <w:rPr>
          <w:rFonts w:ascii="Trebuchet MS" w:hAnsi="Trebuchet MS" w:cs="Arial"/>
          <w:sz w:val="22"/>
          <w:szCs w:val="22"/>
        </w:rPr>
        <w:t xml:space="preserve"> and Stark’s monographs are bound up in questions of genre definition which deserve further consideration. I intend to develop the arguments of those critics, such as Simon Jarvis, who have questioned whether </w:t>
      </w:r>
      <w:proofErr w:type="spellStart"/>
      <w:r w:rsidRPr="007B1191">
        <w:rPr>
          <w:rFonts w:ascii="Trebuchet MS" w:hAnsi="Trebuchet MS" w:cs="Arial"/>
          <w:sz w:val="22"/>
          <w:szCs w:val="22"/>
        </w:rPr>
        <w:t>Blasing’s</w:t>
      </w:r>
      <w:proofErr w:type="spellEnd"/>
      <w:r w:rsidRPr="007B1191">
        <w:rPr>
          <w:rFonts w:ascii="Trebuchet MS" w:hAnsi="Trebuchet MS" w:cs="Arial"/>
          <w:sz w:val="22"/>
          <w:szCs w:val="22"/>
        </w:rPr>
        <w:t xml:space="preserve"> arguments define lyric poetry alone. How might language acquisition also be important for a definition of epic, especially in light of its traditional association with nation-building and Wai Chee Dimock’s recent vision of the genre as a carrier of foreign lexis? If, for </w:t>
      </w:r>
      <w:proofErr w:type="spellStart"/>
      <w:r w:rsidRPr="007B1191">
        <w:rPr>
          <w:rFonts w:ascii="Trebuchet MS" w:hAnsi="Trebuchet MS" w:cs="Arial"/>
          <w:sz w:val="22"/>
          <w:szCs w:val="22"/>
        </w:rPr>
        <w:t>Blasing</w:t>
      </w:r>
      <w:proofErr w:type="spellEnd"/>
      <w:r w:rsidRPr="007B1191">
        <w:rPr>
          <w:rFonts w:ascii="Trebuchet MS" w:hAnsi="Trebuchet MS" w:cs="Arial"/>
          <w:sz w:val="22"/>
          <w:szCs w:val="22"/>
        </w:rPr>
        <w:t>, lyric ‘</w:t>
      </w:r>
      <w:proofErr w:type="spellStart"/>
      <w:r w:rsidRPr="007B1191">
        <w:rPr>
          <w:rFonts w:ascii="Trebuchet MS" w:hAnsi="Trebuchet MS" w:cs="Arial"/>
          <w:sz w:val="22"/>
          <w:szCs w:val="22"/>
        </w:rPr>
        <w:t>dramatises</w:t>
      </w:r>
      <w:proofErr w:type="spellEnd"/>
      <w:r w:rsidRPr="007B1191">
        <w:rPr>
          <w:rFonts w:ascii="Trebuchet MS" w:hAnsi="Trebuchet MS" w:cs="Arial"/>
          <w:sz w:val="22"/>
          <w:szCs w:val="22"/>
        </w:rPr>
        <w:t xml:space="preserve">’ the struggle to enter a language-speaking community, is it more fully </w:t>
      </w:r>
      <w:proofErr w:type="spellStart"/>
      <w:r w:rsidRPr="007B1191">
        <w:rPr>
          <w:rFonts w:ascii="Trebuchet MS" w:hAnsi="Trebuchet MS" w:cs="Arial"/>
          <w:sz w:val="22"/>
          <w:szCs w:val="22"/>
        </w:rPr>
        <w:t>dramatised</w:t>
      </w:r>
      <w:proofErr w:type="spellEnd"/>
      <w:r w:rsidRPr="007B1191">
        <w:rPr>
          <w:rFonts w:ascii="Trebuchet MS" w:hAnsi="Trebuchet MS" w:cs="Arial"/>
          <w:sz w:val="22"/>
          <w:szCs w:val="22"/>
        </w:rPr>
        <w:t xml:space="preserve"> in a text </w:t>
      </w:r>
      <w:r w:rsidRPr="007B1191">
        <w:rPr>
          <w:rFonts w:ascii="Trebuchet MS" w:hAnsi="Trebuchet MS" w:cs="Arial"/>
          <w:sz w:val="22"/>
          <w:szCs w:val="22"/>
        </w:rPr>
        <w:lastRenderedPageBreak/>
        <w:t xml:space="preserve">such as Pound’s </w:t>
      </w:r>
      <w:r w:rsidRPr="007B1191">
        <w:rPr>
          <w:rFonts w:ascii="Trebuchet MS" w:hAnsi="Trebuchet MS" w:cs="Arial"/>
          <w:i/>
          <w:sz w:val="22"/>
          <w:szCs w:val="22"/>
        </w:rPr>
        <w:t>Elektra</w:t>
      </w:r>
      <w:r w:rsidRPr="007B1191">
        <w:rPr>
          <w:rFonts w:ascii="Trebuchet MS" w:hAnsi="Trebuchet MS" w:cs="Arial"/>
          <w:sz w:val="22"/>
          <w:szCs w:val="22"/>
        </w:rPr>
        <w:t>, where traumatic experience is manifested in a conflation of American vernacular and untranslated Greek?</w:t>
      </w:r>
    </w:p>
    <w:p w:rsidR="0008423E" w:rsidRPr="007B1191" w:rsidRDefault="0008423E" w:rsidP="0008423E">
      <w:pPr>
        <w:tabs>
          <w:tab w:val="left" w:pos="7920"/>
        </w:tabs>
        <w:spacing w:line="276" w:lineRule="auto"/>
        <w:rPr>
          <w:rFonts w:ascii="Trebuchet MS" w:hAnsi="Trebuchet MS" w:cs="Arial"/>
          <w:sz w:val="22"/>
          <w:szCs w:val="22"/>
        </w:rPr>
      </w:pPr>
    </w:p>
    <w:p w:rsidR="0008423E" w:rsidRPr="007B1191" w:rsidRDefault="0008423E" w:rsidP="0008423E">
      <w:pPr>
        <w:tabs>
          <w:tab w:val="left" w:pos="7920"/>
        </w:tabs>
        <w:spacing w:line="276" w:lineRule="auto"/>
        <w:rPr>
          <w:rFonts w:ascii="Trebuchet MS" w:hAnsi="Trebuchet MS" w:cs="Arial"/>
          <w:sz w:val="22"/>
          <w:szCs w:val="22"/>
        </w:rPr>
      </w:pPr>
      <w:r w:rsidRPr="007B1191">
        <w:rPr>
          <w:rFonts w:ascii="Trebuchet MS" w:hAnsi="Trebuchet MS" w:cs="Arial"/>
          <w:sz w:val="22"/>
          <w:szCs w:val="22"/>
        </w:rPr>
        <w:t xml:space="preserve">Here, it may be fruitful to compare Pound’s choral dramas to Eliot’s: </w:t>
      </w:r>
      <w:r w:rsidRPr="007B1191">
        <w:rPr>
          <w:rFonts w:ascii="Trebuchet MS" w:hAnsi="Trebuchet MS" w:cs="Arial"/>
          <w:i/>
          <w:sz w:val="22"/>
          <w:szCs w:val="22"/>
        </w:rPr>
        <w:t>Murder in the Cathedral</w:t>
      </w:r>
      <w:r w:rsidRPr="007B1191">
        <w:rPr>
          <w:rFonts w:ascii="Trebuchet MS" w:hAnsi="Trebuchet MS" w:cs="Arial"/>
          <w:sz w:val="22"/>
          <w:szCs w:val="22"/>
        </w:rPr>
        <w:t xml:space="preserve">, for example, updates English vernacular drama, but by incorporating a ‘babbling’ chorus who imitate classical tragedy. While I expect the changes in Pound’s practice over the course of his career to provide the structure for my final project, I look forward to paying attention to points of comparison with other, less canonical modernists. These could include Hope </w:t>
      </w:r>
      <w:proofErr w:type="spellStart"/>
      <w:r w:rsidRPr="007B1191">
        <w:rPr>
          <w:rFonts w:ascii="Trebuchet MS" w:hAnsi="Trebuchet MS" w:cs="Arial"/>
          <w:sz w:val="22"/>
          <w:szCs w:val="22"/>
        </w:rPr>
        <w:t>Mirrlees’s</w:t>
      </w:r>
      <w:proofErr w:type="spellEnd"/>
      <w:r w:rsidRPr="007B1191">
        <w:rPr>
          <w:rFonts w:ascii="Trebuchet MS" w:hAnsi="Trebuchet MS" w:cs="Arial"/>
          <w:sz w:val="22"/>
          <w:szCs w:val="22"/>
        </w:rPr>
        <w:t xml:space="preserve"> use of montage to search for a ‘</w:t>
      </w:r>
      <w:proofErr w:type="spellStart"/>
      <w:r w:rsidRPr="007B1191">
        <w:rPr>
          <w:rFonts w:ascii="Trebuchet MS" w:hAnsi="Trebuchet MS" w:cs="Arial"/>
          <w:sz w:val="22"/>
          <w:szCs w:val="22"/>
        </w:rPr>
        <w:t>holophrase</w:t>
      </w:r>
      <w:proofErr w:type="spellEnd"/>
      <w:r w:rsidRPr="007B1191">
        <w:rPr>
          <w:rFonts w:ascii="Trebuchet MS" w:hAnsi="Trebuchet MS" w:cs="Arial"/>
          <w:sz w:val="22"/>
          <w:szCs w:val="22"/>
        </w:rPr>
        <w:t xml:space="preserve">’ in </w:t>
      </w:r>
      <w:r w:rsidRPr="007B1191">
        <w:rPr>
          <w:rFonts w:ascii="Trebuchet MS" w:hAnsi="Trebuchet MS" w:cs="Arial"/>
          <w:i/>
          <w:sz w:val="22"/>
          <w:szCs w:val="22"/>
        </w:rPr>
        <w:t>Paris</w:t>
      </w:r>
      <w:r w:rsidRPr="007B1191">
        <w:rPr>
          <w:rFonts w:ascii="Trebuchet MS" w:hAnsi="Trebuchet MS" w:cs="Arial"/>
          <w:sz w:val="22"/>
          <w:szCs w:val="22"/>
        </w:rPr>
        <w:t xml:space="preserve">; Basil Bunting’s insistence on a regional vernacular, but against a backdrop of international cultural references; and the artificial languages of Futurist and Dada sound art, which work both to reject subjectivity and forge international communities. </w:t>
      </w:r>
    </w:p>
    <w:p w:rsidR="0008423E" w:rsidRPr="007B1191" w:rsidRDefault="0008423E" w:rsidP="0008423E">
      <w:pPr>
        <w:tabs>
          <w:tab w:val="left" w:pos="7920"/>
        </w:tabs>
        <w:spacing w:line="276" w:lineRule="auto"/>
        <w:rPr>
          <w:rFonts w:ascii="Trebuchet MS" w:hAnsi="Trebuchet MS" w:cs="Arial"/>
          <w:b/>
          <w:sz w:val="22"/>
          <w:szCs w:val="22"/>
        </w:rPr>
      </w:pPr>
      <w:r w:rsidRPr="007B1191">
        <w:rPr>
          <w:rFonts w:ascii="Trebuchet MS" w:hAnsi="Trebuchet MS" w:cs="Arial"/>
          <w:sz w:val="22"/>
          <w:szCs w:val="22"/>
        </w:rPr>
        <w:t xml:space="preserve">  </w:t>
      </w:r>
    </w:p>
    <w:p w:rsidR="0008423E" w:rsidRDefault="0008423E" w:rsidP="0008423E">
      <w:pPr>
        <w:tabs>
          <w:tab w:val="left" w:pos="7920"/>
        </w:tabs>
        <w:rPr>
          <w:rFonts w:ascii="Trebuchet MS" w:hAnsi="Trebuchet MS" w:cs="Arial"/>
          <w:b/>
          <w:sz w:val="22"/>
          <w:szCs w:val="22"/>
        </w:rPr>
      </w:pPr>
    </w:p>
    <w:p w:rsidR="0008423E" w:rsidRPr="007B1191" w:rsidRDefault="0008423E" w:rsidP="0008423E">
      <w:pPr>
        <w:tabs>
          <w:tab w:val="left" w:pos="7920"/>
        </w:tabs>
        <w:rPr>
          <w:rFonts w:ascii="Trebuchet MS" w:hAnsi="Trebuchet MS" w:cs="Arial"/>
          <w:b/>
          <w:sz w:val="22"/>
          <w:szCs w:val="22"/>
        </w:rPr>
      </w:pPr>
      <w:r w:rsidRPr="007B1191">
        <w:rPr>
          <w:rFonts w:ascii="Trebuchet MS" w:hAnsi="Trebuchet MS" w:cs="Arial"/>
          <w:b/>
          <w:sz w:val="22"/>
          <w:szCs w:val="22"/>
        </w:rPr>
        <w:t>Critical Bibliography</w:t>
      </w:r>
    </w:p>
    <w:p w:rsidR="0008423E" w:rsidRPr="007B1191" w:rsidRDefault="0008423E" w:rsidP="0008423E">
      <w:pPr>
        <w:tabs>
          <w:tab w:val="left" w:pos="7920"/>
        </w:tabs>
        <w:rPr>
          <w:rFonts w:ascii="Trebuchet MS" w:hAnsi="Trebuchet MS" w:cs="Arial"/>
          <w:sz w:val="22"/>
          <w:szCs w:val="22"/>
        </w:rPr>
      </w:pPr>
    </w:p>
    <w:p w:rsidR="0008423E" w:rsidRPr="007B1191" w:rsidRDefault="0008423E" w:rsidP="0008423E">
      <w:pPr>
        <w:tabs>
          <w:tab w:val="left" w:pos="7920"/>
        </w:tabs>
        <w:rPr>
          <w:rFonts w:ascii="Trebuchet MS" w:hAnsi="Trebuchet MS" w:cs="Arial"/>
          <w:sz w:val="22"/>
          <w:szCs w:val="22"/>
        </w:rPr>
      </w:pPr>
      <w:proofErr w:type="spellStart"/>
      <w:r w:rsidRPr="007B1191">
        <w:rPr>
          <w:rFonts w:ascii="Trebuchet MS" w:hAnsi="Trebuchet MS" w:cs="Arial"/>
          <w:sz w:val="22"/>
          <w:szCs w:val="22"/>
        </w:rPr>
        <w:t>Arrowsmith</w:t>
      </w:r>
      <w:proofErr w:type="spellEnd"/>
      <w:r w:rsidRPr="007B1191">
        <w:rPr>
          <w:rFonts w:ascii="Trebuchet MS" w:hAnsi="Trebuchet MS" w:cs="Arial"/>
          <w:sz w:val="22"/>
          <w:szCs w:val="22"/>
        </w:rPr>
        <w:t xml:space="preserve">, Richard Rupert, </w:t>
      </w:r>
      <w:r w:rsidRPr="007B1191">
        <w:rPr>
          <w:rFonts w:ascii="Trebuchet MS" w:hAnsi="Trebuchet MS" w:cs="Arial"/>
          <w:i/>
          <w:sz w:val="22"/>
          <w:szCs w:val="22"/>
        </w:rPr>
        <w:t>Modernism and the Museum: Asian, African and Pacific Art and the London Avant-Garde</w:t>
      </w:r>
      <w:r w:rsidRPr="007B1191">
        <w:rPr>
          <w:rFonts w:ascii="Trebuchet MS" w:hAnsi="Trebuchet MS" w:cs="Arial"/>
          <w:sz w:val="22"/>
          <w:szCs w:val="22"/>
        </w:rPr>
        <w:t xml:space="preserve"> (Oxford: Oxford University Press, 2010).</w:t>
      </w:r>
    </w:p>
    <w:p w:rsidR="0008423E" w:rsidRPr="007B1191" w:rsidRDefault="0008423E" w:rsidP="0008423E">
      <w:pPr>
        <w:tabs>
          <w:tab w:val="left" w:pos="7920"/>
        </w:tabs>
        <w:rPr>
          <w:rFonts w:ascii="Trebuchet MS" w:hAnsi="Trebuchet MS" w:cs="Arial"/>
          <w:sz w:val="22"/>
          <w:szCs w:val="22"/>
        </w:rPr>
      </w:pPr>
    </w:p>
    <w:p w:rsidR="0008423E" w:rsidRPr="007B1191" w:rsidRDefault="0008423E" w:rsidP="0008423E">
      <w:pPr>
        <w:tabs>
          <w:tab w:val="left" w:pos="7920"/>
        </w:tabs>
        <w:rPr>
          <w:rFonts w:ascii="Trebuchet MS" w:hAnsi="Trebuchet MS" w:cs="Arial"/>
          <w:sz w:val="22"/>
          <w:szCs w:val="22"/>
        </w:rPr>
      </w:pPr>
      <w:r w:rsidRPr="007B1191">
        <w:rPr>
          <w:rFonts w:ascii="Trebuchet MS" w:hAnsi="Trebuchet MS" w:cs="Arial"/>
          <w:sz w:val="22"/>
          <w:szCs w:val="22"/>
        </w:rPr>
        <w:t>(</w:t>
      </w:r>
      <w:proofErr w:type="gramStart"/>
      <w:r w:rsidRPr="007B1191">
        <w:rPr>
          <w:rFonts w:ascii="Trebuchet MS" w:hAnsi="Trebuchet MS" w:cs="Arial"/>
          <w:sz w:val="22"/>
          <w:szCs w:val="22"/>
        </w:rPr>
        <w:t>ed</w:t>
      </w:r>
      <w:proofErr w:type="gramEnd"/>
      <w:r w:rsidRPr="007B1191">
        <w:rPr>
          <w:rFonts w:ascii="Trebuchet MS" w:hAnsi="Trebuchet MS" w:cs="Arial"/>
          <w:sz w:val="22"/>
          <w:szCs w:val="22"/>
        </w:rPr>
        <w:t xml:space="preserve">.) Bates, Catherine, </w:t>
      </w:r>
      <w:r w:rsidRPr="007B1191">
        <w:rPr>
          <w:rFonts w:ascii="Trebuchet MS" w:hAnsi="Trebuchet MS" w:cs="Arial"/>
          <w:i/>
          <w:sz w:val="22"/>
          <w:szCs w:val="22"/>
        </w:rPr>
        <w:t>The Cambridge Companion to the Epic</w:t>
      </w:r>
      <w:r w:rsidRPr="007B1191">
        <w:rPr>
          <w:rFonts w:ascii="Trebuchet MS" w:hAnsi="Trebuchet MS" w:cs="Arial"/>
          <w:sz w:val="22"/>
          <w:szCs w:val="22"/>
        </w:rPr>
        <w:t xml:space="preserve"> (Cambridge: Cambridge University Press, 2010) [essays by </w:t>
      </w:r>
      <w:proofErr w:type="spellStart"/>
      <w:r w:rsidRPr="007B1191">
        <w:rPr>
          <w:rFonts w:ascii="Trebuchet MS" w:hAnsi="Trebuchet MS" w:cs="Arial"/>
          <w:sz w:val="22"/>
          <w:szCs w:val="22"/>
        </w:rPr>
        <w:t>Freccero</w:t>
      </w:r>
      <w:proofErr w:type="spellEnd"/>
      <w:r w:rsidRPr="007B1191">
        <w:rPr>
          <w:rFonts w:ascii="Trebuchet MS" w:hAnsi="Trebuchet MS" w:cs="Arial"/>
          <w:sz w:val="22"/>
          <w:szCs w:val="22"/>
        </w:rPr>
        <w:t>, Whittier-Ferguson and Merchant].</w:t>
      </w:r>
    </w:p>
    <w:p w:rsidR="0008423E" w:rsidRPr="007B1191" w:rsidRDefault="0008423E" w:rsidP="0008423E">
      <w:pPr>
        <w:tabs>
          <w:tab w:val="left" w:pos="7920"/>
        </w:tabs>
        <w:rPr>
          <w:rFonts w:ascii="Trebuchet MS" w:hAnsi="Trebuchet MS" w:cs="Arial"/>
          <w:sz w:val="22"/>
          <w:szCs w:val="22"/>
        </w:rPr>
      </w:pPr>
    </w:p>
    <w:p w:rsidR="0008423E" w:rsidRPr="007B1191" w:rsidRDefault="0008423E" w:rsidP="0008423E">
      <w:pPr>
        <w:tabs>
          <w:tab w:val="left" w:pos="7920"/>
        </w:tabs>
        <w:rPr>
          <w:rFonts w:ascii="Trebuchet MS" w:hAnsi="Trebuchet MS" w:cs="Arial"/>
          <w:sz w:val="22"/>
          <w:szCs w:val="22"/>
        </w:rPr>
      </w:pPr>
      <w:proofErr w:type="spellStart"/>
      <w:r w:rsidRPr="007B1191">
        <w:rPr>
          <w:rFonts w:ascii="Trebuchet MS" w:hAnsi="Trebuchet MS" w:cs="Arial"/>
          <w:sz w:val="22"/>
          <w:szCs w:val="22"/>
        </w:rPr>
        <w:t>Blasing</w:t>
      </w:r>
      <w:proofErr w:type="spellEnd"/>
      <w:r w:rsidRPr="007B1191">
        <w:rPr>
          <w:rFonts w:ascii="Trebuchet MS" w:hAnsi="Trebuchet MS" w:cs="Arial"/>
          <w:sz w:val="22"/>
          <w:szCs w:val="22"/>
        </w:rPr>
        <w:t xml:space="preserve">, </w:t>
      </w:r>
      <w:proofErr w:type="spellStart"/>
      <w:r w:rsidRPr="007B1191">
        <w:rPr>
          <w:rFonts w:ascii="Trebuchet MS" w:hAnsi="Trebuchet MS" w:cs="Arial"/>
          <w:sz w:val="22"/>
          <w:szCs w:val="22"/>
        </w:rPr>
        <w:t>Mutlu</w:t>
      </w:r>
      <w:proofErr w:type="spellEnd"/>
      <w:r w:rsidRPr="007B1191">
        <w:rPr>
          <w:rFonts w:ascii="Trebuchet MS" w:hAnsi="Trebuchet MS" w:cs="Arial"/>
          <w:sz w:val="22"/>
          <w:szCs w:val="22"/>
        </w:rPr>
        <w:t xml:space="preserve"> </w:t>
      </w:r>
      <w:proofErr w:type="spellStart"/>
      <w:r w:rsidRPr="007B1191">
        <w:rPr>
          <w:rFonts w:ascii="Trebuchet MS" w:hAnsi="Trebuchet MS" w:cs="Arial"/>
          <w:sz w:val="22"/>
          <w:szCs w:val="22"/>
        </w:rPr>
        <w:t>Konuk</w:t>
      </w:r>
      <w:proofErr w:type="spellEnd"/>
      <w:r w:rsidRPr="007B1191">
        <w:rPr>
          <w:rFonts w:ascii="Trebuchet MS" w:hAnsi="Trebuchet MS" w:cs="Arial"/>
          <w:sz w:val="22"/>
          <w:szCs w:val="22"/>
        </w:rPr>
        <w:t xml:space="preserve">, </w:t>
      </w:r>
      <w:r w:rsidRPr="007B1191">
        <w:rPr>
          <w:rFonts w:ascii="Trebuchet MS" w:hAnsi="Trebuchet MS" w:cs="Arial"/>
          <w:i/>
          <w:sz w:val="22"/>
          <w:szCs w:val="22"/>
        </w:rPr>
        <w:t>Lyric Poetry: The Pleasure and the Pain of Words</w:t>
      </w:r>
      <w:r w:rsidRPr="007B1191">
        <w:rPr>
          <w:rFonts w:ascii="Trebuchet MS" w:hAnsi="Trebuchet MS" w:cs="Arial"/>
          <w:sz w:val="22"/>
          <w:szCs w:val="22"/>
        </w:rPr>
        <w:t xml:space="preserve"> (Princeton and Oxford: Princeton University Press, 2007). </w:t>
      </w:r>
    </w:p>
    <w:p w:rsidR="0008423E" w:rsidRPr="007B1191" w:rsidRDefault="0008423E" w:rsidP="0008423E">
      <w:pPr>
        <w:tabs>
          <w:tab w:val="left" w:pos="7920"/>
        </w:tabs>
        <w:rPr>
          <w:rFonts w:ascii="Trebuchet MS" w:hAnsi="Trebuchet MS" w:cs="Arial"/>
          <w:sz w:val="22"/>
          <w:szCs w:val="22"/>
        </w:rPr>
      </w:pPr>
    </w:p>
    <w:p w:rsidR="0008423E" w:rsidRPr="007B1191" w:rsidRDefault="0008423E" w:rsidP="0008423E">
      <w:pPr>
        <w:tabs>
          <w:tab w:val="left" w:pos="7920"/>
        </w:tabs>
        <w:rPr>
          <w:rFonts w:ascii="Trebuchet MS" w:hAnsi="Trebuchet MS" w:cs="Arial"/>
          <w:sz w:val="22"/>
          <w:szCs w:val="22"/>
        </w:rPr>
      </w:pPr>
      <w:r w:rsidRPr="007B1191">
        <w:rPr>
          <w:rFonts w:ascii="Trebuchet MS" w:hAnsi="Trebuchet MS" w:cs="Arial"/>
          <w:sz w:val="22"/>
          <w:szCs w:val="22"/>
        </w:rPr>
        <w:t xml:space="preserve">Dimock, Wai Chee, </w:t>
      </w:r>
      <w:r w:rsidRPr="007B1191">
        <w:rPr>
          <w:rFonts w:ascii="Trebuchet MS" w:hAnsi="Trebuchet MS" w:cs="Arial"/>
          <w:i/>
          <w:sz w:val="22"/>
          <w:szCs w:val="22"/>
        </w:rPr>
        <w:t xml:space="preserve">Through Other Continents: American Literature </w:t>
      </w:r>
      <w:proofErr w:type="gramStart"/>
      <w:r w:rsidRPr="007B1191">
        <w:rPr>
          <w:rFonts w:ascii="Trebuchet MS" w:hAnsi="Trebuchet MS" w:cs="Arial"/>
          <w:i/>
          <w:sz w:val="22"/>
          <w:szCs w:val="22"/>
        </w:rPr>
        <w:t>Across</w:t>
      </w:r>
      <w:proofErr w:type="gramEnd"/>
      <w:r w:rsidRPr="007B1191">
        <w:rPr>
          <w:rFonts w:ascii="Trebuchet MS" w:hAnsi="Trebuchet MS" w:cs="Arial"/>
          <w:i/>
          <w:sz w:val="22"/>
          <w:szCs w:val="22"/>
        </w:rPr>
        <w:t xml:space="preserve"> Deep Time</w:t>
      </w:r>
      <w:r w:rsidRPr="007B1191">
        <w:rPr>
          <w:rFonts w:ascii="Trebuchet MS" w:hAnsi="Trebuchet MS" w:cs="Arial"/>
          <w:sz w:val="22"/>
          <w:szCs w:val="22"/>
        </w:rPr>
        <w:t xml:space="preserve"> (Princeton and Oxford: Princeton University Press, 2006).</w:t>
      </w:r>
    </w:p>
    <w:p w:rsidR="0008423E" w:rsidRPr="007B1191" w:rsidRDefault="0008423E" w:rsidP="0008423E">
      <w:pPr>
        <w:tabs>
          <w:tab w:val="left" w:pos="7920"/>
        </w:tabs>
        <w:rPr>
          <w:rFonts w:ascii="Trebuchet MS" w:hAnsi="Trebuchet MS" w:cs="Arial"/>
          <w:sz w:val="22"/>
          <w:szCs w:val="22"/>
        </w:rPr>
      </w:pPr>
    </w:p>
    <w:p w:rsidR="0008423E" w:rsidRPr="007B1191" w:rsidRDefault="0008423E" w:rsidP="0008423E">
      <w:pPr>
        <w:tabs>
          <w:tab w:val="left" w:pos="7920"/>
        </w:tabs>
        <w:rPr>
          <w:rFonts w:ascii="Trebuchet MS" w:hAnsi="Trebuchet MS" w:cs="Arial"/>
          <w:sz w:val="22"/>
          <w:szCs w:val="22"/>
        </w:rPr>
      </w:pPr>
      <w:r w:rsidRPr="007B1191">
        <w:rPr>
          <w:rFonts w:ascii="Trebuchet MS" w:hAnsi="Trebuchet MS" w:cs="Arial"/>
          <w:sz w:val="22"/>
          <w:szCs w:val="22"/>
        </w:rPr>
        <w:t xml:space="preserve">Ellis, Rod, </w:t>
      </w:r>
      <w:r w:rsidRPr="007B1191">
        <w:rPr>
          <w:rFonts w:ascii="Trebuchet MS" w:hAnsi="Trebuchet MS" w:cs="Arial"/>
          <w:i/>
          <w:sz w:val="22"/>
          <w:szCs w:val="22"/>
        </w:rPr>
        <w:t>Second Language Acquisition</w:t>
      </w:r>
      <w:r w:rsidRPr="007B1191">
        <w:rPr>
          <w:rFonts w:ascii="Trebuchet MS" w:hAnsi="Trebuchet MS" w:cs="Arial"/>
          <w:sz w:val="22"/>
          <w:szCs w:val="22"/>
        </w:rPr>
        <w:t xml:space="preserve"> (Oxford: Oxford University Press, 1997).</w:t>
      </w:r>
    </w:p>
    <w:p w:rsidR="0008423E" w:rsidRPr="007B1191" w:rsidRDefault="0008423E" w:rsidP="0008423E">
      <w:pPr>
        <w:tabs>
          <w:tab w:val="left" w:pos="7920"/>
        </w:tabs>
        <w:rPr>
          <w:rFonts w:ascii="Trebuchet MS" w:hAnsi="Trebuchet MS" w:cs="Arial"/>
          <w:sz w:val="22"/>
          <w:szCs w:val="22"/>
        </w:rPr>
      </w:pPr>
    </w:p>
    <w:p w:rsidR="0008423E" w:rsidRPr="007B1191" w:rsidRDefault="0008423E" w:rsidP="0008423E">
      <w:pPr>
        <w:tabs>
          <w:tab w:val="left" w:pos="7920"/>
        </w:tabs>
        <w:rPr>
          <w:rFonts w:ascii="Trebuchet MS" w:hAnsi="Trebuchet MS" w:cs="Arial"/>
          <w:sz w:val="22"/>
          <w:szCs w:val="22"/>
        </w:rPr>
      </w:pPr>
      <w:r w:rsidRPr="007B1191">
        <w:rPr>
          <w:rFonts w:ascii="Trebuchet MS" w:hAnsi="Trebuchet MS" w:cs="Arial"/>
          <w:sz w:val="22"/>
          <w:szCs w:val="22"/>
        </w:rPr>
        <w:t xml:space="preserve">Hart, Matthew, </w:t>
      </w:r>
      <w:r w:rsidRPr="007B1191">
        <w:rPr>
          <w:rFonts w:ascii="Trebuchet MS" w:hAnsi="Trebuchet MS" w:cs="Arial"/>
          <w:i/>
          <w:sz w:val="22"/>
          <w:szCs w:val="22"/>
        </w:rPr>
        <w:t xml:space="preserve">Nations of Nothing but Poetry: Modernism, Transnationalism and Synthetic Vernacular Writing </w:t>
      </w:r>
      <w:r w:rsidRPr="007B1191">
        <w:rPr>
          <w:rFonts w:ascii="Trebuchet MS" w:hAnsi="Trebuchet MS" w:cs="Arial"/>
          <w:sz w:val="22"/>
          <w:szCs w:val="22"/>
        </w:rPr>
        <w:t>(Oxford and New York: Oxford University Press, 2010).</w:t>
      </w:r>
    </w:p>
    <w:p w:rsidR="0008423E" w:rsidRPr="007B1191" w:rsidRDefault="0008423E" w:rsidP="0008423E">
      <w:pPr>
        <w:tabs>
          <w:tab w:val="left" w:pos="7920"/>
        </w:tabs>
        <w:rPr>
          <w:rFonts w:ascii="Trebuchet MS" w:hAnsi="Trebuchet MS" w:cs="Arial"/>
          <w:sz w:val="22"/>
          <w:szCs w:val="22"/>
        </w:rPr>
      </w:pPr>
    </w:p>
    <w:p w:rsidR="0008423E" w:rsidRPr="007B1191" w:rsidRDefault="0008423E" w:rsidP="0008423E">
      <w:pPr>
        <w:tabs>
          <w:tab w:val="left" w:pos="7920"/>
        </w:tabs>
        <w:rPr>
          <w:rFonts w:ascii="Trebuchet MS" w:hAnsi="Trebuchet MS" w:cs="Arial"/>
          <w:sz w:val="22"/>
          <w:szCs w:val="22"/>
        </w:rPr>
      </w:pPr>
      <w:r w:rsidRPr="007B1191">
        <w:rPr>
          <w:rFonts w:ascii="Trebuchet MS" w:hAnsi="Trebuchet MS" w:cs="Arial"/>
          <w:sz w:val="22"/>
          <w:szCs w:val="22"/>
        </w:rPr>
        <w:t xml:space="preserve">Jarvis, Simon, ‘The </w:t>
      </w:r>
      <w:proofErr w:type="spellStart"/>
      <w:r w:rsidRPr="007B1191">
        <w:rPr>
          <w:rFonts w:ascii="Trebuchet MS" w:hAnsi="Trebuchet MS" w:cs="Arial"/>
          <w:sz w:val="22"/>
          <w:szCs w:val="22"/>
        </w:rPr>
        <w:t>melodics</w:t>
      </w:r>
      <w:proofErr w:type="spellEnd"/>
      <w:r w:rsidRPr="007B1191">
        <w:rPr>
          <w:rFonts w:ascii="Trebuchet MS" w:hAnsi="Trebuchet MS" w:cs="Arial"/>
          <w:sz w:val="22"/>
          <w:szCs w:val="22"/>
        </w:rPr>
        <w:t xml:space="preserve"> of long poems’, </w:t>
      </w:r>
      <w:r w:rsidRPr="007B1191">
        <w:rPr>
          <w:rFonts w:ascii="Trebuchet MS" w:hAnsi="Trebuchet MS" w:cs="Arial"/>
          <w:i/>
          <w:sz w:val="22"/>
          <w:szCs w:val="22"/>
        </w:rPr>
        <w:t>Textual Practice</w:t>
      </w:r>
      <w:r w:rsidRPr="007B1191">
        <w:rPr>
          <w:rFonts w:ascii="Trebuchet MS" w:hAnsi="Trebuchet MS" w:cs="Arial"/>
          <w:sz w:val="22"/>
          <w:szCs w:val="22"/>
        </w:rPr>
        <w:t xml:space="preserve"> 24.4 (2010).</w:t>
      </w:r>
    </w:p>
    <w:p w:rsidR="0008423E" w:rsidRPr="007B1191" w:rsidRDefault="0008423E" w:rsidP="0008423E">
      <w:pPr>
        <w:tabs>
          <w:tab w:val="left" w:pos="7920"/>
        </w:tabs>
        <w:rPr>
          <w:rFonts w:ascii="Trebuchet MS" w:hAnsi="Trebuchet MS" w:cs="Arial"/>
          <w:sz w:val="22"/>
          <w:szCs w:val="22"/>
        </w:rPr>
      </w:pPr>
    </w:p>
    <w:p w:rsidR="0008423E" w:rsidRPr="007B1191" w:rsidRDefault="0008423E" w:rsidP="0008423E">
      <w:pPr>
        <w:tabs>
          <w:tab w:val="left" w:pos="7920"/>
        </w:tabs>
        <w:rPr>
          <w:rFonts w:ascii="Trebuchet MS" w:hAnsi="Trebuchet MS" w:cs="Arial"/>
          <w:sz w:val="22"/>
          <w:szCs w:val="22"/>
        </w:rPr>
      </w:pPr>
      <w:r w:rsidRPr="007B1191">
        <w:rPr>
          <w:rFonts w:ascii="Trebuchet MS" w:hAnsi="Trebuchet MS" w:cs="Arial"/>
          <w:sz w:val="22"/>
          <w:szCs w:val="22"/>
        </w:rPr>
        <w:t xml:space="preserve">Kenner, Hugh, </w:t>
      </w:r>
      <w:proofErr w:type="gramStart"/>
      <w:r w:rsidRPr="007B1191">
        <w:rPr>
          <w:rFonts w:ascii="Trebuchet MS" w:hAnsi="Trebuchet MS" w:cs="Arial"/>
          <w:i/>
          <w:sz w:val="22"/>
          <w:szCs w:val="22"/>
        </w:rPr>
        <w:t>The</w:t>
      </w:r>
      <w:proofErr w:type="gramEnd"/>
      <w:r w:rsidRPr="007B1191">
        <w:rPr>
          <w:rFonts w:ascii="Trebuchet MS" w:hAnsi="Trebuchet MS" w:cs="Arial"/>
          <w:i/>
          <w:sz w:val="22"/>
          <w:szCs w:val="22"/>
        </w:rPr>
        <w:t xml:space="preserve"> Pound Era</w:t>
      </w:r>
      <w:r w:rsidRPr="007B1191">
        <w:rPr>
          <w:rFonts w:ascii="Trebuchet MS" w:hAnsi="Trebuchet MS" w:cs="Arial"/>
          <w:sz w:val="22"/>
          <w:szCs w:val="22"/>
        </w:rPr>
        <w:t xml:space="preserve"> (Berkeley and Los Angeles: University of California Press, 1971).</w:t>
      </w:r>
    </w:p>
    <w:p w:rsidR="0008423E" w:rsidRPr="007B1191" w:rsidRDefault="0008423E" w:rsidP="0008423E">
      <w:pPr>
        <w:tabs>
          <w:tab w:val="left" w:pos="7920"/>
        </w:tabs>
        <w:rPr>
          <w:rFonts w:ascii="Trebuchet MS" w:hAnsi="Trebuchet MS" w:cs="Arial"/>
          <w:sz w:val="22"/>
          <w:szCs w:val="22"/>
        </w:rPr>
      </w:pPr>
    </w:p>
    <w:p w:rsidR="0008423E" w:rsidRPr="007B1191" w:rsidRDefault="0008423E" w:rsidP="0008423E">
      <w:pPr>
        <w:tabs>
          <w:tab w:val="left" w:pos="7920"/>
        </w:tabs>
        <w:rPr>
          <w:rFonts w:ascii="Trebuchet MS" w:hAnsi="Trebuchet MS" w:cs="Arial"/>
          <w:sz w:val="22"/>
          <w:szCs w:val="22"/>
        </w:rPr>
      </w:pPr>
      <w:r w:rsidRPr="007B1191">
        <w:rPr>
          <w:rFonts w:ascii="Trebuchet MS" w:hAnsi="Trebuchet MS" w:cs="Arial"/>
          <w:sz w:val="22"/>
          <w:szCs w:val="22"/>
        </w:rPr>
        <w:t xml:space="preserve">Moody, A David, </w:t>
      </w:r>
      <w:r w:rsidRPr="007B1191">
        <w:rPr>
          <w:rFonts w:ascii="Trebuchet MS" w:hAnsi="Trebuchet MS" w:cs="Arial"/>
          <w:i/>
          <w:sz w:val="22"/>
          <w:szCs w:val="22"/>
        </w:rPr>
        <w:t>Ezra Pound: Poet, I: The Young Genius, 1885-1920</w:t>
      </w:r>
      <w:r w:rsidRPr="007B1191">
        <w:rPr>
          <w:rFonts w:ascii="Trebuchet MS" w:hAnsi="Trebuchet MS" w:cs="Arial"/>
          <w:sz w:val="22"/>
          <w:szCs w:val="22"/>
        </w:rPr>
        <w:t xml:space="preserve"> (Oxford: Oxford University Press, 2007).</w:t>
      </w:r>
    </w:p>
    <w:p w:rsidR="0008423E" w:rsidRPr="007B1191" w:rsidRDefault="0008423E" w:rsidP="0008423E">
      <w:pPr>
        <w:tabs>
          <w:tab w:val="left" w:pos="7920"/>
        </w:tabs>
        <w:rPr>
          <w:rFonts w:ascii="Trebuchet MS" w:hAnsi="Trebuchet MS" w:cs="Arial"/>
          <w:sz w:val="22"/>
          <w:szCs w:val="22"/>
        </w:rPr>
      </w:pPr>
    </w:p>
    <w:p w:rsidR="0008423E" w:rsidRPr="007B1191" w:rsidRDefault="0008423E" w:rsidP="0008423E">
      <w:pPr>
        <w:tabs>
          <w:tab w:val="left" w:pos="7920"/>
        </w:tabs>
        <w:rPr>
          <w:rFonts w:ascii="Trebuchet MS" w:hAnsi="Trebuchet MS" w:cs="Arial"/>
          <w:sz w:val="22"/>
          <w:szCs w:val="22"/>
        </w:rPr>
      </w:pPr>
      <w:r w:rsidRPr="007B1191">
        <w:rPr>
          <w:rFonts w:ascii="Trebuchet MS" w:hAnsi="Trebuchet MS" w:cs="Arial"/>
          <w:sz w:val="22"/>
          <w:szCs w:val="22"/>
        </w:rPr>
        <w:t xml:space="preserve">North, Michael, </w:t>
      </w:r>
      <w:proofErr w:type="gramStart"/>
      <w:r w:rsidRPr="007B1191">
        <w:rPr>
          <w:rFonts w:ascii="Trebuchet MS" w:hAnsi="Trebuchet MS" w:cs="Arial"/>
          <w:i/>
          <w:sz w:val="22"/>
          <w:szCs w:val="22"/>
        </w:rPr>
        <w:t>The</w:t>
      </w:r>
      <w:proofErr w:type="gramEnd"/>
      <w:r w:rsidRPr="007B1191">
        <w:rPr>
          <w:rFonts w:ascii="Trebuchet MS" w:hAnsi="Trebuchet MS" w:cs="Arial"/>
          <w:i/>
          <w:sz w:val="22"/>
          <w:szCs w:val="22"/>
        </w:rPr>
        <w:t xml:space="preserve"> Dialect of Modernism: Race, Language and Twentieth-Century Literature </w:t>
      </w:r>
      <w:r w:rsidRPr="007B1191">
        <w:rPr>
          <w:rFonts w:ascii="Trebuchet MS" w:hAnsi="Trebuchet MS" w:cs="Arial"/>
          <w:sz w:val="22"/>
          <w:szCs w:val="22"/>
        </w:rPr>
        <w:t>(Oxford: Oxford University Press, 1998).</w:t>
      </w:r>
    </w:p>
    <w:p w:rsidR="0008423E" w:rsidRPr="007B1191" w:rsidRDefault="0008423E" w:rsidP="0008423E">
      <w:pPr>
        <w:tabs>
          <w:tab w:val="left" w:pos="7920"/>
        </w:tabs>
        <w:rPr>
          <w:rFonts w:ascii="Trebuchet MS" w:hAnsi="Trebuchet MS" w:cs="Arial"/>
          <w:sz w:val="22"/>
          <w:szCs w:val="22"/>
        </w:rPr>
      </w:pPr>
    </w:p>
    <w:p w:rsidR="0008423E" w:rsidRPr="007B1191" w:rsidRDefault="0008423E" w:rsidP="0008423E">
      <w:pPr>
        <w:tabs>
          <w:tab w:val="left" w:pos="7920"/>
        </w:tabs>
        <w:rPr>
          <w:rFonts w:ascii="Trebuchet MS" w:hAnsi="Trebuchet MS" w:cs="Arial"/>
          <w:sz w:val="22"/>
          <w:szCs w:val="22"/>
        </w:rPr>
      </w:pPr>
      <w:r w:rsidRPr="007B1191">
        <w:rPr>
          <w:rFonts w:ascii="Trebuchet MS" w:hAnsi="Trebuchet MS" w:cs="Arial"/>
          <w:sz w:val="22"/>
          <w:szCs w:val="22"/>
        </w:rPr>
        <w:t xml:space="preserve">Patterson, Ian, ‘Time, Free Verse, and the Gods of Modernism’ in </w:t>
      </w:r>
      <w:r w:rsidRPr="007B1191">
        <w:rPr>
          <w:rFonts w:ascii="Trebuchet MS" w:hAnsi="Trebuchet MS" w:cs="Arial"/>
          <w:i/>
          <w:sz w:val="22"/>
          <w:szCs w:val="22"/>
        </w:rPr>
        <w:t>Tradition, Translation, Trauma: The Classic and the Modern</w:t>
      </w:r>
      <w:r w:rsidRPr="007B1191">
        <w:rPr>
          <w:rFonts w:ascii="Trebuchet MS" w:hAnsi="Trebuchet MS" w:cs="Arial"/>
          <w:sz w:val="22"/>
          <w:szCs w:val="22"/>
        </w:rPr>
        <w:t>, eds. Jan Parker and Timothy Mathews (Oxford: Oxford University Press, 2011) [and other essays in this volume].</w:t>
      </w:r>
    </w:p>
    <w:p w:rsidR="0008423E" w:rsidRPr="007B1191" w:rsidRDefault="0008423E" w:rsidP="0008423E">
      <w:pPr>
        <w:tabs>
          <w:tab w:val="left" w:pos="7920"/>
        </w:tabs>
        <w:rPr>
          <w:rFonts w:ascii="Trebuchet MS" w:hAnsi="Trebuchet MS" w:cs="Arial"/>
          <w:sz w:val="22"/>
          <w:szCs w:val="22"/>
        </w:rPr>
      </w:pPr>
    </w:p>
    <w:p w:rsidR="0008423E" w:rsidRPr="007B1191" w:rsidRDefault="0008423E" w:rsidP="0008423E">
      <w:pPr>
        <w:tabs>
          <w:tab w:val="left" w:pos="7920"/>
        </w:tabs>
        <w:rPr>
          <w:rFonts w:ascii="Trebuchet MS" w:hAnsi="Trebuchet MS" w:cs="Arial"/>
          <w:sz w:val="22"/>
          <w:szCs w:val="22"/>
        </w:rPr>
      </w:pPr>
      <w:r w:rsidRPr="007B1191">
        <w:rPr>
          <w:rFonts w:ascii="Trebuchet MS" w:hAnsi="Trebuchet MS" w:cs="Arial"/>
          <w:sz w:val="22"/>
          <w:szCs w:val="22"/>
        </w:rPr>
        <w:t xml:space="preserve">Scott, Clive, </w:t>
      </w:r>
      <w:r w:rsidRPr="007B1191">
        <w:rPr>
          <w:rFonts w:ascii="Trebuchet MS" w:hAnsi="Trebuchet MS" w:cs="Arial"/>
          <w:i/>
          <w:sz w:val="22"/>
          <w:szCs w:val="22"/>
        </w:rPr>
        <w:t>Literary Translation and the Rediscovery of Reading</w:t>
      </w:r>
      <w:r w:rsidRPr="007B1191">
        <w:rPr>
          <w:rFonts w:ascii="Trebuchet MS" w:hAnsi="Trebuchet MS" w:cs="Arial"/>
          <w:sz w:val="22"/>
          <w:szCs w:val="22"/>
        </w:rPr>
        <w:t xml:space="preserve"> (Cambridge: Cambridge University Press, 2012) [and earlier works by Scott].</w:t>
      </w:r>
    </w:p>
    <w:p w:rsidR="0008423E" w:rsidRPr="007B1191" w:rsidRDefault="0008423E" w:rsidP="0008423E">
      <w:pPr>
        <w:tabs>
          <w:tab w:val="left" w:pos="7920"/>
        </w:tabs>
        <w:rPr>
          <w:rFonts w:ascii="Trebuchet MS" w:hAnsi="Trebuchet MS" w:cs="Arial"/>
          <w:sz w:val="22"/>
          <w:szCs w:val="22"/>
        </w:rPr>
      </w:pPr>
    </w:p>
    <w:p w:rsidR="0008423E" w:rsidRPr="007B1191" w:rsidRDefault="0008423E" w:rsidP="0008423E">
      <w:pPr>
        <w:tabs>
          <w:tab w:val="left" w:pos="7920"/>
        </w:tabs>
        <w:rPr>
          <w:rFonts w:ascii="Trebuchet MS" w:hAnsi="Trebuchet MS" w:cs="Arial"/>
          <w:sz w:val="22"/>
          <w:szCs w:val="22"/>
        </w:rPr>
      </w:pPr>
      <w:r w:rsidRPr="007B1191">
        <w:rPr>
          <w:rFonts w:ascii="Trebuchet MS" w:hAnsi="Trebuchet MS" w:cs="Arial"/>
          <w:sz w:val="22"/>
          <w:szCs w:val="22"/>
        </w:rPr>
        <w:t xml:space="preserve">Spitzer, Leo, ‘Learning Turkish’, tr. </w:t>
      </w:r>
      <w:proofErr w:type="spellStart"/>
      <w:r w:rsidRPr="007B1191">
        <w:rPr>
          <w:rFonts w:ascii="Trebuchet MS" w:hAnsi="Trebuchet MS" w:cs="Arial"/>
          <w:sz w:val="22"/>
          <w:szCs w:val="22"/>
        </w:rPr>
        <w:t>Tülay</w:t>
      </w:r>
      <w:proofErr w:type="spellEnd"/>
      <w:r w:rsidRPr="007B1191">
        <w:rPr>
          <w:rFonts w:ascii="Trebuchet MS" w:hAnsi="Trebuchet MS" w:cs="Arial"/>
          <w:sz w:val="22"/>
          <w:szCs w:val="22"/>
        </w:rPr>
        <w:t xml:space="preserve"> </w:t>
      </w:r>
      <w:proofErr w:type="spellStart"/>
      <w:r w:rsidRPr="007B1191">
        <w:rPr>
          <w:rFonts w:ascii="Trebuchet MS" w:hAnsi="Trebuchet MS" w:cs="Arial"/>
          <w:sz w:val="22"/>
          <w:szCs w:val="22"/>
        </w:rPr>
        <w:t>Atak</w:t>
      </w:r>
      <w:proofErr w:type="spellEnd"/>
      <w:r w:rsidRPr="007B1191">
        <w:rPr>
          <w:rFonts w:ascii="Trebuchet MS" w:hAnsi="Trebuchet MS" w:cs="Arial"/>
          <w:sz w:val="22"/>
          <w:szCs w:val="22"/>
        </w:rPr>
        <w:t xml:space="preserve">, PMLA 126.3 (2011). </w:t>
      </w:r>
    </w:p>
    <w:p w:rsidR="0008423E" w:rsidRPr="007B1191" w:rsidRDefault="0008423E" w:rsidP="0008423E">
      <w:pPr>
        <w:tabs>
          <w:tab w:val="left" w:pos="7920"/>
        </w:tabs>
        <w:rPr>
          <w:rFonts w:ascii="Trebuchet MS" w:hAnsi="Trebuchet MS" w:cs="Arial"/>
          <w:sz w:val="22"/>
          <w:szCs w:val="22"/>
        </w:rPr>
      </w:pPr>
    </w:p>
    <w:p w:rsidR="0008423E" w:rsidRPr="007B1191" w:rsidRDefault="0008423E" w:rsidP="0008423E">
      <w:pPr>
        <w:tabs>
          <w:tab w:val="left" w:pos="7920"/>
        </w:tabs>
        <w:rPr>
          <w:rFonts w:ascii="Trebuchet MS" w:hAnsi="Trebuchet MS" w:cs="Arial"/>
          <w:sz w:val="22"/>
          <w:szCs w:val="22"/>
        </w:rPr>
      </w:pPr>
      <w:r w:rsidRPr="007B1191">
        <w:rPr>
          <w:rFonts w:ascii="Trebuchet MS" w:hAnsi="Trebuchet MS" w:cs="Arial"/>
          <w:sz w:val="22"/>
          <w:szCs w:val="22"/>
        </w:rPr>
        <w:t xml:space="preserve">Stark, Robert, </w:t>
      </w:r>
      <w:r w:rsidRPr="007B1191">
        <w:rPr>
          <w:rFonts w:ascii="Trebuchet MS" w:hAnsi="Trebuchet MS" w:cs="Arial"/>
          <w:i/>
          <w:sz w:val="22"/>
          <w:szCs w:val="22"/>
        </w:rPr>
        <w:t xml:space="preserve">Ezra Pound’s Early Verse and Lyric Tradition: A </w:t>
      </w:r>
      <w:proofErr w:type="spellStart"/>
      <w:r w:rsidRPr="007B1191">
        <w:rPr>
          <w:rFonts w:ascii="Trebuchet MS" w:hAnsi="Trebuchet MS" w:cs="Arial"/>
          <w:i/>
          <w:sz w:val="22"/>
          <w:szCs w:val="22"/>
        </w:rPr>
        <w:t>Jongleur’s</w:t>
      </w:r>
      <w:proofErr w:type="spellEnd"/>
      <w:r w:rsidRPr="007B1191">
        <w:rPr>
          <w:rFonts w:ascii="Trebuchet MS" w:hAnsi="Trebuchet MS" w:cs="Arial"/>
          <w:i/>
          <w:sz w:val="22"/>
          <w:szCs w:val="22"/>
        </w:rPr>
        <w:t xml:space="preserve"> Apprenticeship</w:t>
      </w:r>
      <w:r w:rsidRPr="007B1191">
        <w:rPr>
          <w:rFonts w:ascii="Trebuchet MS" w:hAnsi="Trebuchet MS" w:cs="Arial"/>
          <w:sz w:val="22"/>
          <w:szCs w:val="22"/>
        </w:rPr>
        <w:t xml:space="preserve"> (Edinburgh: Edinburgh University Press, 2012).</w:t>
      </w:r>
    </w:p>
    <w:p w:rsidR="0008423E" w:rsidRPr="007B1191" w:rsidRDefault="0008423E" w:rsidP="0008423E">
      <w:pPr>
        <w:tabs>
          <w:tab w:val="left" w:pos="7920"/>
        </w:tabs>
        <w:rPr>
          <w:rFonts w:ascii="Trebuchet MS" w:hAnsi="Trebuchet MS" w:cs="Arial"/>
          <w:sz w:val="22"/>
          <w:szCs w:val="22"/>
        </w:rPr>
      </w:pPr>
    </w:p>
    <w:p w:rsidR="0008423E" w:rsidRPr="007B1191" w:rsidRDefault="0008423E" w:rsidP="0008423E">
      <w:pPr>
        <w:tabs>
          <w:tab w:val="left" w:pos="7920"/>
        </w:tabs>
        <w:rPr>
          <w:rFonts w:ascii="Trebuchet MS" w:hAnsi="Trebuchet MS" w:cs="Arial"/>
          <w:sz w:val="22"/>
          <w:szCs w:val="22"/>
        </w:rPr>
      </w:pPr>
      <w:r w:rsidRPr="007B1191">
        <w:rPr>
          <w:rFonts w:ascii="Trebuchet MS" w:hAnsi="Trebuchet MS" w:cs="Arial"/>
          <w:sz w:val="22"/>
          <w:szCs w:val="22"/>
        </w:rPr>
        <w:t xml:space="preserve">Steiner, George, </w:t>
      </w:r>
      <w:r w:rsidRPr="007B1191">
        <w:rPr>
          <w:rFonts w:ascii="Trebuchet MS" w:hAnsi="Trebuchet MS" w:cs="Arial"/>
          <w:i/>
          <w:sz w:val="22"/>
          <w:szCs w:val="22"/>
        </w:rPr>
        <w:t>After Babel: Aspects of Literature and Translation,</w:t>
      </w:r>
      <w:r w:rsidRPr="007B1191">
        <w:rPr>
          <w:rFonts w:ascii="Trebuchet MS" w:hAnsi="Trebuchet MS" w:cs="Arial"/>
          <w:sz w:val="22"/>
          <w:szCs w:val="22"/>
        </w:rPr>
        <w:t xml:space="preserve"> 3rd ed. (Oxford and New York: Oxford University Press, 1998).</w:t>
      </w:r>
    </w:p>
    <w:p w:rsidR="0008423E" w:rsidRDefault="0008423E" w:rsidP="0008423E">
      <w:pPr>
        <w:tabs>
          <w:tab w:val="left" w:pos="7920"/>
        </w:tabs>
        <w:rPr>
          <w:rFonts w:ascii="Trebuchet MS" w:hAnsi="Trebuchet MS" w:cs="Arial"/>
          <w:sz w:val="22"/>
          <w:szCs w:val="22"/>
        </w:rPr>
      </w:pPr>
      <w:r w:rsidRPr="007B1191">
        <w:rPr>
          <w:rFonts w:ascii="Trebuchet MS" w:hAnsi="Trebuchet MS" w:cs="Arial"/>
          <w:sz w:val="22"/>
          <w:szCs w:val="22"/>
        </w:rPr>
        <w:t xml:space="preserve">Yao, Steven G, </w:t>
      </w:r>
      <w:r w:rsidRPr="007B1191">
        <w:rPr>
          <w:rFonts w:ascii="Trebuchet MS" w:hAnsi="Trebuchet MS" w:cs="Arial"/>
          <w:i/>
          <w:sz w:val="22"/>
          <w:szCs w:val="22"/>
        </w:rPr>
        <w:t xml:space="preserve">Translation and the Languages of Modernism: Gender, Politics, </w:t>
      </w:r>
      <w:proofErr w:type="gramStart"/>
      <w:r w:rsidRPr="007B1191">
        <w:rPr>
          <w:rFonts w:ascii="Trebuchet MS" w:hAnsi="Trebuchet MS" w:cs="Arial"/>
          <w:i/>
          <w:sz w:val="22"/>
          <w:szCs w:val="22"/>
        </w:rPr>
        <w:t>Language</w:t>
      </w:r>
      <w:proofErr w:type="gramEnd"/>
      <w:r w:rsidRPr="007B1191">
        <w:rPr>
          <w:rFonts w:ascii="Trebuchet MS" w:hAnsi="Trebuchet MS" w:cs="Arial"/>
          <w:i/>
          <w:sz w:val="22"/>
          <w:szCs w:val="22"/>
        </w:rPr>
        <w:t xml:space="preserve"> </w:t>
      </w:r>
      <w:r w:rsidRPr="007B1191">
        <w:rPr>
          <w:rFonts w:ascii="Trebuchet MS" w:hAnsi="Trebuchet MS" w:cs="Arial"/>
          <w:sz w:val="22"/>
          <w:szCs w:val="22"/>
        </w:rPr>
        <w:t>(New York: Palgrave Macmillan, 2002).</w:t>
      </w:r>
    </w:p>
    <w:p w:rsidR="0008423E" w:rsidRDefault="0008423E" w:rsidP="0008423E">
      <w:pPr>
        <w:jc w:val="center"/>
        <w:rPr>
          <w:u w:val="single"/>
        </w:rPr>
      </w:pPr>
    </w:p>
    <w:p w:rsidR="0008423E" w:rsidRDefault="0008423E" w:rsidP="0008423E">
      <w:pPr>
        <w:rPr>
          <w:u w:val="single"/>
        </w:rPr>
      </w:pPr>
    </w:p>
    <w:p w:rsidR="0008423E" w:rsidRPr="00825F78" w:rsidRDefault="0008423E" w:rsidP="0008423E">
      <w:pPr>
        <w:spacing w:line="276" w:lineRule="auto"/>
        <w:jc w:val="center"/>
        <w:rPr>
          <w:rFonts w:ascii="Trebuchet MS" w:hAnsi="Trebuchet MS" w:cs="Arabic Typesetting"/>
          <w:b/>
          <w:sz w:val="22"/>
          <w:szCs w:val="22"/>
        </w:rPr>
      </w:pPr>
      <w:r>
        <w:rPr>
          <w:rFonts w:ascii="Trebuchet MS" w:hAnsi="Trebuchet MS" w:cs="Arabic Typesetting"/>
          <w:b/>
          <w:sz w:val="22"/>
          <w:szCs w:val="22"/>
        </w:rPr>
        <w:t xml:space="preserve">B. </w:t>
      </w:r>
      <w:r w:rsidRPr="00825F78">
        <w:rPr>
          <w:rFonts w:ascii="Trebuchet MS" w:hAnsi="Trebuchet MS" w:cs="Arabic Typesetting"/>
          <w:b/>
          <w:sz w:val="22"/>
          <w:szCs w:val="22"/>
        </w:rPr>
        <w:t>Translating Two Short Stories by Primo Levi</w:t>
      </w:r>
    </w:p>
    <w:p w:rsidR="0008423E" w:rsidRPr="004879E8" w:rsidRDefault="0008423E" w:rsidP="0008423E">
      <w:pPr>
        <w:spacing w:line="276" w:lineRule="auto"/>
        <w:jc w:val="both"/>
        <w:rPr>
          <w:rFonts w:ascii="Trebuchet MS" w:hAnsi="Trebuchet MS" w:cs="Arabic Typesetting"/>
          <w:sz w:val="22"/>
          <w:szCs w:val="22"/>
          <w:u w:val="single"/>
        </w:rPr>
      </w:pPr>
    </w:p>
    <w:p w:rsidR="0008423E" w:rsidRPr="004879E8" w:rsidRDefault="0008423E" w:rsidP="0008423E">
      <w:pPr>
        <w:spacing w:line="276" w:lineRule="auto"/>
        <w:jc w:val="both"/>
        <w:rPr>
          <w:rFonts w:ascii="Trebuchet MS" w:hAnsi="Trebuchet MS" w:cs="Arabic Typesetting"/>
          <w:sz w:val="22"/>
          <w:szCs w:val="22"/>
        </w:rPr>
      </w:pPr>
      <w:r w:rsidRPr="004879E8">
        <w:rPr>
          <w:rFonts w:ascii="Trebuchet MS" w:hAnsi="Trebuchet MS" w:cs="Arabic Typesetting"/>
          <w:sz w:val="22"/>
          <w:szCs w:val="22"/>
        </w:rPr>
        <w:t xml:space="preserve">I propose to undertake a translation of two hitherto untranslated stories by the Italian writer Primo Levi, </w:t>
      </w:r>
      <w:proofErr w:type="spellStart"/>
      <w:r w:rsidRPr="004879E8">
        <w:rPr>
          <w:rFonts w:ascii="Trebuchet MS" w:hAnsi="Trebuchet MS" w:cs="Arabic Typesetting"/>
          <w:i/>
          <w:sz w:val="22"/>
          <w:szCs w:val="22"/>
        </w:rPr>
        <w:t>Protezione</w:t>
      </w:r>
      <w:proofErr w:type="spellEnd"/>
      <w:r w:rsidRPr="004879E8">
        <w:rPr>
          <w:rFonts w:ascii="Trebuchet MS" w:hAnsi="Trebuchet MS" w:cs="Arabic Typesetting"/>
          <w:i/>
          <w:sz w:val="22"/>
          <w:szCs w:val="22"/>
        </w:rPr>
        <w:t xml:space="preserve"> </w:t>
      </w:r>
      <w:r w:rsidRPr="004879E8">
        <w:rPr>
          <w:rFonts w:ascii="Trebuchet MS" w:hAnsi="Trebuchet MS" w:cs="Arabic Typesetting"/>
          <w:sz w:val="22"/>
          <w:szCs w:val="22"/>
        </w:rPr>
        <w:t xml:space="preserve">and </w:t>
      </w:r>
      <w:proofErr w:type="gramStart"/>
      <w:r w:rsidRPr="004879E8">
        <w:rPr>
          <w:rFonts w:ascii="Trebuchet MS" w:hAnsi="Trebuchet MS" w:cs="Arabic Typesetting"/>
          <w:i/>
          <w:sz w:val="22"/>
          <w:szCs w:val="22"/>
        </w:rPr>
        <w:t>In</w:t>
      </w:r>
      <w:proofErr w:type="gramEnd"/>
      <w:r w:rsidRPr="004879E8">
        <w:rPr>
          <w:rFonts w:ascii="Trebuchet MS" w:hAnsi="Trebuchet MS" w:cs="Arabic Typesetting"/>
          <w:i/>
          <w:sz w:val="22"/>
          <w:szCs w:val="22"/>
        </w:rPr>
        <w:t xml:space="preserve"> </w:t>
      </w:r>
      <w:proofErr w:type="spellStart"/>
      <w:r w:rsidRPr="004879E8">
        <w:rPr>
          <w:rFonts w:ascii="Trebuchet MS" w:hAnsi="Trebuchet MS" w:cs="Arabic Typesetting"/>
          <w:i/>
          <w:sz w:val="22"/>
          <w:szCs w:val="22"/>
        </w:rPr>
        <w:t>fronte</w:t>
      </w:r>
      <w:proofErr w:type="spellEnd"/>
      <w:r w:rsidRPr="004879E8">
        <w:rPr>
          <w:rFonts w:ascii="Trebuchet MS" w:hAnsi="Trebuchet MS" w:cs="Arabic Typesetting"/>
          <w:i/>
          <w:sz w:val="22"/>
          <w:szCs w:val="22"/>
        </w:rPr>
        <w:t xml:space="preserve"> </w:t>
      </w:r>
      <w:proofErr w:type="spellStart"/>
      <w:r w:rsidRPr="004879E8">
        <w:rPr>
          <w:rFonts w:ascii="Trebuchet MS" w:hAnsi="Trebuchet MS" w:cs="Arabic Typesetting"/>
          <w:i/>
          <w:sz w:val="22"/>
          <w:szCs w:val="22"/>
        </w:rPr>
        <w:t>scritto</w:t>
      </w:r>
      <w:proofErr w:type="spellEnd"/>
      <w:r w:rsidRPr="004879E8">
        <w:rPr>
          <w:rFonts w:ascii="Trebuchet MS" w:hAnsi="Trebuchet MS" w:cs="Arabic Typesetting"/>
          <w:sz w:val="22"/>
          <w:szCs w:val="22"/>
        </w:rPr>
        <w:t xml:space="preserve">. These stories constitute the first and penultimate in Levi’s collection </w:t>
      </w:r>
      <w:proofErr w:type="spellStart"/>
      <w:r w:rsidRPr="004879E8">
        <w:rPr>
          <w:rFonts w:ascii="Trebuchet MS" w:hAnsi="Trebuchet MS" w:cs="Arabic Typesetting"/>
          <w:i/>
          <w:sz w:val="22"/>
          <w:szCs w:val="22"/>
        </w:rPr>
        <w:t>Vizio</w:t>
      </w:r>
      <w:proofErr w:type="spellEnd"/>
      <w:r w:rsidRPr="004879E8">
        <w:rPr>
          <w:rFonts w:ascii="Trebuchet MS" w:hAnsi="Trebuchet MS" w:cs="Arabic Typesetting"/>
          <w:i/>
          <w:sz w:val="22"/>
          <w:szCs w:val="22"/>
        </w:rPr>
        <w:t xml:space="preserve"> di forma</w:t>
      </w:r>
      <w:r w:rsidRPr="004879E8">
        <w:rPr>
          <w:rFonts w:ascii="Trebuchet MS" w:hAnsi="Trebuchet MS" w:cs="Arabic Typesetting"/>
          <w:sz w:val="22"/>
          <w:szCs w:val="22"/>
        </w:rPr>
        <w:t xml:space="preserve">, first published by </w:t>
      </w:r>
      <w:proofErr w:type="spellStart"/>
      <w:r w:rsidRPr="004879E8">
        <w:rPr>
          <w:rFonts w:ascii="Trebuchet MS" w:hAnsi="Trebuchet MS" w:cs="Arabic Typesetting"/>
          <w:sz w:val="22"/>
          <w:szCs w:val="22"/>
        </w:rPr>
        <w:t>Einaudi</w:t>
      </w:r>
      <w:proofErr w:type="spellEnd"/>
      <w:r w:rsidRPr="004879E8">
        <w:rPr>
          <w:rFonts w:ascii="Trebuchet MS" w:hAnsi="Trebuchet MS" w:cs="Arabic Typesetting"/>
          <w:sz w:val="22"/>
          <w:szCs w:val="22"/>
        </w:rPr>
        <w:t xml:space="preserve"> in 1971. </w:t>
      </w:r>
    </w:p>
    <w:p w:rsidR="0008423E" w:rsidRPr="004879E8" w:rsidRDefault="0008423E" w:rsidP="0008423E">
      <w:pPr>
        <w:spacing w:line="276" w:lineRule="auto"/>
        <w:jc w:val="both"/>
        <w:rPr>
          <w:rFonts w:ascii="Trebuchet MS" w:hAnsi="Trebuchet MS" w:cs="Arabic Typesetting"/>
          <w:sz w:val="22"/>
          <w:szCs w:val="22"/>
        </w:rPr>
      </w:pPr>
    </w:p>
    <w:p w:rsidR="0008423E" w:rsidRPr="004879E8" w:rsidRDefault="0008423E" w:rsidP="0008423E">
      <w:pPr>
        <w:spacing w:line="276" w:lineRule="auto"/>
        <w:jc w:val="both"/>
        <w:rPr>
          <w:rFonts w:ascii="Trebuchet MS" w:hAnsi="Trebuchet MS" w:cs="Arabic Typesetting"/>
          <w:sz w:val="22"/>
          <w:szCs w:val="22"/>
        </w:rPr>
      </w:pPr>
      <w:r w:rsidRPr="004879E8">
        <w:rPr>
          <w:rFonts w:ascii="Trebuchet MS" w:hAnsi="Trebuchet MS" w:cs="Arabic Typesetting"/>
          <w:sz w:val="22"/>
          <w:szCs w:val="22"/>
        </w:rPr>
        <w:t xml:space="preserve">Though the vast majority of the other stories from </w:t>
      </w:r>
      <w:proofErr w:type="spellStart"/>
      <w:r w:rsidRPr="004879E8">
        <w:rPr>
          <w:rFonts w:ascii="Trebuchet MS" w:hAnsi="Trebuchet MS" w:cs="Arabic Typesetting"/>
          <w:i/>
          <w:sz w:val="22"/>
          <w:szCs w:val="22"/>
        </w:rPr>
        <w:t>Vizio</w:t>
      </w:r>
      <w:proofErr w:type="spellEnd"/>
      <w:r w:rsidRPr="004879E8">
        <w:rPr>
          <w:rFonts w:ascii="Trebuchet MS" w:hAnsi="Trebuchet MS" w:cs="Arabic Typesetting"/>
          <w:i/>
          <w:sz w:val="22"/>
          <w:szCs w:val="22"/>
        </w:rPr>
        <w:t xml:space="preserve"> di forma</w:t>
      </w:r>
      <w:r w:rsidRPr="004879E8">
        <w:rPr>
          <w:rFonts w:ascii="Trebuchet MS" w:hAnsi="Trebuchet MS" w:cs="Arabic Typesetting"/>
          <w:sz w:val="22"/>
          <w:szCs w:val="22"/>
        </w:rPr>
        <w:t xml:space="preserve"> have been published as part of two translated collections (</w:t>
      </w:r>
      <w:r w:rsidRPr="004879E8">
        <w:rPr>
          <w:rFonts w:ascii="Trebuchet MS" w:hAnsi="Trebuchet MS" w:cs="Arabic Typesetting"/>
          <w:i/>
          <w:sz w:val="22"/>
          <w:szCs w:val="22"/>
        </w:rPr>
        <w:t>The Sixth Day and Other Tales</w:t>
      </w:r>
      <w:r w:rsidRPr="004879E8">
        <w:rPr>
          <w:rFonts w:ascii="Trebuchet MS" w:hAnsi="Trebuchet MS" w:cs="Arabic Typesetting"/>
          <w:sz w:val="22"/>
          <w:szCs w:val="22"/>
        </w:rPr>
        <w:t xml:space="preserve"> and </w:t>
      </w:r>
      <w:r w:rsidRPr="004879E8">
        <w:rPr>
          <w:rFonts w:ascii="Trebuchet MS" w:hAnsi="Trebuchet MS" w:cs="Arabic Typesetting"/>
          <w:i/>
          <w:sz w:val="22"/>
          <w:szCs w:val="22"/>
        </w:rPr>
        <w:t>A Tranquil Star</w:t>
      </w:r>
      <w:r w:rsidRPr="004879E8">
        <w:rPr>
          <w:rFonts w:ascii="Trebuchet MS" w:hAnsi="Trebuchet MS" w:cs="Arabic Typesetting"/>
          <w:sz w:val="22"/>
          <w:szCs w:val="22"/>
        </w:rPr>
        <w:t xml:space="preserve">), </w:t>
      </w:r>
      <w:proofErr w:type="spellStart"/>
      <w:r w:rsidRPr="004879E8">
        <w:rPr>
          <w:rFonts w:ascii="Trebuchet MS" w:hAnsi="Trebuchet MS" w:cs="Arabic Typesetting"/>
          <w:i/>
          <w:sz w:val="22"/>
          <w:szCs w:val="22"/>
        </w:rPr>
        <w:t>Protezione</w:t>
      </w:r>
      <w:proofErr w:type="spellEnd"/>
      <w:r w:rsidRPr="004879E8">
        <w:rPr>
          <w:rFonts w:ascii="Trebuchet MS" w:hAnsi="Trebuchet MS" w:cs="Arabic Typesetting"/>
          <w:i/>
          <w:sz w:val="22"/>
          <w:szCs w:val="22"/>
        </w:rPr>
        <w:t xml:space="preserve"> </w:t>
      </w:r>
      <w:r w:rsidRPr="004879E8">
        <w:rPr>
          <w:rFonts w:ascii="Trebuchet MS" w:hAnsi="Trebuchet MS" w:cs="Arabic Typesetting"/>
          <w:sz w:val="22"/>
          <w:szCs w:val="22"/>
        </w:rPr>
        <w:t xml:space="preserve">and </w:t>
      </w:r>
      <w:r w:rsidRPr="004879E8">
        <w:rPr>
          <w:rFonts w:ascii="Trebuchet MS" w:hAnsi="Trebuchet MS" w:cs="Arabic Typesetting"/>
          <w:i/>
          <w:sz w:val="22"/>
          <w:szCs w:val="22"/>
        </w:rPr>
        <w:t xml:space="preserve">In </w:t>
      </w:r>
      <w:proofErr w:type="spellStart"/>
      <w:r w:rsidRPr="004879E8">
        <w:rPr>
          <w:rFonts w:ascii="Trebuchet MS" w:hAnsi="Trebuchet MS" w:cs="Arabic Typesetting"/>
          <w:i/>
          <w:sz w:val="22"/>
          <w:szCs w:val="22"/>
        </w:rPr>
        <w:t>fronte</w:t>
      </w:r>
      <w:proofErr w:type="spellEnd"/>
      <w:r w:rsidRPr="004879E8">
        <w:rPr>
          <w:rFonts w:ascii="Trebuchet MS" w:hAnsi="Trebuchet MS" w:cs="Arabic Typesetting"/>
          <w:i/>
          <w:sz w:val="22"/>
          <w:szCs w:val="22"/>
        </w:rPr>
        <w:t xml:space="preserve"> </w:t>
      </w:r>
      <w:proofErr w:type="spellStart"/>
      <w:r w:rsidRPr="004879E8">
        <w:rPr>
          <w:rFonts w:ascii="Trebuchet MS" w:hAnsi="Trebuchet MS" w:cs="Arabic Typesetting"/>
          <w:i/>
          <w:sz w:val="22"/>
          <w:szCs w:val="22"/>
        </w:rPr>
        <w:t>scritto</w:t>
      </w:r>
      <w:proofErr w:type="spellEnd"/>
      <w:r w:rsidRPr="004879E8">
        <w:rPr>
          <w:rFonts w:ascii="Trebuchet MS" w:hAnsi="Trebuchet MS" w:cs="Arabic Typesetting"/>
          <w:sz w:val="22"/>
          <w:szCs w:val="22"/>
        </w:rPr>
        <w:t xml:space="preserve"> have never featured. Their thematic coherence within the original collection is in no doubt; it is only in translation and the accompanying reorganisation that they have lost their place in the corpus. As dystopian representations of post-war society, with a focus on mass culture and the role of government in the lives of the individual, they develop some of the most prevalent themes of the collection. On the other hand, a certain anti-capitalist perspective represents their primary unique identifier and, in turn, the basis of my pairing them for this project. Furthermore, the stories’ respective positions as top and tail of the original collection add a further layer of interest as regards stylistic and thematic development and thus another reason to introduce these works into the corpus of English language translations of Levi.</w:t>
      </w:r>
    </w:p>
    <w:p w:rsidR="0008423E" w:rsidRPr="004879E8" w:rsidRDefault="0008423E" w:rsidP="0008423E">
      <w:pPr>
        <w:spacing w:line="276" w:lineRule="auto"/>
        <w:jc w:val="both"/>
        <w:rPr>
          <w:rFonts w:ascii="Trebuchet MS" w:hAnsi="Trebuchet MS" w:cs="Arabic Typesetting"/>
          <w:sz w:val="22"/>
          <w:szCs w:val="22"/>
        </w:rPr>
      </w:pPr>
    </w:p>
    <w:p w:rsidR="0008423E" w:rsidRPr="004879E8" w:rsidRDefault="0008423E" w:rsidP="0008423E">
      <w:pPr>
        <w:spacing w:line="276" w:lineRule="auto"/>
        <w:jc w:val="both"/>
        <w:rPr>
          <w:rFonts w:ascii="Trebuchet MS" w:hAnsi="Trebuchet MS" w:cs="Arabic Typesetting"/>
          <w:sz w:val="22"/>
          <w:szCs w:val="22"/>
        </w:rPr>
      </w:pPr>
      <w:r w:rsidRPr="004879E8">
        <w:rPr>
          <w:rFonts w:ascii="Trebuchet MS" w:hAnsi="Trebuchet MS" w:cs="Arabic Typesetting"/>
          <w:sz w:val="22"/>
          <w:szCs w:val="22"/>
        </w:rPr>
        <w:t>Alongside political and ideological considerations, the polyphonic, multi-lingual elements of both stories represent a significant stylistic challenge when translating. The narrative style borders on parody in and considerations of genre – especially with regard to the futuristic setting of both pieces – will also be important.  Furthermore, having translated widely himself and having written on the experience of being widely translated, Primo Levi is most certainly a complex subject.</w:t>
      </w:r>
    </w:p>
    <w:p w:rsidR="0008423E" w:rsidRPr="004879E8" w:rsidRDefault="0008423E" w:rsidP="0008423E">
      <w:pPr>
        <w:spacing w:line="276" w:lineRule="auto"/>
        <w:jc w:val="both"/>
        <w:rPr>
          <w:rFonts w:ascii="Trebuchet MS" w:hAnsi="Trebuchet MS" w:cs="Arabic Typesetting"/>
          <w:sz w:val="22"/>
          <w:szCs w:val="22"/>
        </w:rPr>
      </w:pPr>
    </w:p>
    <w:p w:rsidR="0008423E" w:rsidRDefault="0008423E" w:rsidP="0008423E">
      <w:pPr>
        <w:spacing w:line="276" w:lineRule="auto"/>
        <w:jc w:val="both"/>
        <w:rPr>
          <w:rFonts w:ascii="Trebuchet MS" w:hAnsi="Trebuchet MS" w:cs="Arabic Typesetting"/>
          <w:sz w:val="22"/>
          <w:szCs w:val="22"/>
        </w:rPr>
      </w:pPr>
      <w:r w:rsidRPr="004879E8">
        <w:rPr>
          <w:rFonts w:ascii="Trebuchet MS" w:hAnsi="Trebuchet MS" w:cs="Arabic Typesetting"/>
          <w:sz w:val="22"/>
          <w:szCs w:val="22"/>
        </w:rPr>
        <w:t xml:space="preserve">I will aim to produce a translation that is sensitive to issues of both content and style. In order to do so, I will aim to identify thematic and stylistic priorities, taking heed of the social context in which the stories were written and to chart my progress through the text with a commentary that details the various theoretical tools and devices used. My intention is to work on the commentary in parallel with the translation so as to produce the most accurate account possible of the process. I aim to have completed the translation and the first draft of the commentary by the beginning of June, in order to allow sufficient time to edit </w:t>
      </w:r>
      <w:r>
        <w:rPr>
          <w:rFonts w:ascii="Trebuchet MS" w:hAnsi="Trebuchet MS" w:cs="Arabic Typesetting"/>
          <w:sz w:val="22"/>
          <w:szCs w:val="22"/>
        </w:rPr>
        <w:t>and restructure the commentary.</w:t>
      </w:r>
    </w:p>
    <w:p w:rsidR="0008423E" w:rsidRDefault="0008423E" w:rsidP="0008423E">
      <w:pPr>
        <w:spacing w:line="276" w:lineRule="auto"/>
        <w:jc w:val="both"/>
        <w:rPr>
          <w:rFonts w:ascii="Trebuchet MS" w:hAnsi="Trebuchet MS" w:cs="Arabic Typesetting"/>
          <w:sz w:val="22"/>
          <w:szCs w:val="22"/>
        </w:rPr>
      </w:pPr>
    </w:p>
    <w:p w:rsidR="0008423E" w:rsidRPr="004879E8" w:rsidRDefault="0008423E" w:rsidP="0008423E">
      <w:pPr>
        <w:spacing w:line="276" w:lineRule="auto"/>
        <w:jc w:val="both"/>
        <w:rPr>
          <w:rFonts w:ascii="Trebuchet MS" w:hAnsi="Trebuchet MS" w:cs="Arabic Typesetting"/>
          <w:sz w:val="22"/>
          <w:szCs w:val="22"/>
        </w:rPr>
      </w:pPr>
      <w:bookmarkStart w:id="0" w:name="_GoBack"/>
      <w:bookmarkEnd w:id="0"/>
    </w:p>
    <w:p w:rsidR="0008423E" w:rsidRPr="004879E8" w:rsidRDefault="0008423E" w:rsidP="0008423E">
      <w:pPr>
        <w:spacing w:line="276" w:lineRule="auto"/>
        <w:jc w:val="both"/>
        <w:rPr>
          <w:rFonts w:ascii="Trebuchet MS" w:hAnsi="Trebuchet MS" w:cs="Arabic Typesetting"/>
          <w:sz w:val="22"/>
          <w:szCs w:val="22"/>
        </w:rPr>
      </w:pPr>
    </w:p>
    <w:p w:rsidR="0008423E" w:rsidRDefault="0008423E" w:rsidP="0008423E">
      <w:pPr>
        <w:jc w:val="both"/>
        <w:rPr>
          <w:rFonts w:ascii="Trebuchet MS" w:hAnsi="Trebuchet MS" w:cs="Arabic Typesetting"/>
          <w:sz w:val="22"/>
          <w:szCs w:val="22"/>
          <w:u w:val="single"/>
        </w:rPr>
      </w:pPr>
    </w:p>
    <w:p w:rsidR="0008423E" w:rsidRDefault="0008423E" w:rsidP="0008423E">
      <w:pPr>
        <w:jc w:val="both"/>
        <w:rPr>
          <w:rFonts w:ascii="Trebuchet MS" w:hAnsi="Trebuchet MS" w:cs="Arabic Typesetting"/>
          <w:sz w:val="22"/>
          <w:szCs w:val="22"/>
          <w:u w:val="single"/>
        </w:rPr>
      </w:pPr>
    </w:p>
    <w:p w:rsidR="0008423E" w:rsidRPr="004879E8" w:rsidRDefault="0008423E" w:rsidP="0008423E">
      <w:pPr>
        <w:jc w:val="both"/>
        <w:rPr>
          <w:rFonts w:ascii="Trebuchet MS" w:hAnsi="Trebuchet MS" w:cs="Arabic Typesetting"/>
          <w:sz w:val="22"/>
          <w:szCs w:val="22"/>
          <w:u w:val="single"/>
        </w:rPr>
      </w:pPr>
      <w:r w:rsidRPr="004879E8">
        <w:rPr>
          <w:rFonts w:ascii="Trebuchet MS" w:hAnsi="Trebuchet MS" w:cs="Arabic Typesetting"/>
          <w:sz w:val="22"/>
          <w:szCs w:val="22"/>
          <w:u w:val="single"/>
        </w:rPr>
        <w:t>Bibliography</w:t>
      </w:r>
    </w:p>
    <w:p w:rsidR="0008423E" w:rsidRPr="004879E8" w:rsidRDefault="0008423E" w:rsidP="0008423E">
      <w:pPr>
        <w:jc w:val="both"/>
        <w:rPr>
          <w:rFonts w:ascii="Trebuchet MS" w:hAnsi="Trebuchet MS" w:cs="Arabic Typesetting"/>
          <w:sz w:val="22"/>
          <w:szCs w:val="22"/>
          <w:u w:val="single"/>
        </w:rPr>
      </w:pPr>
    </w:p>
    <w:p w:rsidR="0008423E" w:rsidRPr="004879E8" w:rsidRDefault="0008423E" w:rsidP="0008423E">
      <w:pPr>
        <w:jc w:val="both"/>
        <w:rPr>
          <w:rFonts w:ascii="Trebuchet MS" w:hAnsi="Trebuchet MS" w:cs="Arabic Typesetting"/>
          <w:sz w:val="22"/>
          <w:szCs w:val="22"/>
        </w:rPr>
      </w:pPr>
      <w:r w:rsidRPr="004879E8">
        <w:rPr>
          <w:rFonts w:ascii="Trebuchet MS" w:hAnsi="Trebuchet MS" w:cs="Arabic Typesetting"/>
          <w:sz w:val="22"/>
          <w:szCs w:val="22"/>
        </w:rPr>
        <w:t>Levi, Primo. “</w:t>
      </w:r>
      <w:proofErr w:type="spellStart"/>
      <w:r w:rsidRPr="004879E8">
        <w:rPr>
          <w:rFonts w:ascii="Trebuchet MS" w:hAnsi="Trebuchet MS" w:cs="Arabic Typesetting"/>
          <w:sz w:val="22"/>
          <w:szCs w:val="22"/>
        </w:rPr>
        <w:t>Protezione</w:t>
      </w:r>
      <w:proofErr w:type="spellEnd"/>
      <w:r w:rsidRPr="004879E8">
        <w:rPr>
          <w:rFonts w:ascii="Trebuchet MS" w:hAnsi="Trebuchet MS" w:cs="Arabic Typesetting"/>
          <w:sz w:val="22"/>
          <w:szCs w:val="22"/>
        </w:rPr>
        <w:t xml:space="preserve">”. </w:t>
      </w:r>
      <w:proofErr w:type="spellStart"/>
      <w:r w:rsidRPr="004879E8">
        <w:rPr>
          <w:rFonts w:ascii="Trebuchet MS" w:hAnsi="Trebuchet MS" w:cs="Arabic Typesetting"/>
          <w:i/>
          <w:sz w:val="22"/>
          <w:szCs w:val="22"/>
        </w:rPr>
        <w:t>Tutti</w:t>
      </w:r>
      <w:proofErr w:type="spellEnd"/>
      <w:r w:rsidRPr="004879E8">
        <w:rPr>
          <w:rFonts w:ascii="Trebuchet MS" w:hAnsi="Trebuchet MS" w:cs="Arabic Typesetting"/>
          <w:i/>
          <w:sz w:val="22"/>
          <w:szCs w:val="22"/>
        </w:rPr>
        <w:t xml:space="preserve"> I </w:t>
      </w:r>
      <w:proofErr w:type="spellStart"/>
      <w:r w:rsidRPr="004879E8">
        <w:rPr>
          <w:rFonts w:ascii="Trebuchet MS" w:hAnsi="Trebuchet MS" w:cs="Arabic Typesetting"/>
          <w:i/>
          <w:sz w:val="22"/>
          <w:szCs w:val="22"/>
        </w:rPr>
        <w:t>Racconti</w:t>
      </w:r>
      <w:proofErr w:type="spellEnd"/>
      <w:r w:rsidRPr="004879E8">
        <w:rPr>
          <w:rFonts w:ascii="Trebuchet MS" w:hAnsi="Trebuchet MS" w:cs="Arabic Typesetting"/>
          <w:sz w:val="22"/>
          <w:szCs w:val="22"/>
        </w:rPr>
        <w:t xml:space="preserve">.  Ed. Marco </w:t>
      </w:r>
      <w:proofErr w:type="spellStart"/>
      <w:r w:rsidRPr="004879E8">
        <w:rPr>
          <w:rFonts w:ascii="Trebuchet MS" w:hAnsi="Trebuchet MS" w:cs="Arabic Typesetting"/>
          <w:sz w:val="22"/>
          <w:szCs w:val="22"/>
        </w:rPr>
        <w:t>Belpoliti</w:t>
      </w:r>
      <w:proofErr w:type="spellEnd"/>
      <w:r w:rsidRPr="004879E8">
        <w:rPr>
          <w:rFonts w:ascii="Trebuchet MS" w:hAnsi="Trebuchet MS" w:cs="Arabic Typesetting"/>
          <w:sz w:val="22"/>
          <w:szCs w:val="22"/>
        </w:rPr>
        <w:t xml:space="preserve">. Turin: </w:t>
      </w:r>
      <w:proofErr w:type="spellStart"/>
      <w:r w:rsidRPr="004879E8">
        <w:rPr>
          <w:rFonts w:ascii="Trebuchet MS" w:hAnsi="Trebuchet MS" w:cs="Arabic Typesetting"/>
          <w:sz w:val="22"/>
          <w:szCs w:val="22"/>
        </w:rPr>
        <w:t>Einaudi</w:t>
      </w:r>
      <w:proofErr w:type="spellEnd"/>
      <w:r w:rsidRPr="004879E8">
        <w:rPr>
          <w:rFonts w:ascii="Trebuchet MS" w:hAnsi="Trebuchet MS" w:cs="Arabic Typesetting"/>
          <w:sz w:val="22"/>
          <w:szCs w:val="22"/>
        </w:rPr>
        <w:t>, 2005. Print.</w:t>
      </w:r>
    </w:p>
    <w:p w:rsidR="0008423E" w:rsidRPr="004879E8" w:rsidRDefault="0008423E" w:rsidP="0008423E">
      <w:pPr>
        <w:jc w:val="both"/>
        <w:rPr>
          <w:rFonts w:ascii="Trebuchet MS" w:hAnsi="Trebuchet MS" w:cs="Arabic Typesetting"/>
          <w:sz w:val="22"/>
          <w:szCs w:val="22"/>
        </w:rPr>
      </w:pPr>
    </w:p>
    <w:p w:rsidR="0008423E" w:rsidRPr="004879E8" w:rsidRDefault="0008423E" w:rsidP="0008423E">
      <w:pPr>
        <w:jc w:val="both"/>
        <w:rPr>
          <w:rFonts w:ascii="Trebuchet MS" w:hAnsi="Trebuchet MS" w:cs="Arabic Typesetting"/>
          <w:sz w:val="22"/>
          <w:szCs w:val="22"/>
        </w:rPr>
      </w:pPr>
      <w:r w:rsidRPr="004879E8">
        <w:rPr>
          <w:rFonts w:ascii="Trebuchet MS" w:hAnsi="Trebuchet MS" w:cs="Arabic Typesetting"/>
          <w:sz w:val="22"/>
          <w:szCs w:val="22"/>
        </w:rPr>
        <w:t xml:space="preserve">Levi, Primo. “In </w:t>
      </w:r>
      <w:proofErr w:type="spellStart"/>
      <w:r w:rsidRPr="004879E8">
        <w:rPr>
          <w:rFonts w:ascii="Trebuchet MS" w:hAnsi="Trebuchet MS" w:cs="Arabic Typesetting"/>
          <w:sz w:val="22"/>
          <w:szCs w:val="22"/>
        </w:rPr>
        <w:t>fronte</w:t>
      </w:r>
      <w:proofErr w:type="spellEnd"/>
      <w:r w:rsidRPr="004879E8">
        <w:rPr>
          <w:rFonts w:ascii="Trebuchet MS" w:hAnsi="Trebuchet MS" w:cs="Arabic Typesetting"/>
          <w:sz w:val="22"/>
          <w:szCs w:val="22"/>
        </w:rPr>
        <w:t xml:space="preserve"> </w:t>
      </w:r>
      <w:proofErr w:type="spellStart"/>
      <w:r w:rsidRPr="004879E8">
        <w:rPr>
          <w:rFonts w:ascii="Trebuchet MS" w:hAnsi="Trebuchet MS" w:cs="Arabic Typesetting"/>
          <w:sz w:val="22"/>
          <w:szCs w:val="22"/>
        </w:rPr>
        <w:t>scritto</w:t>
      </w:r>
      <w:proofErr w:type="spellEnd"/>
      <w:r w:rsidRPr="004879E8">
        <w:rPr>
          <w:rFonts w:ascii="Trebuchet MS" w:hAnsi="Trebuchet MS" w:cs="Arabic Typesetting"/>
          <w:sz w:val="22"/>
          <w:szCs w:val="22"/>
        </w:rPr>
        <w:t xml:space="preserve">”. </w:t>
      </w:r>
      <w:proofErr w:type="spellStart"/>
      <w:r w:rsidRPr="004879E8">
        <w:rPr>
          <w:rFonts w:ascii="Trebuchet MS" w:hAnsi="Trebuchet MS" w:cs="Arabic Typesetting"/>
          <w:i/>
          <w:sz w:val="22"/>
          <w:szCs w:val="22"/>
        </w:rPr>
        <w:t>Tutti</w:t>
      </w:r>
      <w:proofErr w:type="spellEnd"/>
      <w:r w:rsidRPr="004879E8">
        <w:rPr>
          <w:rFonts w:ascii="Trebuchet MS" w:hAnsi="Trebuchet MS" w:cs="Arabic Typesetting"/>
          <w:i/>
          <w:sz w:val="22"/>
          <w:szCs w:val="22"/>
        </w:rPr>
        <w:t xml:space="preserve"> I </w:t>
      </w:r>
      <w:proofErr w:type="spellStart"/>
      <w:r w:rsidRPr="004879E8">
        <w:rPr>
          <w:rFonts w:ascii="Trebuchet MS" w:hAnsi="Trebuchet MS" w:cs="Arabic Typesetting"/>
          <w:i/>
          <w:sz w:val="22"/>
          <w:szCs w:val="22"/>
        </w:rPr>
        <w:t>Racconti</w:t>
      </w:r>
      <w:proofErr w:type="spellEnd"/>
      <w:r w:rsidRPr="004879E8">
        <w:rPr>
          <w:rFonts w:ascii="Trebuchet MS" w:hAnsi="Trebuchet MS" w:cs="Arabic Typesetting"/>
          <w:sz w:val="22"/>
          <w:szCs w:val="22"/>
        </w:rPr>
        <w:t xml:space="preserve">.  Ed. Marco </w:t>
      </w:r>
      <w:proofErr w:type="spellStart"/>
      <w:r w:rsidRPr="004879E8">
        <w:rPr>
          <w:rFonts w:ascii="Trebuchet MS" w:hAnsi="Trebuchet MS" w:cs="Arabic Typesetting"/>
          <w:sz w:val="22"/>
          <w:szCs w:val="22"/>
        </w:rPr>
        <w:t>Belpoliti</w:t>
      </w:r>
      <w:proofErr w:type="spellEnd"/>
      <w:r w:rsidRPr="004879E8">
        <w:rPr>
          <w:rFonts w:ascii="Trebuchet MS" w:hAnsi="Trebuchet MS" w:cs="Arabic Typesetting"/>
          <w:sz w:val="22"/>
          <w:szCs w:val="22"/>
        </w:rPr>
        <w:t xml:space="preserve">. Turin: </w:t>
      </w:r>
      <w:proofErr w:type="spellStart"/>
      <w:r w:rsidRPr="004879E8">
        <w:rPr>
          <w:rFonts w:ascii="Trebuchet MS" w:hAnsi="Trebuchet MS" w:cs="Arabic Typesetting"/>
          <w:sz w:val="22"/>
          <w:szCs w:val="22"/>
        </w:rPr>
        <w:t>Einaudi</w:t>
      </w:r>
      <w:proofErr w:type="spellEnd"/>
      <w:r w:rsidRPr="004879E8">
        <w:rPr>
          <w:rFonts w:ascii="Trebuchet MS" w:hAnsi="Trebuchet MS" w:cs="Arabic Typesetting"/>
          <w:sz w:val="22"/>
          <w:szCs w:val="22"/>
        </w:rPr>
        <w:t>, 2005. Print.</w:t>
      </w:r>
    </w:p>
    <w:p w:rsidR="0008423E" w:rsidRPr="004879E8" w:rsidRDefault="0008423E" w:rsidP="0008423E">
      <w:pPr>
        <w:jc w:val="both"/>
        <w:rPr>
          <w:rFonts w:ascii="Trebuchet MS" w:hAnsi="Trebuchet MS" w:cs="Arabic Typesetting"/>
          <w:sz w:val="22"/>
          <w:szCs w:val="22"/>
        </w:rPr>
      </w:pPr>
    </w:p>
    <w:p w:rsidR="0008423E" w:rsidRPr="004879E8" w:rsidRDefault="0008423E" w:rsidP="0008423E">
      <w:pPr>
        <w:jc w:val="both"/>
        <w:rPr>
          <w:rFonts w:ascii="Trebuchet MS" w:hAnsi="Trebuchet MS" w:cs="Arabic Typesetting"/>
          <w:sz w:val="22"/>
          <w:szCs w:val="22"/>
        </w:rPr>
      </w:pPr>
      <w:r w:rsidRPr="004879E8">
        <w:rPr>
          <w:rFonts w:ascii="Trebuchet MS" w:hAnsi="Trebuchet MS" w:cs="Arabic Typesetting"/>
          <w:sz w:val="22"/>
          <w:szCs w:val="22"/>
        </w:rPr>
        <w:t xml:space="preserve">Levi, Primo. </w:t>
      </w:r>
      <w:r w:rsidRPr="004879E8">
        <w:rPr>
          <w:rFonts w:ascii="Trebuchet MS" w:hAnsi="Trebuchet MS" w:cs="Arabic Typesetting"/>
          <w:i/>
          <w:sz w:val="22"/>
          <w:szCs w:val="22"/>
        </w:rPr>
        <w:t>The Sixth Day.</w:t>
      </w:r>
      <w:r w:rsidRPr="004879E8">
        <w:rPr>
          <w:rFonts w:ascii="Trebuchet MS" w:hAnsi="Trebuchet MS" w:cs="Arabic Typesetting"/>
          <w:sz w:val="22"/>
          <w:szCs w:val="22"/>
        </w:rPr>
        <w:t xml:space="preserve"> Trans. Raymond Rosenthal. Abacus, 1991. Print.</w:t>
      </w:r>
    </w:p>
    <w:p w:rsidR="0008423E" w:rsidRPr="004879E8" w:rsidRDefault="0008423E" w:rsidP="0008423E">
      <w:pPr>
        <w:jc w:val="both"/>
        <w:rPr>
          <w:rFonts w:ascii="Trebuchet MS" w:hAnsi="Trebuchet MS" w:cs="Arabic Typesetting"/>
          <w:sz w:val="22"/>
          <w:szCs w:val="22"/>
        </w:rPr>
      </w:pPr>
    </w:p>
    <w:p w:rsidR="0008423E" w:rsidRPr="004879E8" w:rsidRDefault="0008423E" w:rsidP="0008423E">
      <w:pPr>
        <w:jc w:val="both"/>
        <w:rPr>
          <w:rFonts w:ascii="Trebuchet MS" w:hAnsi="Trebuchet MS" w:cs="Arabic Typesetting"/>
          <w:sz w:val="22"/>
          <w:szCs w:val="22"/>
        </w:rPr>
      </w:pPr>
      <w:r w:rsidRPr="004879E8">
        <w:rPr>
          <w:rFonts w:ascii="Trebuchet MS" w:hAnsi="Trebuchet MS" w:cs="Arabic Typesetting"/>
          <w:sz w:val="22"/>
          <w:szCs w:val="22"/>
        </w:rPr>
        <w:t xml:space="preserve">Levi, Primo. </w:t>
      </w:r>
      <w:r w:rsidRPr="004879E8">
        <w:rPr>
          <w:rFonts w:ascii="Trebuchet MS" w:hAnsi="Trebuchet MS" w:cs="Arabic Typesetting"/>
          <w:i/>
          <w:sz w:val="22"/>
          <w:szCs w:val="22"/>
        </w:rPr>
        <w:t xml:space="preserve">A Tranquil Star. </w:t>
      </w:r>
      <w:r w:rsidRPr="004879E8">
        <w:rPr>
          <w:rFonts w:ascii="Trebuchet MS" w:hAnsi="Trebuchet MS" w:cs="Arabic Typesetting"/>
          <w:sz w:val="22"/>
          <w:szCs w:val="22"/>
        </w:rPr>
        <w:t xml:space="preserve">Trans. Ann Goldstein and Alessandra </w:t>
      </w:r>
      <w:proofErr w:type="spellStart"/>
      <w:r w:rsidRPr="004879E8">
        <w:rPr>
          <w:rFonts w:ascii="Trebuchet MS" w:hAnsi="Trebuchet MS" w:cs="Arabic Typesetting"/>
          <w:sz w:val="22"/>
          <w:szCs w:val="22"/>
        </w:rPr>
        <w:t>Bastagli</w:t>
      </w:r>
      <w:proofErr w:type="spellEnd"/>
      <w:r w:rsidRPr="004879E8">
        <w:rPr>
          <w:rFonts w:ascii="Trebuchet MS" w:hAnsi="Trebuchet MS" w:cs="Arabic Typesetting"/>
          <w:sz w:val="22"/>
          <w:szCs w:val="22"/>
        </w:rPr>
        <w:t>. London: Penguin Modern Classics, 2008. Print.</w:t>
      </w:r>
    </w:p>
    <w:p w:rsidR="0008423E" w:rsidRPr="004879E8" w:rsidRDefault="0008423E" w:rsidP="0008423E">
      <w:pPr>
        <w:jc w:val="both"/>
        <w:rPr>
          <w:rFonts w:ascii="Trebuchet MS" w:hAnsi="Trebuchet MS" w:cs="Arabic Typesetting"/>
          <w:sz w:val="22"/>
          <w:szCs w:val="22"/>
        </w:rPr>
      </w:pPr>
    </w:p>
    <w:p w:rsidR="0008423E" w:rsidRPr="004879E8" w:rsidRDefault="0008423E" w:rsidP="0008423E">
      <w:pPr>
        <w:jc w:val="both"/>
        <w:rPr>
          <w:rFonts w:ascii="Trebuchet MS" w:hAnsi="Trebuchet MS" w:cs="Arabic Typesetting"/>
          <w:sz w:val="22"/>
          <w:szCs w:val="22"/>
        </w:rPr>
      </w:pPr>
      <w:r w:rsidRPr="004879E8">
        <w:rPr>
          <w:rFonts w:ascii="Trebuchet MS" w:hAnsi="Trebuchet MS" w:cs="Arabic Typesetting"/>
          <w:sz w:val="22"/>
          <w:szCs w:val="22"/>
        </w:rPr>
        <w:t xml:space="preserve">Gordon, Robert S. C. </w:t>
      </w:r>
      <w:r w:rsidRPr="004879E8">
        <w:rPr>
          <w:rFonts w:ascii="Trebuchet MS" w:hAnsi="Trebuchet MS" w:cs="Arabic Typesetting"/>
          <w:i/>
          <w:sz w:val="22"/>
          <w:szCs w:val="22"/>
        </w:rPr>
        <w:t>The Cambridge Companion to Levi</w:t>
      </w:r>
      <w:r w:rsidRPr="004879E8">
        <w:rPr>
          <w:rFonts w:ascii="Trebuchet MS" w:hAnsi="Trebuchet MS" w:cs="Arabic Typesetting"/>
          <w:sz w:val="22"/>
          <w:szCs w:val="22"/>
        </w:rPr>
        <w:t>. Cambridge: Cambridge University Press, 2007. Print.</w:t>
      </w:r>
    </w:p>
    <w:p w:rsidR="0008423E" w:rsidRPr="004879E8" w:rsidRDefault="0008423E" w:rsidP="0008423E">
      <w:pPr>
        <w:jc w:val="both"/>
        <w:rPr>
          <w:rFonts w:ascii="Trebuchet MS" w:hAnsi="Trebuchet MS" w:cs="Arabic Typesetting"/>
          <w:i/>
          <w:sz w:val="22"/>
          <w:szCs w:val="22"/>
        </w:rPr>
      </w:pPr>
    </w:p>
    <w:p w:rsidR="0008423E" w:rsidRPr="004879E8" w:rsidRDefault="0008423E" w:rsidP="0008423E">
      <w:pPr>
        <w:jc w:val="both"/>
        <w:rPr>
          <w:rFonts w:ascii="Trebuchet MS" w:hAnsi="Trebuchet MS" w:cs="Arabic Typesetting"/>
          <w:sz w:val="22"/>
          <w:szCs w:val="22"/>
        </w:rPr>
      </w:pPr>
      <w:r w:rsidRPr="004879E8">
        <w:rPr>
          <w:rFonts w:ascii="Trebuchet MS" w:hAnsi="Trebuchet MS" w:cs="Arabic Typesetting"/>
          <w:sz w:val="22"/>
          <w:szCs w:val="22"/>
        </w:rPr>
        <w:t xml:space="preserve">Venuti, Lawrence </w:t>
      </w:r>
      <w:proofErr w:type="gramStart"/>
      <w:r w:rsidRPr="004879E8">
        <w:rPr>
          <w:rFonts w:ascii="Trebuchet MS" w:hAnsi="Trebuchet MS" w:cs="Arabic Typesetting"/>
          <w:sz w:val="22"/>
          <w:szCs w:val="22"/>
        </w:rPr>
        <w:t>ed</w:t>
      </w:r>
      <w:proofErr w:type="gramEnd"/>
      <w:r w:rsidRPr="004879E8">
        <w:rPr>
          <w:rFonts w:ascii="Trebuchet MS" w:hAnsi="Trebuchet MS" w:cs="Arabic Typesetting"/>
          <w:sz w:val="22"/>
          <w:szCs w:val="22"/>
        </w:rPr>
        <w:t xml:space="preserve">. </w:t>
      </w:r>
      <w:r w:rsidRPr="004879E8">
        <w:rPr>
          <w:rFonts w:ascii="Trebuchet MS" w:hAnsi="Trebuchet MS" w:cs="Arabic Typesetting"/>
          <w:i/>
          <w:sz w:val="22"/>
          <w:szCs w:val="22"/>
        </w:rPr>
        <w:t>The Translation Studies Reader.</w:t>
      </w:r>
      <w:r w:rsidRPr="004879E8">
        <w:rPr>
          <w:rFonts w:ascii="Trebuchet MS" w:hAnsi="Trebuchet MS" w:cs="Arabic Typesetting"/>
          <w:sz w:val="22"/>
          <w:szCs w:val="22"/>
        </w:rPr>
        <w:t xml:space="preserve"> London and New York: Routledge, 2000. Print.</w:t>
      </w:r>
    </w:p>
    <w:p w:rsidR="0008423E" w:rsidRPr="004879E8" w:rsidRDefault="0008423E" w:rsidP="0008423E">
      <w:pPr>
        <w:jc w:val="both"/>
        <w:rPr>
          <w:rFonts w:ascii="Trebuchet MS" w:hAnsi="Trebuchet MS" w:cs="Arabic Typesetting"/>
          <w:sz w:val="22"/>
          <w:szCs w:val="22"/>
        </w:rPr>
      </w:pPr>
    </w:p>
    <w:p w:rsidR="0008423E" w:rsidRPr="004879E8" w:rsidRDefault="0008423E" w:rsidP="0008423E">
      <w:pPr>
        <w:jc w:val="both"/>
        <w:rPr>
          <w:rFonts w:ascii="Trebuchet MS" w:hAnsi="Trebuchet MS" w:cs="Arabic Typesetting"/>
          <w:sz w:val="22"/>
          <w:szCs w:val="22"/>
        </w:rPr>
      </w:pPr>
      <w:r w:rsidRPr="004879E8">
        <w:rPr>
          <w:rFonts w:ascii="Trebuchet MS" w:hAnsi="Trebuchet MS" w:cs="Arabic Typesetting"/>
          <w:sz w:val="22"/>
          <w:szCs w:val="22"/>
        </w:rPr>
        <w:t>Levi, Primo. “</w:t>
      </w:r>
      <w:proofErr w:type="spellStart"/>
      <w:r w:rsidRPr="004879E8">
        <w:rPr>
          <w:rFonts w:ascii="Trebuchet MS" w:hAnsi="Trebuchet MS" w:cs="Arabic Typesetting"/>
          <w:sz w:val="22"/>
          <w:szCs w:val="22"/>
        </w:rPr>
        <w:t>Tradurre</w:t>
      </w:r>
      <w:proofErr w:type="spellEnd"/>
      <w:r w:rsidRPr="004879E8">
        <w:rPr>
          <w:rFonts w:ascii="Trebuchet MS" w:hAnsi="Trebuchet MS" w:cs="Arabic Typesetting"/>
          <w:sz w:val="22"/>
          <w:szCs w:val="22"/>
        </w:rPr>
        <w:t xml:space="preserve"> </w:t>
      </w:r>
      <w:proofErr w:type="spellStart"/>
      <w:proofErr w:type="gramStart"/>
      <w:r w:rsidRPr="004879E8">
        <w:rPr>
          <w:rFonts w:ascii="Trebuchet MS" w:hAnsi="Trebuchet MS" w:cs="Arabic Typesetting"/>
          <w:sz w:val="22"/>
          <w:szCs w:val="22"/>
        </w:rPr>
        <w:t>ed</w:t>
      </w:r>
      <w:proofErr w:type="spellEnd"/>
      <w:proofErr w:type="gramEnd"/>
      <w:r w:rsidRPr="004879E8">
        <w:rPr>
          <w:rFonts w:ascii="Trebuchet MS" w:hAnsi="Trebuchet MS" w:cs="Arabic Typesetting"/>
          <w:sz w:val="22"/>
          <w:szCs w:val="22"/>
        </w:rPr>
        <w:t xml:space="preserve"> </w:t>
      </w:r>
      <w:proofErr w:type="spellStart"/>
      <w:r w:rsidRPr="004879E8">
        <w:rPr>
          <w:rFonts w:ascii="Trebuchet MS" w:hAnsi="Trebuchet MS" w:cs="Arabic Typesetting"/>
          <w:sz w:val="22"/>
          <w:szCs w:val="22"/>
        </w:rPr>
        <w:t>essere</w:t>
      </w:r>
      <w:proofErr w:type="spellEnd"/>
      <w:r w:rsidRPr="004879E8">
        <w:rPr>
          <w:rFonts w:ascii="Trebuchet MS" w:hAnsi="Trebuchet MS" w:cs="Arabic Typesetting"/>
          <w:sz w:val="22"/>
          <w:szCs w:val="22"/>
        </w:rPr>
        <w:t xml:space="preserve"> </w:t>
      </w:r>
      <w:proofErr w:type="spellStart"/>
      <w:r w:rsidRPr="004879E8">
        <w:rPr>
          <w:rFonts w:ascii="Trebuchet MS" w:hAnsi="Trebuchet MS" w:cs="Arabic Typesetting"/>
          <w:sz w:val="22"/>
          <w:szCs w:val="22"/>
        </w:rPr>
        <w:t>tradotti</w:t>
      </w:r>
      <w:proofErr w:type="spellEnd"/>
      <w:r w:rsidRPr="004879E8">
        <w:rPr>
          <w:rFonts w:ascii="Trebuchet MS" w:hAnsi="Trebuchet MS" w:cs="Arabic Typesetting"/>
          <w:sz w:val="22"/>
          <w:szCs w:val="22"/>
        </w:rPr>
        <w:t xml:space="preserve">”. </w:t>
      </w:r>
      <w:proofErr w:type="spellStart"/>
      <w:r w:rsidRPr="004879E8">
        <w:rPr>
          <w:rFonts w:ascii="Trebuchet MS" w:hAnsi="Trebuchet MS" w:cs="Arabic Typesetting"/>
          <w:i/>
          <w:sz w:val="22"/>
          <w:szCs w:val="22"/>
        </w:rPr>
        <w:t>L’altrui</w:t>
      </w:r>
      <w:proofErr w:type="spellEnd"/>
      <w:r w:rsidRPr="004879E8">
        <w:rPr>
          <w:rFonts w:ascii="Trebuchet MS" w:hAnsi="Trebuchet MS" w:cs="Arabic Typesetting"/>
          <w:i/>
          <w:sz w:val="22"/>
          <w:szCs w:val="22"/>
        </w:rPr>
        <w:t xml:space="preserve"> </w:t>
      </w:r>
      <w:proofErr w:type="spellStart"/>
      <w:r w:rsidRPr="004879E8">
        <w:rPr>
          <w:rFonts w:ascii="Trebuchet MS" w:hAnsi="Trebuchet MS" w:cs="Arabic Typesetting"/>
          <w:i/>
          <w:sz w:val="22"/>
          <w:szCs w:val="22"/>
        </w:rPr>
        <w:t>Mestiere</w:t>
      </w:r>
      <w:proofErr w:type="spellEnd"/>
      <w:r w:rsidRPr="004879E8">
        <w:rPr>
          <w:rFonts w:ascii="Trebuchet MS" w:hAnsi="Trebuchet MS" w:cs="Arabic Typesetting"/>
          <w:sz w:val="22"/>
          <w:szCs w:val="22"/>
        </w:rPr>
        <w:t xml:space="preserve">. Turin: </w:t>
      </w:r>
      <w:proofErr w:type="spellStart"/>
      <w:r w:rsidRPr="004879E8">
        <w:rPr>
          <w:rFonts w:ascii="Trebuchet MS" w:hAnsi="Trebuchet MS" w:cs="Arabic Typesetting"/>
          <w:sz w:val="22"/>
          <w:szCs w:val="22"/>
        </w:rPr>
        <w:t>Einaudi</w:t>
      </w:r>
      <w:proofErr w:type="spellEnd"/>
      <w:r w:rsidRPr="004879E8">
        <w:rPr>
          <w:rFonts w:ascii="Trebuchet MS" w:hAnsi="Trebuchet MS" w:cs="Arabic Typesetting"/>
          <w:sz w:val="22"/>
          <w:szCs w:val="22"/>
        </w:rPr>
        <w:t>, 2006. Print.</w:t>
      </w:r>
    </w:p>
    <w:p w:rsidR="0008423E" w:rsidRPr="00FD704C" w:rsidRDefault="0008423E" w:rsidP="0008423E">
      <w:pPr>
        <w:jc w:val="both"/>
      </w:pPr>
    </w:p>
    <w:p w:rsidR="0008423E" w:rsidRPr="007B1191" w:rsidRDefault="0008423E" w:rsidP="0008423E">
      <w:pPr>
        <w:tabs>
          <w:tab w:val="left" w:pos="7920"/>
        </w:tabs>
        <w:rPr>
          <w:rFonts w:ascii="Trebuchet MS" w:hAnsi="Trebuchet MS" w:cs="Arial"/>
          <w:sz w:val="22"/>
          <w:szCs w:val="22"/>
        </w:rPr>
      </w:pPr>
    </w:p>
    <w:p w:rsidR="0008423E" w:rsidRDefault="0008423E" w:rsidP="0008423E">
      <w:pPr>
        <w:pStyle w:val="Title"/>
        <w:rPr>
          <w:rFonts w:ascii="Trebuchet MS" w:hAnsi="Trebuchet MS"/>
          <w:b w:val="0"/>
          <w:szCs w:val="24"/>
        </w:rPr>
      </w:pPr>
    </w:p>
    <w:p w:rsidR="0008423E" w:rsidRDefault="0008423E" w:rsidP="0008423E">
      <w:pPr>
        <w:pStyle w:val="Title"/>
        <w:rPr>
          <w:rFonts w:ascii="Trebuchet MS" w:hAnsi="Trebuchet MS"/>
          <w:b w:val="0"/>
          <w:szCs w:val="24"/>
        </w:rPr>
      </w:pPr>
    </w:p>
    <w:p w:rsidR="0008423E" w:rsidRDefault="0008423E" w:rsidP="0008423E">
      <w:pPr>
        <w:pStyle w:val="Title"/>
        <w:rPr>
          <w:rFonts w:ascii="Trebuchet MS" w:hAnsi="Trebuchet MS"/>
          <w:b w:val="0"/>
          <w:szCs w:val="24"/>
        </w:rPr>
      </w:pPr>
    </w:p>
    <w:p w:rsidR="0008423E" w:rsidRDefault="0008423E" w:rsidP="0008423E">
      <w:pPr>
        <w:pStyle w:val="Title"/>
        <w:rPr>
          <w:rFonts w:ascii="Trebuchet MS" w:hAnsi="Trebuchet MS"/>
          <w:b w:val="0"/>
          <w:szCs w:val="24"/>
        </w:rPr>
      </w:pPr>
    </w:p>
    <w:p w:rsidR="0008423E" w:rsidRDefault="0008423E" w:rsidP="0008423E">
      <w:pPr>
        <w:pStyle w:val="Title"/>
        <w:rPr>
          <w:rFonts w:ascii="Trebuchet MS" w:hAnsi="Trebuchet MS"/>
          <w:b w:val="0"/>
          <w:szCs w:val="24"/>
        </w:rPr>
      </w:pPr>
    </w:p>
    <w:p w:rsidR="0008423E" w:rsidRDefault="0008423E" w:rsidP="0008423E">
      <w:pPr>
        <w:pStyle w:val="Title"/>
        <w:rPr>
          <w:rFonts w:ascii="Trebuchet MS" w:hAnsi="Trebuchet MS"/>
          <w:b w:val="0"/>
          <w:szCs w:val="24"/>
        </w:rPr>
      </w:pPr>
    </w:p>
    <w:p w:rsidR="0008423E" w:rsidRDefault="0008423E" w:rsidP="0008423E">
      <w:pPr>
        <w:pStyle w:val="Title"/>
        <w:rPr>
          <w:rFonts w:ascii="Trebuchet MS" w:hAnsi="Trebuchet MS"/>
          <w:b w:val="0"/>
          <w:szCs w:val="24"/>
        </w:rPr>
      </w:pPr>
    </w:p>
    <w:p w:rsidR="0008423E" w:rsidRDefault="0008423E" w:rsidP="0008423E">
      <w:pPr>
        <w:pStyle w:val="Title"/>
        <w:rPr>
          <w:rFonts w:ascii="Trebuchet MS" w:hAnsi="Trebuchet MS"/>
          <w:b w:val="0"/>
          <w:szCs w:val="24"/>
        </w:rPr>
      </w:pPr>
    </w:p>
    <w:p w:rsidR="0008423E" w:rsidRDefault="0008423E" w:rsidP="0008423E">
      <w:pPr>
        <w:pStyle w:val="Title"/>
        <w:rPr>
          <w:rFonts w:ascii="Trebuchet MS" w:hAnsi="Trebuchet MS"/>
          <w:b w:val="0"/>
          <w:szCs w:val="24"/>
        </w:rPr>
      </w:pPr>
    </w:p>
    <w:p w:rsidR="0008423E" w:rsidRDefault="0008423E" w:rsidP="0008423E">
      <w:pPr>
        <w:pStyle w:val="Title"/>
        <w:rPr>
          <w:rFonts w:ascii="Trebuchet MS" w:hAnsi="Trebuchet MS"/>
          <w:b w:val="0"/>
          <w:szCs w:val="24"/>
        </w:rPr>
      </w:pPr>
    </w:p>
    <w:p w:rsidR="0008423E" w:rsidRDefault="0008423E" w:rsidP="0008423E">
      <w:pPr>
        <w:pStyle w:val="Title"/>
        <w:rPr>
          <w:rFonts w:ascii="Trebuchet MS" w:hAnsi="Trebuchet MS"/>
          <w:b w:val="0"/>
          <w:szCs w:val="24"/>
        </w:rPr>
      </w:pPr>
    </w:p>
    <w:p w:rsidR="0008423E" w:rsidRDefault="0008423E" w:rsidP="0008423E">
      <w:pPr>
        <w:pStyle w:val="Title"/>
        <w:rPr>
          <w:rFonts w:ascii="Trebuchet MS" w:hAnsi="Trebuchet MS"/>
          <w:b w:val="0"/>
          <w:szCs w:val="24"/>
        </w:rPr>
      </w:pPr>
    </w:p>
    <w:p w:rsidR="0008423E" w:rsidRDefault="0008423E" w:rsidP="0008423E">
      <w:pPr>
        <w:pStyle w:val="Title"/>
        <w:rPr>
          <w:rFonts w:ascii="Trebuchet MS" w:hAnsi="Trebuchet MS"/>
          <w:b w:val="0"/>
          <w:szCs w:val="24"/>
        </w:rPr>
      </w:pPr>
    </w:p>
    <w:p w:rsidR="0008423E" w:rsidRDefault="0008423E" w:rsidP="0008423E">
      <w:pPr>
        <w:pStyle w:val="Title"/>
        <w:rPr>
          <w:rFonts w:ascii="Trebuchet MS" w:hAnsi="Trebuchet MS"/>
          <w:b w:val="0"/>
          <w:szCs w:val="24"/>
        </w:rPr>
      </w:pPr>
    </w:p>
    <w:p w:rsidR="0008423E" w:rsidRDefault="0008423E" w:rsidP="0008423E">
      <w:pPr>
        <w:pStyle w:val="Title"/>
        <w:rPr>
          <w:rFonts w:ascii="Trebuchet MS" w:hAnsi="Trebuchet MS"/>
          <w:b w:val="0"/>
          <w:szCs w:val="24"/>
        </w:rPr>
      </w:pPr>
    </w:p>
    <w:p w:rsidR="0008423E" w:rsidRDefault="0008423E" w:rsidP="0008423E">
      <w:pPr>
        <w:pStyle w:val="Title"/>
        <w:rPr>
          <w:rFonts w:ascii="Trebuchet MS" w:hAnsi="Trebuchet MS"/>
          <w:b w:val="0"/>
          <w:szCs w:val="24"/>
        </w:rPr>
      </w:pPr>
    </w:p>
    <w:p w:rsidR="0008423E" w:rsidRDefault="0008423E" w:rsidP="0008423E">
      <w:pPr>
        <w:pStyle w:val="Title"/>
        <w:rPr>
          <w:rFonts w:ascii="Trebuchet MS" w:hAnsi="Trebuchet MS"/>
          <w:b w:val="0"/>
          <w:szCs w:val="24"/>
        </w:rPr>
      </w:pPr>
    </w:p>
    <w:p w:rsidR="0008423E" w:rsidRDefault="0008423E" w:rsidP="0008423E">
      <w:pPr>
        <w:pStyle w:val="Title"/>
        <w:rPr>
          <w:rFonts w:ascii="Trebuchet MS" w:hAnsi="Trebuchet MS"/>
          <w:b w:val="0"/>
          <w:szCs w:val="24"/>
        </w:rPr>
      </w:pPr>
    </w:p>
    <w:p w:rsidR="0008423E" w:rsidRDefault="0008423E" w:rsidP="0008423E">
      <w:pPr>
        <w:pStyle w:val="Title"/>
        <w:rPr>
          <w:rFonts w:ascii="Trebuchet MS" w:hAnsi="Trebuchet MS"/>
          <w:b w:val="0"/>
          <w:szCs w:val="24"/>
        </w:rPr>
      </w:pPr>
    </w:p>
    <w:p w:rsidR="0008423E" w:rsidRDefault="0008423E" w:rsidP="0008423E">
      <w:pPr>
        <w:pStyle w:val="Title"/>
        <w:rPr>
          <w:rFonts w:ascii="Trebuchet MS" w:hAnsi="Trebuchet MS"/>
          <w:b w:val="0"/>
          <w:szCs w:val="24"/>
        </w:rPr>
      </w:pPr>
    </w:p>
    <w:p w:rsidR="0008423E" w:rsidRDefault="0008423E" w:rsidP="0008423E">
      <w:pPr>
        <w:pStyle w:val="Title"/>
        <w:rPr>
          <w:rFonts w:ascii="Trebuchet MS" w:hAnsi="Trebuchet MS"/>
          <w:b w:val="0"/>
          <w:szCs w:val="24"/>
        </w:rPr>
      </w:pPr>
    </w:p>
    <w:p w:rsidR="0008423E" w:rsidRDefault="0008423E" w:rsidP="0008423E">
      <w:pPr>
        <w:pStyle w:val="Title"/>
        <w:rPr>
          <w:rFonts w:ascii="Trebuchet MS" w:hAnsi="Trebuchet MS"/>
          <w:b w:val="0"/>
          <w:szCs w:val="24"/>
        </w:rPr>
      </w:pPr>
    </w:p>
    <w:p w:rsidR="0008423E" w:rsidRDefault="0008423E" w:rsidP="0008423E">
      <w:pPr>
        <w:pStyle w:val="Title"/>
        <w:rPr>
          <w:rFonts w:ascii="Trebuchet MS" w:hAnsi="Trebuchet MS"/>
          <w:b w:val="0"/>
          <w:szCs w:val="24"/>
        </w:rPr>
      </w:pPr>
    </w:p>
    <w:p w:rsidR="0008423E" w:rsidRDefault="0008423E" w:rsidP="0008423E">
      <w:pPr>
        <w:pStyle w:val="Title"/>
        <w:rPr>
          <w:rFonts w:ascii="Trebuchet MS" w:hAnsi="Trebuchet MS"/>
          <w:b w:val="0"/>
          <w:szCs w:val="24"/>
        </w:rPr>
      </w:pPr>
    </w:p>
    <w:p w:rsidR="0008423E" w:rsidRDefault="0008423E" w:rsidP="0008423E">
      <w:pPr>
        <w:pStyle w:val="Title"/>
        <w:rPr>
          <w:rFonts w:ascii="Trebuchet MS" w:hAnsi="Trebuchet MS"/>
          <w:b w:val="0"/>
          <w:szCs w:val="24"/>
        </w:rPr>
      </w:pPr>
    </w:p>
    <w:p w:rsidR="0008423E" w:rsidRDefault="0008423E" w:rsidP="0008423E">
      <w:pPr>
        <w:pStyle w:val="Title"/>
        <w:rPr>
          <w:rFonts w:ascii="Trebuchet MS" w:hAnsi="Trebuchet MS"/>
          <w:b w:val="0"/>
          <w:szCs w:val="24"/>
        </w:rPr>
      </w:pPr>
    </w:p>
    <w:p w:rsidR="00EC76DB" w:rsidRDefault="00EC76DB"/>
    <w:sectPr w:rsidR="00EC76D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Arabic Typesetting">
    <w:panose1 w:val="03020402040406030203"/>
    <w:charset w:val="00"/>
    <w:family w:val="script"/>
    <w:pitch w:val="variable"/>
    <w:sig w:usb0="A000206F" w:usb1="C0000000" w:usb2="00000008" w:usb3="00000000" w:csb0="000000D3"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423E"/>
    <w:rsid w:val="0008423E"/>
    <w:rsid w:val="00EC76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F3BE51E-06A8-4361-A08A-26818E1690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8423E"/>
    <w:pPr>
      <w:spacing w:after="0" w:line="240" w:lineRule="auto"/>
    </w:pPr>
    <w:rPr>
      <w:rFonts w:ascii="Times New Roman" w:eastAsia="Calibri"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08423E"/>
    <w:pPr>
      <w:jc w:val="center"/>
    </w:pPr>
    <w:rPr>
      <w:rFonts w:eastAsia="Times New Roman"/>
      <w:b/>
      <w:szCs w:val="20"/>
    </w:rPr>
  </w:style>
  <w:style w:type="character" w:customStyle="1" w:styleId="TitleChar">
    <w:name w:val="Title Char"/>
    <w:basedOn w:val="DefaultParagraphFont"/>
    <w:link w:val="Title"/>
    <w:rsid w:val="0008423E"/>
    <w:rPr>
      <w:rFonts w:ascii="Times New Roman" w:eastAsia="Times New Roman" w:hAnsi="Times New Roman" w:cs="Times New Roman"/>
      <w:b/>
      <w:sz w:val="24"/>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4CF1E9B7</Template>
  <TotalTime>1</TotalTime>
  <Pages>4</Pages>
  <Words>1449</Words>
  <Characters>8260</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9690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Dam, Ngan</dc:creator>
  <cp:keywords/>
  <dc:description/>
  <cp:lastModifiedBy>Dam, Ngan</cp:lastModifiedBy>
  <cp:revision>1</cp:revision>
  <dcterms:created xsi:type="dcterms:W3CDTF">2016-04-01T13:43:00Z</dcterms:created>
  <dcterms:modified xsi:type="dcterms:W3CDTF">2016-04-01T13:44:00Z</dcterms:modified>
</cp:coreProperties>
</file>