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09537F" w14:textId="3BCA3D0C" w:rsidR="00281866" w:rsidRPr="00281866" w:rsidRDefault="00281866" w:rsidP="00281866">
      <w:pPr>
        <w:pStyle w:val="Para"/>
        <w:jc w:val="center"/>
        <w:rPr>
          <w:b/>
          <w:bCs/>
          <w:szCs w:val="24"/>
        </w:rPr>
      </w:pPr>
      <w:r w:rsidRPr="00281866">
        <w:rPr>
          <w:b/>
          <w:bCs/>
          <w:szCs w:val="24"/>
        </w:rPr>
        <w:t>Week 7: Extractive Imperialism</w:t>
      </w:r>
    </w:p>
    <w:p w14:paraId="617E7672" w14:textId="77777777" w:rsidR="00281866" w:rsidRDefault="00281866" w:rsidP="00281866">
      <w:pPr>
        <w:pStyle w:val="Para"/>
        <w:rPr>
          <w:szCs w:val="24"/>
        </w:rPr>
      </w:pPr>
    </w:p>
    <w:p w14:paraId="15A15C77" w14:textId="77777777" w:rsidR="00281866" w:rsidRDefault="00281866" w:rsidP="00281866">
      <w:pPr>
        <w:pStyle w:val="Para"/>
        <w:rPr>
          <w:szCs w:val="24"/>
        </w:rPr>
      </w:pPr>
    </w:p>
    <w:p w14:paraId="77A266C9" w14:textId="284FBA0D" w:rsidR="00281866" w:rsidRPr="00DD43F7" w:rsidRDefault="00281866" w:rsidP="00281866">
      <w:pPr>
        <w:pStyle w:val="Para"/>
        <w:rPr>
          <w:szCs w:val="24"/>
        </w:rPr>
      </w:pPr>
      <w:r w:rsidRPr="00DD43F7">
        <w:rPr>
          <w:szCs w:val="24"/>
        </w:rPr>
        <w:t>How does Eng set different kinds of cartographic practices against each other? Why, for Eng, is the sex worker a kind of privileged mapper and political actor?</w:t>
      </w:r>
    </w:p>
    <w:p w14:paraId="2C4E20A3" w14:textId="77777777" w:rsidR="00281866" w:rsidRDefault="00281866" w:rsidP="00281866">
      <w:pPr>
        <w:pStyle w:val="Para"/>
        <w:rPr>
          <w:szCs w:val="24"/>
        </w:rPr>
      </w:pPr>
    </w:p>
    <w:p w14:paraId="5C378CFF" w14:textId="77777777" w:rsidR="00281866" w:rsidRPr="00DD43F7" w:rsidRDefault="00281866" w:rsidP="00281866">
      <w:pPr>
        <w:pStyle w:val="Para"/>
        <w:rPr>
          <w:szCs w:val="24"/>
        </w:rPr>
      </w:pPr>
    </w:p>
    <w:p w14:paraId="4C46CB2E" w14:textId="77777777" w:rsidR="00281866" w:rsidRPr="00DD43F7" w:rsidRDefault="00281866" w:rsidP="00281866">
      <w:pPr>
        <w:pStyle w:val="Para"/>
        <w:rPr>
          <w:szCs w:val="24"/>
        </w:rPr>
      </w:pPr>
      <w:r w:rsidRPr="00DD43F7">
        <w:rPr>
          <w:szCs w:val="24"/>
        </w:rPr>
        <w:t>How do both “</w:t>
      </w:r>
      <w:proofErr w:type="spellStart"/>
      <w:r w:rsidRPr="00DD43F7">
        <w:rPr>
          <w:szCs w:val="24"/>
        </w:rPr>
        <w:t>Autocartography</w:t>
      </w:r>
      <w:proofErr w:type="spellEnd"/>
      <w:r w:rsidRPr="00DD43F7">
        <w:rPr>
          <w:szCs w:val="24"/>
        </w:rPr>
        <w:t xml:space="preserve">” and “Precious” link the seemingly separate issues of gender-based violence, extraction, and </w:t>
      </w:r>
      <w:proofErr w:type="spellStart"/>
      <w:r w:rsidRPr="00DD43F7">
        <w:rPr>
          <w:szCs w:val="24"/>
        </w:rPr>
        <w:t>financialisation</w:t>
      </w:r>
      <w:proofErr w:type="spellEnd"/>
      <w:r w:rsidRPr="00DD43F7">
        <w:rPr>
          <w:szCs w:val="24"/>
        </w:rPr>
        <w:t>?</w:t>
      </w:r>
    </w:p>
    <w:p w14:paraId="52ED85DE" w14:textId="77777777" w:rsidR="00281866" w:rsidRDefault="00281866" w:rsidP="00281866">
      <w:pPr>
        <w:pStyle w:val="Para"/>
        <w:rPr>
          <w:b/>
          <w:bCs/>
          <w:szCs w:val="24"/>
        </w:rPr>
      </w:pPr>
    </w:p>
    <w:p w14:paraId="70DF20A7" w14:textId="77777777" w:rsidR="00281866" w:rsidRPr="00DD43F7" w:rsidRDefault="00281866" w:rsidP="00281866">
      <w:pPr>
        <w:pStyle w:val="Para"/>
        <w:rPr>
          <w:b/>
          <w:bCs/>
          <w:szCs w:val="24"/>
        </w:rPr>
      </w:pPr>
    </w:p>
    <w:p w14:paraId="7D356D89" w14:textId="77777777" w:rsidR="00281866" w:rsidRPr="00DD43F7" w:rsidRDefault="00281866" w:rsidP="00281866">
      <w:pPr>
        <w:rPr>
          <w:rFonts w:ascii="Times New Roman" w:hAnsi="Times New Roman" w:cs="Times New Roman"/>
        </w:rPr>
      </w:pPr>
      <w:r w:rsidRPr="00DD43F7">
        <w:rPr>
          <w:rFonts w:ascii="Times New Roman" w:hAnsi="Times New Roman" w:cs="Times New Roman"/>
        </w:rPr>
        <w:t>How do both texts make use of fantastical (e.g. fairytales, pirate stories, etc.) and more realistic genres and why?</w:t>
      </w:r>
    </w:p>
    <w:p w14:paraId="05B82373" w14:textId="77777777" w:rsidR="00281866" w:rsidRDefault="00281866" w:rsidP="00281866">
      <w:pPr>
        <w:rPr>
          <w:rFonts w:ascii="Times New Roman" w:hAnsi="Times New Roman" w:cs="Times New Roman"/>
        </w:rPr>
      </w:pPr>
    </w:p>
    <w:p w14:paraId="5276DB97" w14:textId="77777777" w:rsidR="00281866" w:rsidRPr="00DD43F7" w:rsidRDefault="00281866" w:rsidP="00281866">
      <w:pPr>
        <w:rPr>
          <w:rFonts w:ascii="Times New Roman" w:hAnsi="Times New Roman" w:cs="Times New Roman"/>
        </w:rPr>
      </w:pPr>
    </w:p>
    <w:p w14:paraId="04349DDD" w14:textId="77777777" w:rsidR="00281866" w:rsidRPr="00DD43F7" w:rsidRDefault="00281866" w:rsidP="00281866">
      <w:pPr>
        <w:rPr>
          <w:rFonts w:ascii="Times New Roman" w:hAnsi="Times New Roman" w:cs="Times New Roman"/>
        </w:rPr>
      </w:pPr>
      <w:r w:rsidRPr="00DD43F7">
        <w:rPr>
          <w:rFonts w:ascii="Times New Roman" w:hAnsi="Times New Roman" w:cs="Times New Roman"/>
        </w:rPr>
        <w:t>Hopkinson’s fabular, allegorical tale is relatively abstract/non-specific in terms of its location, while “</w:t>
      </w:r>
      <w:proofErr w:type="spellStart"/>
      <w:r w:rsidRPr="00DD43F7">
        <w:rPr>
          <w:rFonts w:ascii="Times New Roman" w:hAnsi="Times New Roman" w:cs="Times New Roman"/>
        </w:rPr>
        <w:t>Autocartography</w:t>
      </w:r>
      <w:proofErr w:type="spellEnd"/>
      <w:r w:rsidRPr="00DD43F7">
        <w:rPr>
          <w:rFonts w:ascii="Times New Roman" w:hAnsi="Times New Roman" w:cs="Times New Roman"/>
        </w:rPr>
        <w:t xml:space="preserve">” is grounded in a specific locality. What difference does this make to the meaning and significance of the works, as well as to how we might read them in relation to the question of how we represent the Anthropocene and its causes/effects? </w:t>
      </w:r>
    </w:p>
    <w:p w14:paraId="7198EBC4" w14:textId="77777777" w:rsidR="00281866" w:rsidRDefault="00281866" w:rsidP="00281866">
      <w:pPr>
        <w:rPr>
          <w:rFonts w:ascii="Times New Roman" w:hAnsi="Times New Roman" w:cs="Times New Roman"/>
        </w:rPr>
      </w:pPr>
    </w:p>
    <w:p w14:paraId="1E4A6D4C" w14:textId="77777777" w:rsidR="00281866" w:rsidRPr="00DD43F7" w:rsidRDefault="00281866" w:rsidP="00281866">
      <w:pPr>
        <w:rPr>
          <w:rFonts w:ascii="Times New Roman" w:hAnsi="Times New Roman" w:cs="Times New Roman"/>
        </w:rPr>
      </w:pPr>
    </w:p>
    <w:p w14:paraId="1299BF28" w14:textId="77777777" w:rsidR="00281866" w:rsidRPr="00DD43F7" w:rsidRDefault="00281866" w:rsidP="00281866">
      <w:pPr>
        <w:rPr>
          <w:rFonts w:ascii="Times New Roman" w:hAnsi="Times New Roman" w:cs="Times New Roman"/>
        </w:rPr>
      </w:pPr>
      <w:r w:rsidRPr="00DD43F7">
        <w:rPr>
          <w:rFonts w:ascii="Times New Roman" w:hAnsi="Times New Roman" w:cs="Times New Roman"/>
        </w:rPr>
        <w:t>How is resistance framed and represented in both texts. What are the similarities or differences?</w:t>
      </w:r>
    </w:p>
    <w:p w14:paraId="788469C5" w14:textId="77777777" w:rsidR="0047391A" w:rsidRDefault="0047391A"/>
    <w:sectPr w:rsidR="0047391A" w:rsidSect="00864FE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281866"/>
    <w:rsid w:val="00281866"/>
    <w:rsid w:val="0047391A"/>
    <w:rsid w:val="00864FE2"/>
    <w:rsid w:val="009E1B3D"/>
    <w:rsid w:val="00A22747"/>
    <w:rsid w:val="00A83151"/>
    <w:rsid w:val="00CF4E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87C193"/>
  <w15:chartTrackingRefBased/>
  <w15:docId w15:val="{34C30CB2-FB82-4E75-AB6E-FE62EE9F4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1866"/>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
    <w:name w:val="Para"/>
    <w:basedOn w:val="Normal"/>
    <w:uiPriority w:val="2"/>
    <w:qFormat/>
    <w:rsid w:val="00281866"/>
    <w:rPr>
      <w:rFonts w:ascii="Times New Roman" w:eastAsiaTheme="minorEastAsia" w:hAnsi="Times New Roman" w:cs="Times New Roman"/>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137</Words>
  <Characters>784</Characters>
  <Application>Microsoft Office Word</Application>
  <DocSecurity>0</DocSecurity>
  <Lines>6</Lines>
  <Paragraphs>1</Paragraphs>
  <ScaleCrop>false</ScaleCrop>
  <Company/>
  <LinksUpToDate>false</LinksUpToDate>
  <CharactersWithSpaces>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Niblett, Michael</dc:creator>
  <cp:keywords/>
  <dc:description/>
  <cp:lastModifiedBy>Niblett, Michael</cp:lastModifiedBy>
  <cp:revision>1</cp:revision>
  <dcterms:created xsi:type="dcterms:W3CDTF">2024-02-15T23:26:00Z</dcterms:created>
  <dcterms:modified xsi:type="dcterms:W3CDTF">2024-02-15T23:27:00Z</dcterms:modified>
</cp:coreProperties>
</file>