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18E8135" w14:textId="77777777" w:rsidR="00DA34C8" w:rsidRPr="00713A0E" w:rsidRDefault="00DA34C8" w:rsidP="00DA34C8">
      <w:pPr>
        <w:pStyle w:val="Heading1"/>
        <w:shd w:val="clear" w:color="auto" w:fill="ACB9CA" w:themeFill="text2" w:themeFillTint="66"/>
        <w:rPr>
          <w:rFonts w:ascii="Georgia Pro Cond" w:hAnsi="Georgia Pro Cond" w:cstheme="majorHAnsi"/>
          <w:color w:val="auto"/>
        </w:rPr>
      </w:pPr>
      <w:bookmarkStart w:id="0" w:name="_GoBack"/>
      <w:bookmarkEnd w:id="0"/>
      <w:r w:rsidRPr="00713A0E">
        <w:rPr>
          <w:rStyle w:val="Strong"/>
          <w:rFonts w:ascii="Georgia Pro Cond" w:hAnsi="Georgia Pro Cond" w:cstheme="majorHAnsi"/>
          <w:i/>
          <w:iCs/>
          <w:color w:val="auto"/>
        </w:rPr>
        <w:t>Week 1: What is Gothic? </w:t>
      </w:r>
    </w:p>
    <w:p w14:paraId="22FF7CA3" w14:textId="77777777" w:rsidR="00DA34C8" w:rsidRDefault="00DA34C8" w:rsidP="00DA34C8">
      <w:pPr>
        <w:rPr>
          <w:rFonts w:ascii="Georgia Pro Cond" w:hAnsi="Georgia Pro Cond"/>
        </w:rPr>
      </w:pPr>
    </w:p>
    <w:p w14:paraId="3E5D3D66" w14:textId="77777777" w:rsidR="00DA34C8" w:rsidRPr="002E012B" w:rsidRDefault="00DA34C8" w:rsidP="00DA34C8">
      <w:pPr>
        <w:rPr>
          <w:rFonts w:ascii="Georgia Pro Cond" w:hAnsi="Georgia Pro Cond"/>
        </w:rPr>
      </w:pPr>
      <w:r w:rsidRPr="002E012B">
        <w:rPr>
          <w:rFonts w:ascii="Georgia Pro Cond" w:hAnsi="Georgia Pro Cond"/>
        </w:rPr>
        <w:t>As well as my general brief introduction to</w:t>
      </w:r>
      <w:r>
        <w:rPr>
          <w:rFonts w:ascii="Georgia Pro Cond" w:hAnsi="Georgia Pro Cond"/>
        </w:rPr>
        <w:t>,</w:t>
      </w:r>
      <w:r w:rsidRPr="002E012B">
        <w:rPr>
          <w:rFonts w:ascii="Georgia Pro Cond" w:hAnsi="Georgia Pro Cond"/>
        </w:rPr>
        <w:t xml:space="preserve"> and overview of</w:t>
      </w:r>
      <w:r>
        <w:rPr>
          <w:rFonts w:ascii="Georgia Pro Cond" w:hAnsi="Georgia Pro Cond"/>
        </w:rPr>
        <w:t>,</w:t>
      </w:r>
      <w:r w:rsidRPr="002E012B">
        <w:rPr>
          <w:rFonts w:ascii="Georgia Pro Cond" w:hAnsi="Georgia Pro Cond"/>
        </w:rPr>
        <w:t xml:space="preserve"> the course, in week one, we will be considering, as a group, the elusive nature of “Gothic” (and, indeed, whether it should be capitalised, and whether that even matters). </w:t>
      </w:r>
      <w:r w:rsidRPr="002E012B">
        <w:rPr>
          <w:rFonts w:ascii="Georgia Pro Cond" w:hAnsi="Georgia Pro Cond"/>
          <w:b/>
        </w:rPr>
        <w:t>You need to do some preparatory work</w:t>
      </w:r>
      <w:r w:rsidRPr="002E012B">
        <w:rPr>
          <w:rFonts w:ascii="Georgia Pro Cond" w:hAnsi="Georgia Pro Cond"/>
        </w:rPr>
        <w:t>:</w:t>
      </w:r>
    </w:p>
    <w:p w14:paraId="1A095723" w14:textId="77777777" w:rsidR="00DA34C8" w:rsidRPr="002E012B" w:rsidRDefault="00DA34C8" w:rsidP="00DA34C8">
      <w:pPr>
        <w:rPr>
          <w:rFonts w:ascii="Georgia Pro Cond" w:hAnsi="Georgia Pro Cond"/>
        </w:rPr>
      </w:pPr>
      <w:r w:rsidRPr="002E012B">
        <w:rPr>
          <w:rFonts w:ascii="Georgia Pro Cond" w:hAnsi="Georgia Pro Cond"/>
        </w:rPr>
        <w:t xml:space="preserve">1.a) Read the following </w:t>
      </w:r>
      <w:r w:rsidRPr="002E012B">
        <w:rPr>
          <w:rFonts w:ascii="Georgia Pro Cond" w:hAnsi="Georgia Pro Cond"/>
          <w:b/>
        </w:rPr>
        <w:t>“primary sources”</w:t>
      </w:r>
      <w:r w:rsidRPr="002E012B">
        <w:rPr>
          <w:rFonts w:ascii="Georgia Pro Cond" w:hAnsi="Georgia Pro Cond"/>
        </w:rPr>
        <w:t xml:space="preserve"> (this is a bit of a contentious term…but let’s go with it) to get a sense of how contemporary </w:t>
      </w:r>
      <w:r>
        <w:rPr>
          <w:rFonts w:ascii="Georgia Pro Cond" w:hAnsi="Georgia Pro Cond"/>
        </w:rPr>
        <w:t xml:space="preserve">authors framed the character and functions of terror and horror, how </w:t>
      </w:r>
      <w:r w:rsidRPr="002E012B">
        <w:rPr>
          <w:rFonts w:ascii="Georgia Pro Cond" w:hAnsi="Georgia Pro Cond"/>
        </w:rPr>
        <w:t xml:space="preserve">critics of the nineteenth century </w:t>
      </w:r>
      <w:r>
        <w:rPr>
          <w:rFonts w:ascii="Georgia Pro Cond" w:hAnsi="Georgia Pro Cond"/>
        </w:rPr>
        <w:t>received and</w:t>
      </w:r>
      <w:r w:rsidRPr="002E012B">
        <w:rPr>
          <w:rFonts w:ascii="Georgia Pro Cond" w:hAnsi="Georgia Pro Cond"/>
        </w:rPr>
        <w:t xml:space="preserve"> criticised what we would call (broadly) “Gothic” literature</w:t>
      </w:r>
      <w:r>
        <w:rPr>
          <w:rFonts w:ascii="Georgia Pro Cond" w:hAnsi="Georgia Pro Cond"/>
        </w:rPr>
        <w:t xml:space="preserve"> and its readers</w:t>
      </w:r>
      <w:r w:rsidRPr="002E012B">
        <w:rPr>
          <w:rFonts w:ascii="Georgia Pro Cond" w:hAnsi="Georgia Pro Cond"/>
        </w:rPr>
        <w:t>.</w:t>
      </w:r>
    </w:p>
    <w:p w14:paraId="73608E76" w14:textId="77777777" w:rsidR="00DA34C8" w:rsidRPr="007C7E8D" w:rsidRDefault="00DA34C8" w:rsidP="00DA34C8">
      <w:pPr>
        <w:pStyle w:val="ListParagraph"/>
        <w:numPr>
          <w:ilvl w:val="0"/>
          <w:numId w:val="3"/>
        </w:numPr>
        <w:rPr>
          <w:rStyle w:val="Title1"/>
          <w:rFonts w:ascii="Georgia Pro Cond" w:hAnsi="Georgia Pro Cond"/>
        </w:rPr>
      </w:pPr>
      <w:r w:rsidRPr="007C7E8D">
        <w:rPr>
          <w:rStyle w:val="Title1"/>
          <w:rFonts w:ascii="Georgia Pro Cond" w:hAnsi="Georgia Pro Cond" w:cs="Times New Roman"/>
          <w:bCs/>
          <w:bdr w:val="none" w:sz="0" w:space="0" w:color="auto" w:frame="1"/>
          <w:shd w:val="clear" w:color="auto" w:fill="FFFFFF"/>
        </w:rPr>
        <w:t xml:space="preserve">Anon. ‘Terrorist Novel Writing’ (1797) </w:t>
      </w:r>
      <w:r w:rsidRPr="007C7E8D">
        <w:rPr>
          <w:rStyle w:val="Title1"/>
          <w:rFonts w:ascii="Georgia Pro Cond" w:hAnsi="Georgia Pro Cond" w:cs="Times New Roman"/>
          <w:bCs/>
          <w:sz w:val="20"/>
          <w:bdr w:val="none" w:sz="0" w:space="0" w:color="auto" w:frame="1"/>
          <w:shd w:val="clear" w:color="auto" w:fill="FFFFFF"/>
        </w:rPr>
        <w:t>[reproduced below]</w:t>
      </w:r>
    </w:p>
    <w:p w14:paraId="5A464046" w14:textId="77777777" w:rsidR="00DA34C8" w:rsidRPr="007C7E8D" w:rsidRDefault="00DA34C8" w:rsidP="00DA34C8">
      <w:pPr>
        <w:pStyle w:val="ListParagraph"/>
        <w:numPr>
          <w:ilvl w:val="0"/>
          <w:numId w:val="3"/>
        </w:numPr>
        <w:rPr>
          <w:rFonts w:ascii="Georgia Pro Cond" w:hAnsi="Georgia Pro Cond"/>
        </w:rPr>
      </w:pPr>
      <w:r w:rsidRPr="007C7E8D">
        <w:rPr>
          <w:rStyle w:val="Title1"/>
          <w:rFonts w:ascii="Georgia Pro Cond" w:hAnsi="Georgia Pro Cond" w:cs="Times New Roman"/>
          <w:bCs/>
          <w:bdr w:val="none" w:sz="0" w:space="0" w:color="auto" w:frame="1"/>
          <w:shd w:val="clear" w:color="auto" w:fill="FFFFFF"/>
        </w:rPr>
        <w:t xml:space="preserve">Anon. </w:t>
      </w:r>
      <w:r w:rsidRPr="007C7E8D">
        <w:rPr>
          <w:rFonts w:ascii="Georgia Pro Cond" w:hAnsi="Georgia Pro Cond"/>
        </w:rPr>
        <w:t xml:space="preserve">“Novel-Reading: A Cause of Female Depravity” (1817) </w:t>
      </w:r>
      <w:r w:rsidRPr="007C7E8D">
        <w:rPr>
          <w:rStyle w:val="Title1"/>
          <w:rFonts w:ascii="Georgia Pro Cond" w:hAnsi="Georgia Pro Cond" w:cs="Times New Roman"/>
          <w:bCs/>
          <w:sz w:val="20"/>
          <w:bdr w:val="none" w:sz="0" w:space="0" w:color="auto" w:frame="1"/>
          <w:shd w:val="clear" w:color="auto" w:fill="FFFFFF"/>
        </w:rPr>
        <w:t>[reproduced below]</w:t>
      </w:r>
    </w:p>
    <w:p w14:paraId="541C9D90" w14:textId="77777777" w:rsidR="00DA34C8" w:rsidRPr="002E012B" w:rsidRDefault="00DA34C8" w:rsidP="00DA34C8">
      <w:pPr>
        <w:pStyle w:val="ListParagraph"/>
        <w:numPr>
          <w:ilvl w:val="0"/>
          <w:numId w:val="3"/>
        </w:numPr>
        <w:rPr>
          <w:rFonts w:ascii="Georgia Pro Cond" w:hAnsi="Georgia Pro Cond"/>
        </w:rPr>
      </w:pPr>
      <w:r w:rsidRPr="007C7E8D">
        <w:rPr>
          <w:rFonts w:ascii="Georgia Pro Cond" w:hAnsi="Georgia Pro Cond"/>
        </w:rPr>
        <w:t>Ann Radcliffe, ‘On the Supernatural in Poetry’  (1826)</w:t>
      </w:r>
      <w:r>
        <w:rPr>
          <w:rFonts w:ascii="Georgia Pro Cond" w:hAnsi="Georgia Pro Cond"/>
        </w:rPr>
        <w:t xml:space="preserve"> </w:t>
      </w:r>
      <w:hyperlink r:id="rId5" w:history="1">
        <w:r w:rsidRPr="00F41232">
          <w:rPr>
            <w:rStyle w:val="Hyperlink"/>
            <w:rFonts w:ascii="Georgia Pro Cond" w:hAnsi="Georgia Pro Cond"/>
          </w:rPr>
          <w:t>https://www.saylor.org/site/wp-content/uploads/2011/01/On-the-Supernatural-in-Poetry.pdf</w:t>
        </w:r>
      </w:hyperlink>
      <w:r>
        <w:rPr>
          <w:rFonts w:ascii="Georgia Pro Cond" w:hAnsi="Georgia Pro Cond"/>
        </w:rPr>
        <w:t xml:space="preserve"> </w:t>
      </w:r>
    </w:p>
    <w:p w14:paraId="68D578DF" w14:textId="77777777" w:rsidR="00DA34C8" w:rsidRPr="00DB6A85" w:rsidRDefault="00DA34C8" w:rsidP="00DA34C8">
      <w:pPr>
        <w:pStyle w:val="ListParagraph"/>
        <w:numPr>
          <w:ilvl w:val="0"/>
          <w:numId w:val="3"/>
        </w:numPr>
        <w:rPr>
          <w:rStyle w:val="Title1"/>
          <w:rFonts w:ascii="Georgia Pro Cond" w:hAnsi="Georgia Pro Cond"/>
        </w:rPr>
      </w:pPr>
      <w:proofErr w:type="spellStart"/>
      <w:r w:rsidRPr="007C7E8D">
        <w:rPr>
          <w:rStyle w:val="Title1"/>
          <w:rFonts w:ascii="Georgia Pro Cond" w:hAnsi="Georgia Pro Cond" w:cs="Times New Roman"/>
          <w:bCs/>
          <w:bdr w:val="none" w:sz="0" w:space="0" w:color="auto" w:frame="1"/>
          <w:shd w:val="clear" w:color="auto" w:fill="FFFFFF"/>
        </w:rPr>
        <w:t>Wilkie</w:t>
      </w:r>
      <w:proofErr w:type="spellEnd"/>
      <w:r w:rsidRPr="007C7E8D">
        <w:rPr>
          <w:rStyle w:val="Title1"/>
          <w:rFonts w:ascii="Georgia Pro Cond" w:hAnsi="Georgia Pro Cond" w:cs="Times New Roman"/>
          <w:bCs/>
          <w:bdr w:val="none" w:sz="0" w:space="0" w:color="auto" w:frame="1"/>
          <w:shd w:val="clear" w:color="auto" w:fill="FFFFFF"/>
        </w:rPr>
        <w:t xml:space="preserve"> Collins, “The Unknown Public” (1858)</w:t>
      </w:r>
      <w:r w:rsidRPr="007C7E8D">
        <w:rPr>
          <w:rFonts w:ascii="Georgia Pro Cond" w:hAnsi="Georgia Pro Cond" w:cs="Times New Roman"/>
          <w:bCs/>
        </w:rPr>
        <w:t xml:space="preserve"> </w:t>
      </w:r>
      <w:r w:rsidRPr="007C7E8D">
        <w:rPr>
          <w:rStyle w:val="Title1"/>
          <w:rFonts w:ascii="Georgia Pro Cond" w:hAnsi="Georgia Pro Cond" w:cs="Times New Roman"/>
          <w:bCs/>
          <w:sz w:val="20"/>
          <w:bdr w:val="none" w:sz="0" w:space="0" w:color="auto" w:frame="1"/>
          <w:shd w:val="clear" w:color="auto" w:fill="FFFFFF"/>
        </w:rPr>
        <w:t>[reproduced below]</w:t>
      </w:r>
      <w:r w:rsidRPr="00DB6A85">
        <w:rPr>
          <w:rFonts w:ascii="Georgia Pro Cond" w:hAnsi="Georgia Pro Cond" w:cs="Times New Roman"/>
        </w:rPr>
        <w:br/>
      </w:r>
    </w:p>
    <w:p w14:paraId="608B01DD" w14:textId="77777777" w:rsidR="00DA34C8" w:rsidRPr="002E012B" w:rsidRDefault="00DA34C8" w:rsidP="00DA34C8">
      <w:pPr>
        <w:rPr>
          <w:rFonts w:ascii="Georgia Pro Cond" w:hAnsi="Georgia Pro Cond"/>
        </w:rPr>
      </w:pPr>
      <w:proofErr w:type="gramStart"/>
      <w:r w:rsidRPr="002E012B">
        <w:rPr>
          <w:rFonts w:ascii="Georgia Pro Cond" w:hAnsi="Georgia Pro Cond"/>
        </w:rPr>
        <w:t>1.</w:t>
      </w:r>
      <w:proofErr w:type="gramEnd"/>
      <w:r w:rsidRPr="002E012B">
        <w:rPr>
          <w:rFonts w:ascii="Georgia Pro Cond" w:hAnsi="Georgia Pro Cond"/>
        </w:rPr>
        <w:t>b)</w:t>
      </w:r>
      <w:r w:rsidRPr="002E012B">
        <w:rPr>
          <w:rFonts w:ascii="Georgia Pro Cond" w:hAnsi="Georgia Pro Cond"/>
          <w:b/>
        </w:rPr>
        <w:t xml:space="preserve"> Get a sense of reception by reading the chapter “Literary Rubbish” </w:t>
      </w:r>
      <w:r w:rsidRPr="002E012B">
        <w:rPr>
          <w:rFonts w:ascii="Georgia Pro Cond" w:hAnsi="Georgia Pro Cond"/>
        </w:rPr>
        <w:t>by</w:t>
      </w:r>
      <w:r w:rsidRPr="002E012B">
        <w:rPr>
          <w:rFonts w:ascii="Georgia Pro Cond" w:hAnsi="Georgia Pro Cond"/>
          <w:b/>
        </w:rPr>
        <w:t xml:space="preserve"> </w:t>
      </w:r>
      <w:r w:rsidRPr="002E012B">
        <w:rPr>
          <w:rFonts w:ascii="Georgia Pro Cond" w:hAnsi="Georgia Pro Cond" w:cs="Helvetica"/>
          <w:color w:val="333333"/>
          <w:spacing w:val="4"/>
          <w:shd w:val="clear" w:color="auto" w:fill="FCFCFC"/>
        </w:rPr>
        <w:t xml:space="preserve">Franz. J. Potter from </w:t>
      </w:r>
      <w:proofErr w:type="gramStart"/>
      <w:r w:rsidRPr="002E012B">
        <w:rPr>
          <w:rFonts w:ascii="Georgia Pro Cond" w:hAnsi="Georgia Pro Cond" w:cs="Helvetica"/>
          <w:i/>
          <w:color w:val="333333"/>
          <w:spacing w:val="4"/>
          <w:shd w:val="clear" w:color="auto" w:fill="FCFCFC"/>
        </w:rPr>
        <w:t>The</w:t>
      </w:r>
      <w:proofErr w:type="gramEnd"/>
      <w:r w:rsidRPr="002E012B">
        <w:rPr>
          <w:rFonts w:ascii="Georgia Pro Cond" w:hAnsi="Georgia Pro Cond" w:cs="Helvetica"/>
          <w:i/>
          <w:color w:val="333333"/>
          <w:spacing w:val="4"/>
          <w:shd w:val="clear" w:color="auto" w:fill="FCFCFC"/>
        </w:rPr>
        <w:t xml:space="preserve"> History of Gothic Publishing, 1800–1835</w:t>
      </w:r>
      <w:r w:rsidRPr="002E012B">
        <w:rPr>
          <w:rFonts w:ascii="Georgia Pro Cond" w:hAnsi="Georgia Pro Cond" w:cs="Helvetica"/>
          <w:color w:val="333333"/>
          <w:spacing w:val="4"/>
          <w:shd w:val="clear" w:color="auto" w:fill="FCFCFC"/>
        </w:rPr>
        <w:t xml:space="preserve">. London: Palgrave Macmillan, (2005). </w:t>
      </w:r>
      <w:r w:rsidRPr="002E012B">
        <w:rPr>
          <w:rFonts w:ascii="Georgia Pro Cond" w:hAnsi="Georgia Pro Cond" w:cs="Helvetica"/>
          <w:color w:val="333333"/>
          <w:spacing w:val="4"/>
          <w:shd w:val="clear" w:color="auto" w:fill="FCFCFC"/>
        </w:rPr>
        <w:br/>
      </w:r>
      <w:hyperlink r:id="rId6" w:history="1">
        <w:r w:rsidRPr="002E012B">
          <w:rPr>
            <w:rStyle w:val="Hyperlink"/>
            <w:rFonts w:ascii="Georgia Pro Cond" w:hAnsi="Georgia Pro Cond"/>
          </w:rPr>
          <w:t>https://link.springer.com/content/pdf/10.1057%2F9780230512726_1.pdf</w:t>
        </w:r>
      </w:hyperlink>
      <w:r w:rsidRPr="002E012B">
        <w:rPr>
          <w:rFonts w:ascii="Georgia Pro Cond" w:hAnsi="Georgia Pro Cond"/>
          <w:b/>
        </w:rPr>
        <w:t xml:space="preserve"> </w:t>
      </w:r>
    </w:p>
    <w:p w14:paraId="4FD368FB" w14:textId="77777777" w:rsidR="00DA34C8" w:rsidRPr="002E012B" w:rsidRDefault="00DA34C8" w:rsidP="00DA34C8">
      <w:pPr>
        <w:rPr>
          <w:rFonts w:ascii="Georgia Pro Cond" w:hAnsi="Georgia Pro Cond"/>
        </w:rPr>
      </w:pPr>
    </w:p>
    <w:p w14:paraId="7C6F3C06" w14:textId="77777777" w:rsidR="00DA34C8" w:rsidRPr="002E012B" w:rsidRDefault="00DA34C8" w:rsidP="00DA34C8">
      <w:pPr>
        <w:rPr>
          <w:rFonts w:ascii="Georgia Pro Cond" w:hAnsi="Georgia Pro Cond"/>
        </w:rPr>
      </w:pPr>
      <w:r w:rsidRPr="002E012B">
        <w:rPr>
          <w:rFonts w:ascii="Georgia Pro Cond" w:hAnsi="Georgia Pro Cond"/>
        </w:rPr>
        <w:t xml:space="preserve">2. Ensure to get some </w:t>
      </w:r>
      <w:r w:rsidRPr="002E012B">
        <w:rPr>
          <w:rFonts w:ascii="Georgia Pro Cond" w:hAnsi="Georgia Pro Cond"/>
          <w:b/>
        </w:rPr>
        <w:t>sense of context</w:t>
      </w:r>
      <w:r w:rsidRPr="002E012B">
        <w:rPr>
          <w:rFonts w:ascii="Georgia Pro Cond" w:hAnsi="Georgia Pro Cond"/>
        </w:rPr>
        <w:t xml:space="preserve"> and – in particular the origins of Gothic literature – </w:t>
      </w:r>
      <w:r>
        <w:rPr>
          <w:rFonts w:ascii="Georgia Pro Cond" w:hAnsi="Georgia Pro Cond"/>
        </w:rPr>
        <w:t xml:space="preserve">by reading and </w:t>
      </w:r>
      <w:r>
        <w:rPr>
          <w:rFonts w:ascii="Georgia Pro Cond" w:hAnsi="Georgia Pro Cond"/>
          <w:b/>
        </w:rPr>
        <w:t xml:space="preserve">making notes on </w:t>
      </w:r>
      <w:r w:rsidRPr="002E012B">
        <w:rPr>
          <w:rFonts w:ascii="Georgia Pro Cond" w:hAnsi="Georgia Pro Cond"/>
        </w:rPr>
        <w:t>the early chapters, introductions, and overview chapters on Gothic origins</w:t>
      </w:r>
      <w:r>
        <w:rPr>
          <w:rFonts w:ascii="Georgia Pro Cond" w:hAnsi="Georgia Pro Cond"/>
        </w:rPr>
        <w:t xml:space="preserve"> found</w:t>
      </w:r>
      <w:r w:rsidRPr="002E012B">
        <w:rPr>
          <w:rFonts w:ascii="Georgia Pro Cond" w:hAnsi="Georgia Pro Cond"/>
        </w:rPr>
        <w:t xml:space="preserve"> in Gothic companions</w:t>
      </w:r>
      <w:r>
        <w:rPr>
          <w:rFonts w:ascii="Georgia Pro Cond" w:hAnsi="Georgia Pro Cond"/>
        </w:rPr>
        <w:t xml:space="preserve"> such as**</w:t>
      </w:r>
      <w:r w:rsidRPr="002E012B">
        <w:rPr>
          <w:rFonts w:ascii="Georgia Pro Cond" w:hAnsi="Georgia Pro Cond"/>
        </w:rPr>
        <w:t>:</w:t>
      </w:r>
    </w:p>
    <w:p w14:paraId="525EA006" w14:textId="77777777" w:rsidR="00DA34C8" w:rsidRPr="002E012B" w:rsidRDefault="00DA34C8" w:rsidP="00DA34C8">
      <w:pPr>
        <w:pStyle w:val="ListParagraph"/>
        <w:numPr>
          <w:ilvl w:val="0"/>
          <w:numId w:val="1"/>
        </w:numPr>
        <w:rPr>
          <w:rFonts w:ascii="Georgia Pro Cond" w:hAnsi="Georgia Pro Cond"/>
        </w:rPr>
      </w:pPr>
      <w:r w:rsidRPr="002E012B">
        <w:rPr>
          <w:rFonts w:ascii="Georgia Pro Cond" w:hAnsi="Georgia Pro Cond"/>
          <w:i/>
        </w:rPr>
        <w:t>The Cambridge companion to gothic fiction </w:t>
      </w:r>
      <w:r w:rsidRPr="002E012B">
        <w:rPr>
          <w:rFonts w:ascii="Georgia Pro Cond" w:hAnsi="Georgia Pro Cond"/>
        </w:rPr>
        <w:t xml:space="preserve">/ ed. by Jerrold E. </w:t>
      </w:r>
      <w:proofErr w:type="spellStart"/>
      <w:r w:rsidRPr="002E012B">
        <w:rPr>
          <w:rFonts w:ascii="Georgia Pro Cond" w:hAnsi="Georgia Pro Cond"/>
        </w:rPr>
        <w:t>Hogle</w:t>
      </w:r>
      <w:proofErr w:type="spellEnd"/>
      <w:r w:rsidRPr="002E012B">
        <w:rPr>
          <w:rFonts w:ascii="Georgia Pro Cond" w:hAnsi="Georgia Pro Cond"/>
        </w:rPr>
        <w:t xml:space="preserve"> (2002)</w:t>
      </w:r>
    </w:p>
    <w:p w14:paraId="132DEB1C" w14:textId="77777777" w:rsidR="00DA34C8" w:rsidRPr="002E012B" w:rsidRDefault="00DA34C8" w:rsidP="00DA34C8">
      <w:pPr>
        <w:pStyle w:val="ListParagraph"/>
        <w:numPr>
          <w:ilvl w:val="0"/>
          <w:numId w:val="1"/>
        </w:numPr>
        <w:rPr>
          <w:rFonts w:ascii="Georgia Pro Cond" w:hAnsi="Georgia Pro Cond"/>
        </w:rPr>
      </w:pPr>
      <w:r w:rsidRPr="002E012B">
        <w:rPr>
          <w:rFonts w:ascii="Georgia Pro Cond" w:hAnsi="Georgia Pro Cond"/>
          <w:i/>
        </w:rPr>
        <w:t>A New Companion to the Gothic</w:t>
      </w:r>
      <w:r w:rsidRPr="002E012B">
        <w:rPr>
          <w:rFonts w:ascii="Georgia Pro Cond" w:hAnsi="Georgia Pro Cond"/>
        </w:rPr>
        <w:t> / ed.by David Punter (2012) [electronic resource]</w:t>
      </w:r>
    </w:p>
    <w:p w14:paraId="63A15E59" w14:textId="77777777" w:rsidR="00DA34C8" w:rsidRPr="002E012B" w:rsidRDefault="00DA34C8" w:rsidP="00DA34C8">
      <w:pPr>
        <w:pStyle w:val="ListParagraph"/>
        <w:numPr>
          <w:ilvl w:val="0"/>
          <w:numId w:val="1"/>
        </w:numPr>
        <w:rPr>
          <w:rFonts w:ascii="Georgia Pro Cond" w:hAnsi="Georgia Pro Cond"/>
        </w:rPr>
      </w:pPr>
      <w:r w:rsidRPr="002E012B">
        <w:rPr>
          <w:rFonts w:ascii="Georgia Pro Cond" w:hAnsi="Georgia Pro Cond"/>
          <w:bCs/>
          <w:i/>
          <w:color w:val="000000"/>
          <w:shd w:val="clear" w:color="auto" w:fill="FFFFFF"/>
        </w:rPr>
        <w:t>Romantic</w:t>
      </w:r>
      <w:r w:rsidRPr="002E012B">
        <w:rPr>
          <w:rFonts w:ascii="Georgia Pro Cond" w:hAnsi="Georgia Pro Cond"/>
          <w:b/>
          <w:bCs/>
          <w:i/>
          <w:color w:val="000000"/>
          <w:shd w:val="clear" w:color="auto" w:fill="FFFFFF"/>
        </w:rPr>
        <w:t> </w:t>
      </w:r>
      <w:r w:rsidRPr="002E012B">
        <w:rPr>
          <w:rFonts w:ascii="Georgia Pro Cond" w:hAnsi="Georgia Pro Cond"/>
          <w:i/>
        </w:rPr>
        <w:t>gothic: an Edinburgh companion</w:t>
      </w:r>
      <w:r w:rsidRPr="002E012B">
        <w:rPr>
          <w:rFonts w:ascii="Georgia Pro Cond" w:hAnsi="Georgia Pro Cond"/>
        </w:rPr>
        <w:t> / ed. Angela Wright and Dale Townshend (2016) [electronic resource] </w:t>
      </w:r>
    </w:p>
    <w:p w14:paraId="40AD599E" w14:textId="77777777" w:rsidR="00DA34C8" w:rsidRDefault="00DA34C8" w:rsidP="00DA34C8">
      <w:pPr>
        <w:pStyle w:val="ListParagraph"/>
        <w:numPr>
          <w:ilvl w:val="0"/>
          <w:numId w:val="1"/>
        </w:numPr>
        <w:rPr>
          <w:rFonts w:ascii="Georgia Pro Cond" w:hAnsi="Georgia Pro Cond"/>
        </w:rPr>
      </w:pPr>
      <w:r w:rsidRPr="002E012B">
        <w:rPr>
          <w:rFonts w:ascii="Georgia Pro Cond" w:hAnsi="Georgia Pro Cond"/>
        </w:rPr>
        <w:t xml:space="preserve">See also texts such as </w:t>
      </w:r>
      <w:r w:rsidRPr="002E012B">
        <w:rPr>
          <w:rFonts w:ascii="Georgia Pro Cond" w:hAnsi="Georgia Pro Cond"/>
          <w:i/>
        </w:rPr>
        <w:t>The Gothic: A Very Short Introduction</w:t>
      </w:r>
      <w:r w:rsidRPr="002E012B">
        <w:rPr>
          <w:rFonts w:ascii="Georgia Pro Cond" w:hAnsi="Georgia Pro Cond"/>
        </w:rPr>
        <w:t xml:space="preserve"> by Nick Groom, [electronic resource] </w:t>
      </w:r>
    </w:p>
    <w:p w14:paraId="5553E1B5" w14:textId="77777777" w:rsidR="00DA34C8" w:rsidRPr="0099580A" w:rsidRDefault="00DA34C8" w:rsidP="00DA34C8">
      <w:pPr>
        <w:rPr>
          <w:rFonts w:ascii="Georgia Pro Cond" w:hAnsi="Georgia Pro Cond"/>
          <w:i/>
          <w:color w:val="FF0000"/>
        </w:rPr>
      </w:pPr>
      <w:r w:rsidRPr="0099580A">
        <w:rPr>
          <w:rFonts w:ascii="Georgia Pro Cond" w:hAnsi="Georgia Pro Cond"/>
          <w:i/>
          <w:color w:val="FF0000"/>
        </w:rPr>
        <w:t xml:space="preserve">**Note I </w:t>
      </w:r>
      <w:proofErr w:type="gramStart"/>
      <w:r w:rsidRPr="0099580A">
        <w:rPr>
          <w:rFonts w:ascii="Georgia Pro Cond" w:hAnsi="Georgia Pro Cond"/>
          <w:i/>
          <w:color w:val="FF0000"/>
        </w:rPr>
        <w:t>don’t</w:t>
      </w:r>
      <w:proofErr w:type="gramEnd"/>
      <w:r w:rsidRPr="0099580A">
        <w:rPr>
          <w:rFonts w:ascii="Georgia Pro Cond" w:hAnsi="Georgia Pro Cond"/>
          <w:i/>
          <w:color w:val="FF0000"/>
        </w:rPr>
        <w:t xml:space="preserve"> expect you to read all of these, nor limit yourself to these suggestions. </w:t>
      </w:r>
      <w:proofErr w:type="gramStart"/>
      <w:r w:rsidRPr="0099580A">
        <w:rPr>
          <w:rFonts w:ascii="Georgia Pro Cond" w:hAnsi="Georgia Pro Cond"/>
          <w:i/>
          <w:color w:val="FF0000"/>
        </w:rPr>
        <w:t>But</w:t>
      </w:r>
      <w:proofErr w:type="gramEnd"/>
      <w:r w:rsidRPr="0099580A">
        <w:rPr>
          <w:rFonts w:ascii="Georgia Pro Cond" w:hAnsi="Georgia Pro Cond"/>
          <w:i/>
          <w:color w:val="FF0000"/>
        </w:rPr>
        <w:t xml:space="preserve"> just one chapter would not be enough</w:t>
      </w:r>
      <w:r>
        <w:rPr>
          <w:rFonts w:ascii="Georgia Pro Cond" w:hAnsi="Georgia Pro Cond"/>
          <w:i/>
          <w:color w:val="FF0000"/>
        </w:rPr>
        <w:t>!</w:t>
      </w:r>
    </w:p>
    <w:p w14:paraId="0E06B865" w14:textId="77777777" w:rsidR="00DA34C8" w:rsidRPr="002E012B" w:rsidRDefault="00DA34C8" w:rsidP="00DA34C8">
      <w:pPr>
        <w:rPr>
          <w:rFonts w:ascii="Georgia Pro Cond" w:hAnsi="Georgia Pro Cond"/>
        </w:rPr>
      </w:pPr>
      <w:r w:rsidRPr="002E012B">
        <w:rPr>
          <w:rFonts w:ascii="Georgia Pro Cond" w:hAnsi="Georgia Pro Cond"/>
        </w:rPr>
        <w:t xml:space="preserve">3. Ensure to get some </w:t>
      </w:r>
      <w:r w:rsidRPr="002E012B">
        <w:rPr>
          <w:rFonts w:ascii="Georgia Pro Cond" w:hAnsi="Georgia Pro Cond"/>
          <w:b/>
        </w:rPr>
        <w:t xml:space="preserve">sense of the key tropes and themes </w:t>
      </w:r>
      <w:r w:rsidRPr="002E012B">
        <w:rPr>
          <w:rFonts w:ascii="Georgia Pro Cond" w:hAnsi="Georgia Pro Cond"/>
        </w:rPr>
        <w:t>and of the</w:t>
      </w:r>
      <w:r w:rsidRPr="002E012B">
        <w:rPr>
          <w:rFonts w:ascii="Georgia Pro Cond" w:hAnsi="Georgia Pro Cond"/>
          <w:b/>
        </w:rPr>
        <w:t xml:space="preserve"> critical concepts at play</w:t>
      </w:r>
      <w:r w:rsidRPr="002E012B">
        <w:rPr>
          <w:rFonts w:ascii="Georgia Pro Cond" w:hAnsi="Georgia Pro Cond"/>
        </w:rPr>
        <w:t xml:space="preserve"> in Gothic Studies. </w:t>
      </w:r>
      <w:r>
        <w:rPr>
          <w:rFonts w:ascii="Georgia Pro Cond" w:hAnsi="Georgia Pro Cond"/>
        </w:rPr>
        <w:t xml:space="preserve">Keep track of who says what, in which text, arguments for and </w:t>
      </w:r>
      <w:proofErr w:type="gramStart"/>
      <w:r>
        <w:rPr>
          <w:rFonts w:ascii="Georgia Pro Cond" w:hAnsi="Georgia Pro Cond"/>
        </w:rPr>
        <w:t>against</w:t>
      </w:r>
      <w:proofErr w:type="gramEnd"/>
      <w:r>
        <w:rPr>
          <w:rFonts w:ascii="Georgia Pro Cond" w:hAnsi="Georgia Pro Cond"/>
        </w:rPr>
        <w:t xml:space="preserve">. </w:t>
      </w:r>
      <w:r w:rsidRPr="002E012B">
        <w:rPr>
          <w:rFonts w:ascii="Georgia Pro Cond" w:hAnsi="Georgia Pro Cond"/>
        </w:rPr>
        <w:t>The following are suggested texts, but you should read beyond these:</w:t>
      </w:r>
    </w:p>
    <w:p w14:paraId="32DCB3CA" w14:textId="77777777" w:rsidR="00DA34C8" w:rsidRPr="002E012B" w:rsidRDefault="00DA34C8" w:rsidP="00DA34C8">
      <w:pPr>
        <w:pStyle w:val="ListParagraph"/>
        <w:numPr>
          <w:ilvl w:val="0"/>
          <w:numId w:val="2"/>
        </w:numPr>
        <w:rPr>
          <w:rFonts w:ascii="Georgia Pro Cond" w:hAnsi="Georgia Pro Cond"/>
        </w:rPr>
      </w:pPr>
      <w:r w:rsidRPr="002E012B">
        <w:rPr>
          <w:rFonts w:ascii="Georgia Pro Cond" w:hAnsi="Georgia Pro Cond"/>
          <w:i/>
        </w:rPr>
        <w:t xml:space="preserve">Key Concepts in the Gothic </w:t>
      </w:r>
      <w:r w:rsidRPr="002E012B">
        <w:rPr>
          <w:rFonts w:ascii="Georgia Pro Cond" w:hAnsi="Georgia Pro Cond"/>
        </w:rPr>
        <w:t>by William Hughes (2018) [electronic resource]</w:t>
      </w:r>
    </w:p>
    <w:p w14:paraId="57EA0F98" w14:textId="77777777" w:rsidR="00DA34C8" w:rsidRPr="002E012B" w:rsidRDefault="00DA34C8" w:rsidP="00DA34C8">
      <w:pPr>
        <w:pStyle w:val="ListParagraph"/>
        <w:numPr>
          <w:ilvl w:val="0"/>
          <w:numId w:val="2"/>
        </w:numPr>
        <w:rPr>
          <w:rFonts w:ascii="Georgia Pro Cond" w:hAnsi="Georgia Pro Cond"/>
        </w:rPr>
      </w:pPr>
      <w:r w:rsidRPr="002E012B">
        <w:rPr>
          <w:rFonts w:ascii="Georgia Pro Cond" w:hAnsi="Georgia Pro Cond"/>
          <w:bCs/>
          <w:i/>
          <w:shd w:val="clear" w:color="auto" w:fill="FFFFFF"/>
        </w:rPr>
        <w:t>Gothic</w:t>
      </w:r>
      <w:r w:rsidRPr="002E012B">
        <w:rPr>
          <w:rFonts w:ascii="Georgia Pro Cond" w:hAnsi="Georgia Pro Cond"/>
          <w:bCs/>
          <w:shd w:val="clear" w:color="auto" w:fill="FFFFFF"/>
        </w:rPr>
        <w:t> </w:t>
      </w:r>
      <w:r w:rsidRPr="002E012B">
        <w:rPr>
          <w:rFonts w:ascii="Georgia Pro Cond" w:hAnsi="Georgia Pro Cond"/>
          <w:bCs/>
          <w:i/>
          <w:shd w:val="clear" w:color="auto" w:fill="FFFFFF"/>
        </w:rPr>
        <w:t>literature</w:t>
      </w:r>
      <w:r w:rsidRPr="002E012B">
        <w:rPr>
          <w:rFonts w:ascii="Georgia Pro Cond" w:hAnsi="Georgia Pro Cond"/>
          <w:bCs/>
          <w:shd w:val="clear" w:color="auto" w:fill="FFFFFF"/>
        </w:rPr>
        <w:t xml:space="preserve"> (2014) </w:t>
      </w:r>
      <w:r w:rsidRPr="002E012B">
        <w:rPr>
          <w:rStyle w:val="additionalfields"/>
          <w:rFonts w:ascii="Georgia Pro Cond" w:hAnsi="Georgia Pro Cond"/>
          <w:bCs/>
          <w:bdr w:val="none" w:sz="0" w:space="0" w:color="auto" w:frame="1"/>
          <w:shd w:val="clear" w:color="auto" w:fill="FFFFFF"/>
        </w:rPr>
        <w:t>/ Andrew Smith</w:t>
      </w:r>
      <w:r w:rsidRPr="002E012B">
        <w:rPr>
          <w:rFonts w:ascii="Georgia Pro Cond" w:hAnsi="Georgia Pro Cond"/>
          <w:bCs/>
          <w:shd w:val="clear" w:color="auto" w:fill="FFFFFF"/>
        </w:rPr>
        <w:t xml:space="preserve"> [print and electronic resource] </w:t>
      </w:r>
    </w:p>
    <w:p w14:paraId="4965116F" w14:textId="77777777" w:rsidR="00DA34C8" w:rsidRPr="002E012B" w:rsidRDefault="00DA34C8" w:rsidP="00DA34C8">
      <w:pPr>
        <w:pStyle w:val="ListParagraph"/>
        <w:numPr>
          <w:ilvl w:val="0"/>
          <w:numId w:val="2"/>
        </w:numPr>
        <w:shd w:val="clear" w:color="auto" w:fill="FFFFFF"/>
        <w:textAlignment w:val="baseline"/>
        <w:rPr>
          <w:rFonts w:ascii="Georgia Pro Cond" w:hAnsi="Georgia Pro Cond" w:cs="Arial"/>
        </w:rPr>
      </w:pPr>
      <w:r w:rsidRPr="002E012B">
        <w:rPr>
          <w:rFonts w:ascii="Georgia Pro Cond" w:hAnsi="Georgia Pro Cond"/>
          <w:bCs/>
          <w:i/>
        </w:rPr>
        <w:t xml:space="preserve">Gothic </w:t>
      </w:r>
      <w:r w:rsidRPr="002E012B">
        <w:rPr>
          <w:rStyle w:val="additionalfields"/>
          <w:rFonts w:ascii="Georgia Pro Cond" w:hAnsi="Georgia Pro Cond"/>
          <w:bCs/>
          <w:bdr w:val="none" w:sz="0" w:space="0" w:color="auto" w:frame="1"/>
        </w:rPr>
        <w:t>/ Fred Botting (2014)</w:t>
      </w:r>
      <w:r w:rsidRPr="002E012B">
        <w:rPr>
          <w:rFonts w:ascii="Georgia Pro Cond" w:hAnsi="Georgia Pro Cond"/>
          <w:bCs/>
        </w:rPr>
        <w:t xml:space="preserve"> [electronic resource] </w:t>
      </w:r>
    </w:p>
    <w:p w14:paraId="455AB9A6" w14:textId="77777777" w:rsidR="00DA34C8" w:rsidRPr="002E012B" w:rsidRDefault="00DA34C8" w:rsidP="00DA34C8">
      <w:pPr>
        <w:pStyle w:val="ListParagraph"/>
        <w:numPr>
          <w:ilvl w:val="0"/>
          <w:numId w:val="2"/>
        </w:numPr>
        <w:rPr>
          <w:rFonts w:ascii="Georgia Pro Cond" w:hAnsi="Georgia Pro Cond"/>
        </w:rPr>
      </w:pPr>
      <w:r w:rsidRPr="002E012B">
        <w:rPr>
          <w:rFonts w:ascii="Georgia Pro Cond" w:hAnsi="Georgia Pro Cond"/>
          <w:i/>
        </w:rPr>
        <w:t>Gothic: critical concepts in literary and cultural studies </w:t>
      </w:r>
      <w:r w:rsidRPr="002E012B">
        <w:rPr>
          <w:rFonts w:ascii="Georgia Pro Cond" w:hAnsi="Georgia Pro Cond"/>
        </w:rPr>
        <w:t>/ edited by Fred Botting and Dale Townshend [only print version available but there are 4 copies] (2004)</w:t>
      </w:r>
    </w:p>
    <w:p w14:paraId="4490E57A" w14:textId="77777777" w:rsidR="00DA34C8" w:rsidRPr="002E012B" w:rsidRDefault="00DA34C8" w:rsidP="00DA34C8">
      <w:pPr>
        <w:pStyle w:val="ListParagraph"/>
        <w:numPr>
          <w:ilvl w:val="0"/>
          <w:numId w:val="2"/>
        </w:numPr>
        <w:rPr>
          <w:rFonts w:ascii="Georgia Pro Cond" w:hAnsi="Georgia Pro Cond"/>
        </w:rPr>
      </w:pPr>
      <w:r w:rsidRPr="002E012B">
        <w:rPr>
          <w:rFonts w:ascii="Georgia Pro Cond" w:hAnsi="Georgia Pro Cond"/>
          <w:i/>
        </w:rPr>
        <w:t>Gothic literature: a Gale critical companion /</w:t>
      </w:r>
      <w:r w:rsidRPr="002E012B">
        <w:rPr>
          <w:rFonts w:ascii="Georgia Pro Cond" w:hAnsi="Georgia Pro Cond"/>
        </w:rPr>
        <w:t xml:space="preserve"> foreword by Jerrold E. </w:t>
      </w:r>
      <w:proofErr w:type="spellStart"/>
      <w:r w:rsidRPr="002E012B">
        <w:rPr>
          <w:rFonts w:ascii="Georgia Pro Cond" w:hAnsi="Georgia Pro Cond"/>
        </w:rPr>
        <w:t>Hogle</w:t>
      </w:r>
      <w:proofErr w:type="spellEnd"/>
      <w:r w:rsidRPr="002E012B">
        <w:rPr>
          <w:rFonts w:ascii="Georgia Pro Cond" w:hAnsi="Georgia Pro Cond"/>
        </w:rPr>
        <w:t xml:space="preserve">; Jessica </w:t>
      </w:r>
      <w:proofErr w:type="spellStart"/>
      <w:r w:rsidRPr="002E012B">
        <w:rPr>
          <w:rFonts w:ascii="Georgia Pro Cond" w:hAnsi="Georgia Pro Cond"/>
        </w:rPr>
        <w:t>Bomarito</w:t>
      </w:r>
      <w:proofErr w:type="spellEnd"/>
      <w:r w:rsidRPr="002E012B">
        <w:rPr>
          <w:rFonts w:ascii="Georgia Pro Cond" w:hAnsi="Georgia Pro Cond"/>
        </w:rPr>
        <w:t xml:space="preserve"> (2006) [electronic resource]</w:t>
      </w:r>
    </w:p>
    <w:p w14:paraId="05C060CD" w14:textId="77777777" w:rsidR="00DA34C8" w:rsidRPr="0099580A" w:rsidRDefault="00DA34C8" w:rsidP="00DA34C8">
      <w:pPr>
        <w:rPr>
          <w:rFonts w:ascii="Georgia Pro Cond" w:hAnsi="Georgia Pro Cond"/>
          <w:i/>
          <w:color w:val="FF0000"/>
        </w:rPr>
      </w:pPr>
      <w:r w:rsidRPr="0099580A">
        <w:rPr>
          <w:rFonts w:ascii="Georgia Pro Cond" w:hAnsi="Georgia Pro Cond"/>
          <w:i/>
          <w:color w:val="FF0000"/>
        </w:rPr>
        <w:t>**Note</w:t>
      </w:r>
      <w:r>
        <w:rPr>
          <w:rFonts w:ascii="Georgia Pro Cond" w:hAnsi="Georgia Pro Cond"/>
          <w:i/>
          <w:color w:val="FF0000"/>
        </w:rPr>
        <w:t>, again,</w:t>
      </w:r>
      <w:r w:rsidRPr="0099580A">
        <w:rPr>
          <w:rFonts w:ascii="Georgia Pro Cond" w:hAnsi="Georgia Pro Cond"/>
          <w:i/>
          <w:color w:val="FF0000"/>
        </w:rPr>
        <w:t xml:space="preserve"> I </w:t>
      </w:r>
      <w:proofErr w:type="gramStart"/>
      <w:r w:rsidRPr="0099580A">
        <w:rPr>
          <w:rFonts w:ascii="Georgia Pro Cond" w:hAnsi="Georgia Pro Cond"/>
          <w:i/>
          <w:color w:val="FF0000"/>
        </w:rPr>
        <w:t>don’t</w:t>
      </w:r>
      <w:proofErr w:type="gramEnd"/>
      <w:r w:rsidRPr="0099580A">
        <w:rPr>
          <w:rFonts w:ascii="Georgia Pro Cond" w:hAnsi="Georgia Pro Cond"/>
          <w:i/>
          <w:color w:val="FF0000"/>
        </w:rPr>
        <w:t xml:space="preserve"> expect you to read all of these, nor limit yourself to these suggestions. </w:t>
      </w:r>
      <w:proofErr w:type="gramStart"/>
      <w:r w:rsidRPr="0099580A">
        <w:rPr>
          <w:rFonts w:ascii="Georgia Pro Cond" w:hAnsi="Georgia Pro Cond"/>
          <w:i/>
          <w:color w:val="FF0000"/>
        </w:rPr>
        <w:t>But</w:t>
      </w:r>
      <w:proofErr w:type="gramEnd"/>
      <w:r w:rsidRPr="0099580A">
        <w:rPr>
          <w:rFonts w:ascii="Georgia Pro Cond" w:hAnsi="Georgia Pro Cond"/>
          <w:i/>
          <w:color w:val="FF0000"/>
        </w:rPr>
        <w:t xml:space="preserve"> just one chapter would not be enough</w:t>
      </w:r>
      <w:r>
        <w:rPr>
          <w:rFonts w:ascii="Georgia Pro Cond" w:hAnsi="Georgia Pro Cond"/>
          <w:i/>
          <w:color w:val="FF0000"/>
        </w:rPr>
        <w:t>!</w:t>
      </w:r>
    </w:p>
    <w:p w14:paraId="404E4608" w14:textId="77777777" w:rsidR="00DA34C8" w:rsidRPr="002E012B" w:rsidRDefault="00DA34C8" w:rsidP="00DA34C8">
      <w:pPr>
        <w:rPr>
          <w:rFonts w:ascii="Georgia Pro Cond" w:hAnsi="Georgia Pro Cond"/>
        </w:rPr>
      </w:pPr>
      <w:r w:rsidRPr="002E012B">
        <w:rPr>
          <w:rFonts w:ascii="Georgia Pro Cond" w:hAnsi="Georgia Pro Cond"/>
        </w:rPr>
        <w:t xml:space="preserve">4. Using overviews and introductory </w:t>
      </w:r>
      <w:proofErr w:type="gramStart"/>
      <w:r w:rsidRPr="002E012B">
        <w:rPr>
          <w:rFonts w:ascii="Georgia Pro Cond" w:hAnsi="Georgia Pro Cond"/>
        </w:rPr>
        <w:t>chapters,</w:t>
      </w:r>
      <w:proofErr w:type="gramEnd"/>
      <w:r w:rsidRPr="002E012B">
        <w:rPr>
          <w:rFonts w:ascii="Georgia Pro Cond" w:hAnsi="Georgia Pro Cond"/>
        </w:rPr>
        <w:t xml:space="preserve"> start to have a read of how different critics characterise </w:t>
      </w:r>
      <w:r w:rsidRPr="002E012B">
        <w:rPr>
          <w:rFonts w:ascii="Georgia Pro Cond" w:hAnsi="Georgia Pro Cond"/>
          <w:b/>
        </w:rPr>
        <w:t>early-nineteenth and Victorian Gothic</w:t>
      </w:r>
      <w:r w:rsidRPr="002E012B">
        <w:rPr>
          <w:rFonts w:ascii="Georgia Pro Cond" w:hAnsi="Georgia Pro Cond"/>
        </w:rPr>
        <w:t xml:space="preserve"> (but this is something we will be building on in more detail across the course, so concentrate on the previous three tasks if short of time).</w:t>
      </w:r>
    </w:p>
    <w:p w14:paraId="15E1652B" w14:textId="77777777" w:rsidR="00DA34C8" w:rsidRDefault="00DA34C8" w:rsidP="00DA34C8">
      <w:pPr>
        <w:rPr>
          <w:rFonts w:ascii="Georgia Pro Cond" w:hAnsi="Georgia Pro Cond"/>
          <w:sz w:val="24"/>
        </w:rPr>
      </w:pPr>
    </w:p>
    <w:p w14:paraId="02F2E84F" w14:textId="77777777" w:rsidR="00DA34C8" w:rsidRDefault="00DA34C8" w:rsidP="00DA34C8">
      <w:pPr>
        <w:rPr>
          <w:rFonts w:ascii="Georgia Pro Cond" w:hAnsi="Georgia Pro Cond"/>
          <w:sz w:val="24"/>
        </w:rPr>
      </w:pPr>
    </w:p>
    <w:p w14:paraId="3BC6CF54" w14:textId="77777777" w:rsidR="00DA34C8" w:rsidRDefault="00DA34C8" w:rsidP="00DA34C8">
      <w:pPr>
        <w:pStyle w:val="Header"/>
        <w:rPr>
          <w:rFonts w:ascii="Georgia Pro Cond" w:hAnsi="Georgia Pro Cond"/>
          <w:sz w:val="24"/>
        </w:rPr>
      </w:pPr>
    </w:p>
    <w:p w14:paraId="550C9EEF" w14:textId="77777777" w:rsidR="00DA34C8" w:rsidRDefault="00DA34C8" w:rsidP="00DA34C8">
      <w:pPr>
        <w:pStyle w:val="Header"/>
        <w:rPr>
          <w:rFonts w:ascii="Georgia Pro Cond" w:hAnsi="Georgia Pro Cond"/>
          <w:sz w:val="24"/>
        </w:rPr>
      </w:pPr>
      <w:r w:rsidRPr="009D71C6">
        <w:rPr>
          <w:rFonts w:ascii="Arial" w:hAnsi="Arial" w:cs="Arial"/>
          <w:i/>
          <w:color w:val="333333"/>
          <w:sz w:val="18"/>
          <w:szCs w:val="18"/>
        </w:rPr>
        <w:t>Spirit of the Public Journals for 1797</w:t>
      </w:r>
      <w:r>
        <w:rPr>
          <w:rFonts w:ascii="Arial" w:hAnsi="Arial" w:cs="Arial"/>
          <w:color w:val="333333"/>
          <w:sz w:val="18"/>
          <w:szCs w:val="18"/>
        </w:rPr>
        <w:t xml:space="preserve">, London: </w:t>
      </w:r>
      <w:proofErr w:type="spellStart"/>
      <w:r>
        <w:rPr>
          <w:rFonts w:ascii="Arial" w:hAnsi="Arial" w:cs="Arial"/>
          <w:color w:val="333333"/>
          <w:sz w:val="18"/>
          <w:szCs w:val="18"/>
        </w:rPr>
        <w:t>R.Phillips</w:t>
      </w:r>
      <w:proofErr w:type="spellEnd"/>
      <w:r>
        <w:rPr>
          <w:rFonts w:ascii="Arial" w:hAnsi="Arial" w:cs="Arial"/>
          <w:color w:val="333333"/>
          <w:sz w:val="18"/>
          <w:szCs w:val="18"/>
        </w:rPr>
        <w:t xml:space="preserve">, 1798. </w:t>
      </w:r>
      <w:proofErr w:type="gramStart"/>
      <w:r>
        <w:rPr>
          <w:rFonts w:ascii="Arial" w:hAnsi="Arial" w:cs="Arial"/>
          <w:color w:val="333333"/>
          <w:sz w:val="18"/>
          <w:szCs w:val="18"/>
        </w:rPr>
        <w:t>pp.223-5</w:t>
      </w:r>
      <w:proofErr w:type="gramEnd"/>
      <w:r>
        <w:rPr>
          <w:rFonts w:ascii="Arial" w:hAnsi="Arial" w:cs="Arial"/>
          <w:color w:val="333333"/>
          <w:sz w:val="18"/>
          <w:szCs w:val="18"/>
        </w:rPr>
        <w:t>. © British Library Newspapers</w:t>
      </w:r>
    </w:p>
    <w:p w14:paraId="603A2A5D" w14:textId="77777777" w:rsidR="00DA34C8" w:rsidRDefault="00DA34C8" w:rsidP="00DA34C8">
      <w:r>
        <w:rPr>
          <w:noProof/>
          <w:lang w:eastAsia="en-GB"/>
        </w:rPr>
        <w:drawing>
          <wp:inline distT="0" distB="0" distL="0" distR="0" wp14:anchorId="4AD8B1FA" wp14:editId="763093FE">
            <wp:extent cx="6241679" cy="5589414"/>
            <wp:effectExtent l="2223" t="0" r="9207" b="9208"/>
            <wp:docPr id="3" name="Picture 3" descr="C:\Users\Dr Jen Baker\AppData\Local\Microsoft\Windows\INetCache\Content.MSO\7C5BA89.t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Dr Jen Baker\AppData\Local\Microsoft\Windows\INetCache\Content.MSO\7C5BA89.tmp"/>
                    <pic:cNvPicPr>
                      <a:picLocks noChangeAspect="1" noChangeArrowheads="1"/>
                    </pic:cNvPicPr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9369" t="9336" r="20086" b="9409"/>
                    <a:stretch/>
                  </pic:blipFill>
                  <pic:spPr bwMode="auto">
                    <a:xfrm rot="16200000">
                      <a:off x="0" y="0"/>
                      <a:ext cx="6250202" cy="55970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noProof/>
          <w:lang w:eastAsia="en-GB"/>
        </w:rPr>
        <w:drawing>
          <wp:inline distT="0" distB="0" distL="0" distR="0" wp14:anchorId="40AA5EC0" wp14:editId="6301BFBE">
            <wp:extent cx="2932981" cy="5563726"/>
            <wp:effectExtent l="0" t="953" r="318" b="317"/>
            <wp:docPr id="2" name="Picture 2" descr="C:\Users\Dr Jen Baker\AppData\Local\Microsoft\Windows\INetCache\Content.MSO\BEA5DA83.t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Dr Jen Baker\AppData\Local\Microsoft\Windows\INetCache\Content.MSO\BEA5DA83.tmp"/>
                    <pic:cNvPicPr>
                      <a:picLocks noChangeAspect="1" noChangeArrowheads="1"/>
                    </pic:cNvPicPr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0579" t="1070" r="27418" b="-14"/>
                    <a:stretch/>
                  </pic:blipFill>
                  <pic:spPr bwMode="auto">
                    <a:xfrm rot="16200000">
                      <a:off x="0" y="0"/>
                      <a:ext cx="2938017" cy="55732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2780F12" w14:textId="77777777" w:rsidR="00DA34C8" w:rsidRDefault="00DA34C8" w:rsidP="00DA34C8">
      <w:pPr>
        <w:rPr>
          <w:rFonts w:ascii="Georgia Pro Cond" w:hAnsi="Georgia Pro Cond"/>
          <w:sz w:val="24"/>
        </w:rPr>
      </w:pPr>
    </w:p>
    <w:p w14:paraId="42E704D9" w14:textId="77777777" w:rsidR="00DA34C8" w:rsidRDefault="00DA34C8" w:rsidP="00DA34C8">
      <w:pPr>
        <w:rPr>
          <w:rFonts w:ascii="Georgia Pro Cond" w:hAnsi="Georgia Pro Cond"/>
          <w:sz w:val="24"/>
        </w:rPr>
      </w:pPr>
      <w:r w:rsidRPr="0076788F">
        <w:rPr>
          <w:rFonts w:ascii="Arial" w:hAnsi="Arial" w:cs="Arial"/>
          <w:i/>
          <w:sz w:val="16"/>
          <w:szCs w:val="16"/>
        </w:rPr>
        <w:t xml:space="preserve">La Belle assemble: or Court and fashionable magazine; </w:t>
      </w:r>
      <w:r>
        <w:rPr>
          <w:rFonts w:ascii="Arial" w:hAnsi="Arial" w:cs="Arial"/>
          <w:sz w:val="16"/>
          <w:szCs w:val="16"/>
        </w:rPr>
        <w:t>May 1817; British Periodicals pg. 219-220</w:t>
      </w:r>
    </w:p>
    <w:p w14:paraId="33B1D478" w14:textId="77777777" w:rsidR="00DA34C8" w:rsidRDefault="00DA34C8" w:rsidP="00DA34C8">
      <w:pPr>
        <w:rPr>
          <w:rFonts w:ascii="Georgia Pro Cond" w:hAnsi="Georgia Pro Cond"/>
          <w:sz w:val="24"/>
        </w:rPr>
      </w:pPr>
      <w:r w:rsidRPr="00F72FC5">
        <w:rPr>
          <w:rFonts w:ascii="Georgia Pro Cond" w:hAnsi="Georgia Pro Cond"/>
          <w:noProof/>
          <w:sz w:val="24"/>
          <w:lang w:eastAsia="en-GB"/>
        </w:rPr>
        <w:drawing>
          <wp:inline distT="0" distB="0" distL="0" distR="0" wp14:anchorId="5525CD9D" wp14:editId="264DE7F6">
            <wp:extent cx="4718649" cy="2065997"/>
            <wp:effectExtent l="0" t="0" r="635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71756" r="622" b="5738"/>
                    <a:stretch/>
                  </pic:blipFill>
                  <pic:spPr bwMode="auto">
                    <a:xfrm>
                      <a:off x="0" y="0"/>
                      <a:ext cx="4727156" cy="20697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D67E00">
        <w:rPr>
          <w:rFonts w:ascii="Georgia Pro Cond" w:hAnsi="Georgia Pro Cond"/>
          <w:noProof/>
          <w:sz w:val="24"/>
          <w:lang w:eastAsia="en-GB"/>
        </w:rPr>
        <w:drawing>
          <wp:inline distT="0" distB="0" distL="0" distR="0" wp14:anchorId="15C89FBD" wp14:editId="4CA4C131">
            <wp:extent cx="4772422" cy="6970144"/>
            <wp:effectExtent l="0" t="0" r="9525" b="254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3536" r="1511" b="23298"/>
                    <a:stretch/>
                  </pic:blipFill>
                  <pic:spPr bwMode="auto">
                    <a:xfrm>
                      <a:off x="0" y="0"/>
                      <a:ext cx="4776599" cy="69762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830DF0D" w14:textId="77777777" w:rsidR="00DA34C8" w:rsidRDefault="00DA34C8" w:rsidP="00DA34C8">
      <w:pPr>
        <w:jc w:val="center"/>
        <w:rPr>
          <w:noProof/>
        </w:rPr>
        <w:sectPr w:rsidR="00DA34C8" w:rsidSect="00D67E00">
          <w:pgSz w:w="11906" w:h="16838"/>
          <w:pgMar w:top="851" w:right="991" w:bottom="568" w:left="993" w:header="708" w:footer="708" w:gutter="0"/>
          <w:cols w:space="708"/>
          <w:docGrid w:linePitch="360"/>
        </w:sectPr>
      </w:pPr>
    </w:p>
    <w:p w14:paraId="15E9DF4D" w14:textId="77777777" w:rsidR="00DA34C8" w:rsidRDefault="00DA34C8" w:rsidP="00DA34C8">
      <w:pPr>
        <w:jc w:val="center"/>
        <w:rPr>
          <w:noProof/>
        </w:rPr>
      </w:pPr>
      <w:r>
        <w:rPr>
          <w:noProof/>
          <w:lang w:eastAsia="en-GB"/>
        </w:rPr>
        <w:lastRenderedPageBreak/>
        <w:drawing>
          <wp:inline distT="0" distB="0" distL="0" distR="0" wp14:anchorId="67946318" wp14:editId="42AA77F2">
            <wp:extent cx="4686300" cy="6502241"/>
            <wp:effectExtent l="0" t="0" r="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1"/>
                    <a:srcRect l="38558" t="15461" r="38249" b="8269"/>
                    <a:stretch/>
                  </pic:blipFill>
                  <pic:spPr bwMode="auto">
                    <a:xfrm>
                      <a:off x="0" y="0"/>
                      <a:ext cx="4693542" cy="651228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noProof/>
          <w:lang w:eastAsia="en-GB"/>
        </w:rPr>
        <w:drawing>
          <wp:inline distT="0" distB="0" distL="0" distR="0" wp14:anchorId="20C84BCB" wp14:editId="3F106C29">
            <wp:extent cx="4997358" cy="6019800"/>
            <wp:effectExtent l="0" t="0" r="0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2"/>
                    <a:srcRect l="38498" t="22028" r="38934" b="13534"/>
                    <a:stretch/>
                  </pic:blipFill>
                  <pic:spPr bwMode="auto">
                    <a:xfrm>
                      <a:off x="0" y="0"/>
                      <a:ext cx="5018909" cy="604576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8283DD3" w14:textId="77777777" w:rsidR="00DA34C8" w:rsidRDefault="00DA34C8" w:rsidP="00DA34C8">
      <w:pPr>
        <w:jc w:val="center"/>
        <w:rPr>
          <w:rFonts w:ascii="Georgia Pro Cond" w:hAnsi="Georgia Pro Cond" w:cs="Times New Roman"/>
          <w:sz w:val="24"/>
        </w:rPr>
        <w:sectPr w:rsidR="00DA34C8" w:rsidSect="00713A0E">
          <w:pgSz w:w="16838" w:h="11906" w:orient="landscape"/>
          <w:pgMar w:top="992" w:right="567" w:bottom="992" w:left="851" w:header="709" w:footer="709" w:gutter="0"/>
          <w:cols w:space="708"/>
          <w:docGrid w:linePitch="360"/>
        </w:sectPr>
      </w:pPr>
      <w:r>
        <w:rPr>
          <w:noProof/>
          <w:lang w:eastAsia="en-GB"/>
        </w:rPr>
        <w:lastRenderedPageBreak/>
        <w:drawing>
          <wp:inline distT="0" distB="0" distL="0" distR="0" wp14:anchorId="74122A52" wp14:editId="77EE8C4A">
            <wp:extent cx="4886325" cy="5910959"/>
            <wp:effectExtent l="0" t="0" r="0" b="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3"/>
                    <a:srcRect l="38311" t="13472" r="39055" b="21622"/>
                    <a:stretch/>
                  </pic:blipFill>
                  <pic:spPr bwMode="auto">
                    <a:xfrm>
                      <a:off x="0" y="0"/>
                      <a:ext cx="4899021" cy="592631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noProof/>
          <w:lang w:eastAsia="en-GB"/>
        </w:rPr>
        <w:drawing>
          <wp:inline distT="0" distB="0" distL="0" distR="0" wp14:anchorId="1588E081" wp14:editId="3F1984D0">
            <wp:extent cx="4739213" cy="5943600"/>
            <wp:effectExtent l="0" t="0" r="4445" b="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4"/>
                    <a:srcRect l="38783" t="13703" r="39386" b="21394"/>
                    <a:stretch/>
                  </pic:blipFill>
                  <pic:spPr bwMode="auto">
                    <a:xfrm>
                      <a:off x="0" y="0"/>
                      <a:ext cx="4755252" cy="596371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noProof/>
          <w:lang w:eastAsia="en-GB"/>
        </w:rPr>
        <w:lastRenderedPageBreak/>
        <w:drawing>
          <wp:inline distT="0" distB="0" distL="0" distR="0" wp14:anchorId="5108F222" wp14:editId="5F3DE2A2">
            <wp:extent cx="4849352" cy="5934075"/>
            <wp:effectExtent l="0" t="0" r="889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5"/>
                    <a:srcRect l="38507" t="18814" r="39153" b="16383"/>
                    <a:stretch/>
                  </pic:blipFill>
                  <pic:spPr bwMode="auto">
                    <a:xfrm>
                      <a:off x="0" y="0"/>
                      <a:ext cx="4860105" cy="594723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noProof/>
          <w:lang w:eastAsia="en-GB"/>
        </w:rPr>
        <w:drawing>
          <wp:inline distT="0" distB="0" distL="0" distR="0" wp14:anchorId="642C4A59" wp14:editId="122D2EF2">
            <wp:extent cx="4776678" cy="5923915"/>
            <wp:effectExtent l="0" t="0" r="5080" b="635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6"/>
                    <a:srcRect l="38311" t="19046" r="39251" b="14989"/>
                    <a:stretch/>
                  </pic:blipFill>
                  <pic:spPr bwMode="auto">
                    <a:xfrm>
                      <a:off x="0" y="0"/>
                      <a:ext cx="4796578" cy="594859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noProof/>
          <w:lang w:eastAsia="en-GB"/>
        </w:rPr>
        <w:lastRenderedPageBreak/>
        <w:drawing>
          <wp:inline distT="0" distB="0" distL="0" distR="0" wp14:anchorId="6A6EC1FE" wp14:editId="36152370">
            <wp:extent cx="4438650" cy="5514094"/>
            <wp:effectExtent l="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7"/>
                    <a:srcRect l="38507" t="20208" r="39251" b="14293"/>
                    <a:stretch/>
                  </pic:blipFill>
                  <pic:spPr bwMode="auto">
                    <a:xfrm>
                      <a:off x="0" y="0"/>
                      <a:ext cx="4442807" cy="551925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noProof/>
          <w:lang w:eastAsia="en-GB"/>
        </w:rPr>
        <w:drawing>
          <wp:inline distT="0" distB="0" distL="0" distR="0" wp14:anchorId="63FD4452" wp14:editId="0632E651">
            <wp:extent cx="4441164" cy="5419725"/>
            <wp:effectExtent l="0" t="0" r="0" b="0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8"/>
                    <a:srcRect l="37937" t="20825" r="39282" b="13272"/>
                    <a:stretch/>
                  </pic:blipFill>
                  <pic:spPr bwMode="auto">
                    <a:xfrm>
                      <a:off x="0" y="0"/>
                      <a:ext cx="4446648" cy="542641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noProof/>
          <w:lang w:eastAsia="en-GB"/>
        </w:rPr>
        <w:lastRenderedPageBreak/>
        <w:drawing>
          <wp:inline distT="0" distB="0" distL="0" distR="0" wp14:anchorId="69BA73CF" wp14:editId="30F9C9DB">
            <wp:extent cx="5215410" cy="6562725"/>
            <wp:effectExtent l="0" t="0" r="4445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9"/>
                    <a:srcRect l="38409" t="16259" r="38075" b="13595"/>
                    <a:stretch/>
                  </pic:blipFill>
                  <pic:spPr bwMode="auto">
                    <a:xfrm>
                      <a:off x="0" y="0"/>
                      <a:ext cx="5224282" cy="657388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9050B47" w14:textId="77777777" w:rsidR="00DA34C8" w:rsidRPr="003B583C" w:rsidRDefault="00DA34C8">
      <w:pPr>
        <w:rPr>
          <w:rFonts w:ascii="Georgia Pro Cond" w:hAnsi="Georgia Pro Cond"/>
        </w:rPr>
      </w:pPr>
    </w:p>
    <w:sectPr w:rsidR="00DA34C8" w:rsidRPr="003B583C" w:rsidSect="003B583C">
      <w:pgSz w:w="11906" w:h="16838"/>
      <w:pgMar w:top="567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Georgia Pro Cond">
    <w:altName w:val="Times New Roman"/>
    <w:charset w:val="00"/>
    <w:family w:val="roman"/>
    <w:pitch w:val="variable"/>
    <w:sig w:usb0="00000001" w:usb1="00000043" w:usb2="00000000" w:usb3="00000000" w:csb0="0000009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F271609"/>
    <w:multiLevelType w:val="hybridMultilevel"/>
    <w:tmpl w:val="35CA07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3125E30"/>
    <w:multiLevelType w:val="hybridMultilevel"/>
    <w:tmpl w:val="C5B2EDB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F53344E"/>
    <w:multiLevelType w:val="hybridMultilevel"/>
    <w:tmpl w:val="496891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583C"/>
    <w:rsid w:val="003B583C"/>
    <w:rsid w:val="008623EA"/>
    <w:rsid w:val="00DA34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90F9AE0"/>
  <w15:chartTrackingRefBased/>
  <w15:docId w15:val="{8F8D6126-97B1-4326-B0DB-D78B419898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B583C"/>
  </w:style>
  <w:style w:type="paragraph" w:styleId="Heading1">
    <w:name w:val="heading 1"/>
    <w:basedOn w:val="Normal"/>
    <w:next w:val="Normal"/>
    <w:link w:val="Heading1Char"/>
    <w:uiPriority w:val="9"/>
    <w:qFormat/>
    <w:rsid w:val="003B583C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583C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ormalWeb">
    <w:name w:val="Normal (Web)"/>
    <w:basedOn w:val="Normal"/>
    <w:uiPriority w:val="99"/>
    <w:unhideWhenUsed/>
    <w:rsid w:val="003B583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Hyperlink">
    <w:name w:val="Hyperlink"/>
    <w:basedOn w:val="DefaultParagraphFont"/>
    <w:uiPriority w:val="99"/>
    <w:unhideWhenUsed/>
    <w:rsid w:val="003B583C"/>
    <w:rPr>
      <w:color w:val="0563C1" w:themeColor="hyperlink"/>
      <w:u w:val="single"/>
    </w:rPr>
  </w:style>
  <w:style w:type="character" w:styleId="Strong">
    <w:name w:val="Strong"/>
    <w:basedOn w:val="DefaultParagraphFont"/>
    <w:uiPriority w:val="22"/>
    <w:qFormat/>
    <w:rsid w:val="003B583C"/>
    <w:rPr>
      <w:b/>
      <w:bCs/>
    </w:rPr>
  </w:style>
  <w:style w:type="paragraph" w:styleId="ListParagraph">
    <w:name w:val="List Paragraph"/>
    <w:basedOn w:val="Normal"/>
    <w:uiPriority w:val="34"/>
    <w:qFormat/>
    <w:rsid w:val="003B583C"/>
    <w:pPr>
      <w:ind w:left="720"/>
      <w:contextualSpacing/>
    </w:pPr>
  </w:style>
  <w:style w:type="character" w:customStyle="1" w:styleId="additionalfields">
    <w:name w:val="additionalfields"/>
    <w:basedOn w:val="DefaultParagraphFont"/>
    <w:rsid w:val="003B583C"/>
  </w:style>
  <w:style w:type="character" w:customStyle="1" w:styleId="Title1">
    <w:name w:val="Title1"/>
    <w:basedOn w:val="DefaultParagraphFont"/>
    <w:rsid w:val="003B583C"/>
  </w:style>
  <w:style w:type="paragraph" w:styleId="Header">
    <w:name w:val="header"/>
    <w:basedOn w:val="Normal"/>
    <w:link w:val="HeaderChar"/>
    <w:uiPriority w:val="99"/>
    <w:unhideWhenUsed/>
    <w:rsid w:val="00DA34C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A34C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s://link.springer.com/content/pdf/10.1057%2F9780230512726_1.pdf" TargetMode="External"/><Relationship Id="rId11" Type="http://schemas.openxmlformats.org/officeDocument/2006/relationships/image" Target="media/image5.png"/><Relationship Id="rId5" Type="http://schemas.openxmlformats.org/officeDocument/2006/relationships/hyperlink" Target="https://www.saylor.org/site/wp-content/uploads/2011/01/On-the-Supernatural-in-Poetry.pdf" TargetMode="External"/><Relationship Id="rId15" Type="http://schemas.openxmlformats.org/officeDocument/2006/relationships/image" Target="media/image9.png"/><Relationship Id="rId10" Type="http://schemas.openxmlformats.org/officeDocument/2006/relationships/image" Target="media/image4.emf"/><Relationship Id="rId19" Type="http://schemas.openxmlformats.org/officeDocument/2006/relationships/image" Target="media/image13.png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384FA30</Template>
  <TotalTime>1</TotalTime>
  <Pages>9</Pages>
  <Words>526</Words>
  <Characters>3002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3521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Baker, Jen</dc:creator>
  <cp:keywords/>
  <dc:description/>
  <cp:lastModifiedBy>Baker, Jen</cp:lastModifiedBy>
  <cp:revision>3</cp:revision>
  <dcterms:created xsi:type="dcterms:W3CDTF">2018-10-03T16:45:00Z</dcterms:created>
  <dcterms:modified xsi:type="dcterms:W3CDTF">2018-10-03T16:46:00Z</dcterms:modified>
</cp:coreProperties>
</file>