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5EE3" w:rsidRPr="00713A0E" w:rsidRDefault="009C5EE3" w:rsidP="009C5EE3">
      <w:pPr>
        <w:pStyle w:val="Heading1"/>
        <w:shd w:val="clear" w:color="auto" w:fill="ACB9CA" w:themeFill="text2" w:themeFillTint="66"/>
        <w:rPr>
          <w:color w:val="auto"/>
          <w:sz w:val="36"/>
        </w:rPr>
      </w:pPr>
      <w:r w:rsidRPr="00713A0E">
        <w:rPr>
          <w:rStyle w:val="Strong"/>
          <w:rFonts w:ascii="Georgia Pro Cond" w:hAnsi="Georgia Pro Cond"/>
          <w:color w:val="auto"/>
        </w:rPr>
        <w:t xml:space="preserve">Week </w:t>
      </w:r>
      <w:r>
        <w:rPr>
          <w:rStyle w:val="Strong"/>
          <w:rFonts w:ascii="Georgia Pro Cond" w:hAnsi="Georgia Pro Cond"/>
          <w:color w:val="auto"/>
        </w:rPr>
        <w:t>2. Gothic Play: Parody and Satire</w:t>
      </w:r>
      <w:r w:rsidRPr="00713A0E">
        <w:rPr>
          <w:rStyle w:val="Strong"/>
          <w:rFonts w:ascii="Georgia Pro Cond" w:hAnsi="Georgia Pro Cond"/>
          <w:color w:val="auto"/>
        </w:rPr>
        <w:t> </w:t>
      </w:r>
    </w:p>
    <w:p w:rsidR="009C5EE3" w:rsidRDefault="009C5EE3" w:rsidP="009C5EE3">
      <w:pPr>
        <w:rPr>
          <w:rFonts w:ascii="Georgia Pro Cond" w:hAnsi="Georgia Pro Cond"/>
          <w:b/>
          <w:sz w:val="24"/>
        </w:rPr>
      </w:pPr>
    </w:p>
    <w:p w:rsidR="009C5EE3" w:rsidRPr="00FA7594" w:rsidRDefault="009C5EE3" w:rsidP="009C5EE3">
      <w:pPr>
        <w:shd w:val="clear" w:color="auto" w:fill="D9E2F3" w:themeFill="accent5" w:themeFillTint="33"/>
        <w:rPr>
          <w:rFonts w:ascii="Georgia Pro Cond" w:hAnsi="Georgia Pro Cond"/>
          <w:sz w:val="24"/>
        </w:rPr>
      </w:pPr>
      <w:r w:rsidRPr="00212065">
        <w:rPr>
          <w:rFonts w:ascii="Georgia Pro Cond" w:hAnsi="Georgia Pro Cond"/>
          <w:b/>
          <w:sz w:val="24"/>
        </w:rPr>
        <w:t>Primary Reading:</w:t>
      </w:r>
      <w:r>
        <w:rPr>
          <w:rFonts w:ascii="Georgia Pro Cond" w:hAnsi="Georgia Pro Cond"/>
          <w:sz w:val="24"/>
        </w:rPr>
        <w:t xml:space="preserve"> Jane Austen, </w:t>
      </w:r>
      <w:r>
        <w:rPr>
          <w:rFonts w:ascii="Georgia Pro Cond" w:hAnsi="Georgia Pro Cond"/>
          <w:i/>
          <w:sz w:val="24"/>
        </w:rPr>
        <w:t xml:space="preserve">Northanger Abbey </w:t>
      </w:r>
      <w:r>
        <w:rPr>
          <w:rFonts w:ascii="Georgia Pro Cond" w:hAnsi="Georgia Pro Cond"/>
          <w:sz w:val="24"/>
        </w:rPr>
        <w:t>(1803/1818)</w:t>
      </w:r>
    </w:p>
    <w:p w:rsidR="009C5EE3" w:rsidRPr="00667BA6" w:rsidRDefault="009C5EE3" w:rsidP="009C5EE3">
      <w:pPr>
        <w:shd w:val="clear" w:color="auto" w:fill="D9E2F3" w:themeFill="accent5" w:themeFillTint="33"/>
        <w:spacing w:after="0"/>
        <w:rPr>
          <w:rFonts w:ascii="Arial" w:hAnsi="Arial" w:cs="Arial"/>
          <w:color w:val="333333"/>
          <w:sz w:val="21"/>
          <w:szCs w:val="21"/>
          <w:shd w:val="clear" w:color="auto" w:fill="FFFFFF"/>
        </w:rPr>
      </w:pPr>
      <w:r w:rsidRPr="00667BA6">
        <w:rPr>
          <w:rFonts w:ascii="Georgia Pro Cond" w:hAnsi="Georgia Pro Cond"/>
          <w:b/>
          <w:sz w:val="24"/>
        </w:rPr>
        <w:t xml:space="preserve">Secondary Reading: </w:t>
      </w:r>
      <w:r w:rsidRPr="00667BA6">
        <w:rPr>
          <w:rFonts w:ascii="Georgia Pro Cond" w:hAnsi="Georgia Pro Cond"/>
          <w:sz w:val="24"/>
        </w:rPr>
        <w:t>one or more of the following article</w:t>
      </w:r>
      <w:r>
        <w:rPr>
          <w:rFonts w:ascii="Georgia Pro Cond" w:hAnsi="Georgia Pro Cond"/>
          <w:sz w:val="24"/>
        </w:rPr>
        <w:t>s:</w:t>
      </w:r>
    </w:p>
    <w:p w:rsidR="009C5EE3" w:rsidRPr="001A5214" w:rsidRDefault="009C5EE3" w:rsidP="009C5EE3">
      <w:pPr>
        <w:pStyle w:val="ListParagraph"/>
        <w:numPr>
          <w:ilvl w:val="0"/>
          <w:numId w:val="2"/>
        </w:numPr>
        <w:shd w:val="clear" w:color="auto" w:fill="D9E2F3" w:themeFill="accent5" w:themeFillTint="33"/>
        <w:rPr>
          <w:rFonts w:ascii="Georgia Pro Cond" w:hAnsi="Georgia Pro Cond" w:cs="Times New Roman"/>
        </w:rPr>
      </w:pPr>
      <w:proofErr w:type="spellStart"/>
      <w:r w:rsidRPr="001A5214">
        <w:rPr>
          <w:rFonts w:ascii="Georgia Pro Cond" w:hAnsi="Georgia Pro Cond" w:cs="Times New Roman"/>
        </w:rPr>
        <w:t>Kearful</w:t>
      </w:r>
      <w:proofErr w:type="spellEnd"/>
      <w:r w:rsidRPr="001A5214">
        <w:rPr>
          <w:rFonts w:ascii="Georgia Pro Cond" w:hAnsi="Georgia Pro Cond" w:cs="Times New Roman"/>
        </w:rPr>
        <w:t>, Frank J. “Satire and the Form of the Novel: The Problem of Aesthetic Unity in Northanger Abbey.” </w:t>
      </w:r>
      <w:r w:rsidRPr="001A5214">
        <w:rPr>
          <w:rFonts w:ascii="Georgia Pro Cond" w:hAnsi="Georgia Pro Cond" w:cs="Times New Roman"/>
          <w:i/>
        </w:rPr>
        <w:t>ELH,</w:t>
      </w:r>
      <w:r w:rsidRPr="001A5214">
        <w:rPr>
          <w:rFonts w:ascii="Georgia Pro Cond" w:hAnsi="Georgia Pro Cond" w:cs="Times New Roman"/>
        </w:rPr>
        <w:t xml:space="preserve"> vol. 32, no. 4, 1965, pp. 511–527. </w:t>
      </w:r>
      <w:hyperlink r:id="rId5" w:history="1">
        <w:r w:rsidRPr="001A5214">
          <w:rPr>
            <w:rStyle w:val="Hyperlink"/>
            <w:rFonts w:ascii="Georgia Pro Cond" w:hAnsi="Georgia Pro Cond" w:cs="Times New Roman"/>
          </w:rPr>
          <w:t>www.jstor.org/stable/2872256</w:t>
        </w:r>
      </w:hyperlink>
    </w:p>
    <w:p w:rsidR="009C5EE3" w:rsidRPr="001A5214" w:rsidRDefault="009C5EE3" w:rsidP="009C5EE3">
      <w:pPr>
        <w:pStyle w:val="ListParagraph"/>
        <w:numPr>
          <w:ilvl w:val="0"/>
          <w:numId w:val="2"/>
        </w:numPr>
        <w:shd w:val="clear" w:color="auto" w:fill="D9E2F3" w:themeFill="accent5" w:themeFillTint="33"/>
        <w:rPr>
          <w:rFonts w:ascii="Georgia Pro Cond" w:hAnsi="Georgia Pro Cond" w:cs="Times New Roman"/>
        </w:rPr>
      </w:pPr>
      <w:r w:rsidRPr="001A5214">
        <w:rPr>
          <w:rFonts w:ascii="Georgia Pro Cond" w:hAnsi="Georgia Pro Cond" w:cs="Times New Roman"/>
        </w:rPr>
        <w:t xml:space="preserve">Wallace, Tara </w:t>
      </w:r>
      <w:proofErr w:type="spellStart"/>
      <w:r w:rsidRPr="001A5214">
        <w:rPr>
          <w:rFonts w:ascii="Georgia Pro Cond" w:hAnsi="Georgia Pro Cond" w:cs="Times New Roman"/>
        </w:rPr>
        <w:t>Ghoshal</w:t>
      </w:r>
      <w:proofErr w:type="spellEnd"/>
      <w:r w:rsidRPr="001A5214">
        <w:rPr>
          <w:rFonts w:ascii="Georgia Pro Cond" w:hAnsi="Georgia Pro Cond" w:cs="Times New Roman"/>
        </w:rPr>
        <w:t>. “‘Northanger Abbey’ and the Limits of Parody.” </w:t>
      </w:r>
      <w:r w:rsidRPr="001A5214">
        <w:rPr>
          <w:rFonts w:ascii="Georgia Pro Cond" w:hAnsi="Georgia Pro Cond" w:cs="Times New Roman"/>
          <w:i/>
        </w:rPr>
        <w:t>Studies in the Novel</w:t>
      </w:r>
      <w:r w:rsidRPr="001A5214">
        <w:rPr>
          <w:rFonts w:ascii="Georgia Pro Cond" w:hAnsi="Georgia Pro Cond" w:cs="Times New Roman"/>
        </w:rPr>
        <w:t xml:space="preserve">, vol. 20, no. 3, 1988, pp. 262–273. , </w:t>
      </w:r>
      <w:hyperlink r:id="rId6" w:history="1">
        <w:r w:rsidRPr="001A5214">
          <w:rPr>
            <w:rStyle w:val="Hyperlink"/>
            <w:rFonts w:ascii="Georgia Pro Cond" w:hAnsi="Georgia Pro Cond" w:cs="Times New Roman"/>
          </w:rPr>
          <w:t>www.jstor.org/stable/29532579</w:t>
        </w:r>
      </w:hyperlink>
      <w:r w:rsidRPr="001A5214">
        <w:rPr>
          <w:rFonts w:ascii="Georgia Pro Cond" w:hAnsi="Georgia Pro Cond" w:cs="Times New Roman"/>
        </w:rPr>
        <w:t>.</w:t>
      </w:r>
    </w:p>
    <w:p w:rsidR="009C5EE3" w:rsidRPr="001A5214" w:rsidRDefault="009C5EE3" w:rsidP="009C5EE3">
      <w:pPr>
        <w:pStyle w:val="ListParagraph"/>
        <w:numPr>
          <w:ilvl w:val="0"/>
          <w:numId w:val="2"/>
        </w:numPr>
        <w:shd w:val="clear" w:color="auto" w:fill="D9E2F3" w:themeFill="accent5" w:themeFillTint="33"/>
        <w:rPr>
          <w:rFonts w:ascii="Georgia Pro Cond" w:hAnsi="Georgia Pro Cond" w:cs="Times New Roman"/>
        </w:rPr>
      </w:pPr>
      <w:r w:rsidRPr="001A5214">
        <w:rPr>
          <w:rFonts w:ascii="Georgia Pro Cond" w:hAnsi="Georgia Pro Cond" w:cs="Times New Roman"/>
        </w:rPr>
        <w:t>Gallon, D. N. “Comedy in ‘Northanger Abbey.’” </w:t>
      </w:r>
      <w:r w:rsidRPr="001A5214">
        <w:rPr>
          <w:rFonts w:ascii="Georgia Pro Cond" w:hAnsi="Georgia Pro Cond" w:cs="Times New Roman"/>
          <w:i/>
        </w:rPr>
        <w:t>The Modern Language Review,</w:t>
      </w:r>
      <w:r w:rsidRPr="001A5214">
        <w:rPr>
          <w:rFonts w:ascii="Georgia Pro Cond" w:hAnsi="Georgia Pro Cond" w:cs="Times New Roman"/>
        </w:rPr>
        <w:t xml:space="preserve"> vol. 63, no. 4, 1968, pp. 802–809.  </w:t>
      </w:r>
      <w:hyperlink r:id="rId7" w:history="1">
        <w:r w:rsidRPr="001A5214">
          <w:rPr>
            <w:rStyle w:val="Hyperlink"/>
            <w:rFonts w:ascii="Georgia Pro Cond" w:hAnsi="Georgia Pro Cond" w:cs="Times New Roman"/>
          </w:rPr>
          <w:t>www.jstor.org/stable/3723737</w:t>
        </w:r>
      </w:hyperlink>
      <w:r w:rsidRPr="001A5214">
        <w:rPr>
          <w:rFonts w:ascii="Georgia Pro Cond" w:hAnsi="Georgia Pro Cond" w:cs="Times New Roman"/>
        </w:rPr>
        <w:t xml:space="preserve"> </w:t>
      </w:r>
    </w:p>
    <w:p w:rsidR="009C5EE3" w:rsidRPr="009A0888" w:rsidRDefault="009C5EE3" w:rsidP="009C5EE3">
      <w:pPr>
        <w:jc w:val="both"/>
        <w:rPr>
          <w:rFonts w:ascii="Georgia Pro Cond" w:hAnsi="Georgia Pro Cond"/>
        </w:rPr>
      </w:pPr>
      <w:r w:rsidRPr="009A0888">
        <w:rPr>
          <w:rFonts w:ascii="Georgia Pro Cond" w:hAnsi="Georgia Pro Cond"/>
        </w:rPr>
        <w:t xml:space="preserve">For information about Austen’s life and </w:t>
      </w:r>
      <w:proofErr w:type="gramStart"/>
      <w:r w:rsidRPr="009A0888">
        <w:rPr>
          <w:rFonts w:ascii="Georgia Pro Cond" w:hAnsi="Georgia Pro Cond"/>
        </w:rPr>
        <w:t>works</w:t>
      </w:r>
      <w:proofErr w:type="gramEnd"/>
      <w:r w:rsidRPr="009A0888">
        <w:rPr>
          <w:rFonts w:ascii="Georgia Pro Cond" w:hAnsi="Georgia Pro Cond"/>
        </w:rPr>
        <w:t xml:space="preserve"> see her entry in the </w:t>
      </w:r>
      <w:hyperlink r:id="rId8" w:history="1">
        <w:r w:rsidRPr="009A0888">
          <w:rPr>
            <w:rStyle w:val="Hyperlink"/>
            <w:rFonts w:ascii="Georgia Pro Cond" w:hAnsi="Georgia Pro Cond"/>
          </w:rPr>
          <w:t>ODNB</w:t>
        </w:r>
      </w:hyperlink>
      <w:r w:rsidRPr="009A0888">
        <w:rPr>
          <w:rFonts w:ascii="Georgia Pro Cond" w:hAnsi="Georgia Pro Cond"/>
        </w:rPr>
        <w:t xml:space="preserve">. </w:t>
      </w:r>
    </w:p>
    <w:p w:rsidR="009C5EE3" w:rsidRPr="009A0888" w:rsidRDefault="009C5EE3" w:rsidP="009C5EE3">
      <w:pPr>
        <w:jc w:val="both"/>
        <w:rPr>
          <w:rFonts w:ascii="Georgia Pro Cond" w:hAnsi="Georgia Pro Cond"/>
        </w:rPr>
      </w:pPr>
    </w:p>
    <w:p w:rsidR="009C5EE3" w:rsidRPr="00FA7594" w:rsidRDefault="009C5EE3" w:rsidP="009C5EE3">
      <w:pPr>
        <w:pStyle w:val="ListParagraph"/>
        <w:ind w:left="0"/>
        <w:jc w:val="both"/>
        <w:rPr>
          <w:rFonts w:ascii="Georgia Pro Cond" w:hAnsi="Georgia Pro Cond"/>
        </w:rPr>
      </w:pPr>
      <w:r>
        <w:rPr>
          <w:rFonts w:ascii="Georgia Pro Cond" w:hAnsi="Georgia Pro Cond"/>
          <w:b/>
          <w:sz w:val="28"/>
          <w:szCs w:val="28"/>
          <w:highlight w:val="yellow"/>
        </w:rPr>
        <w:t>Guidance for Reading</w:t>
      </w:r>
    </w:p>
    <w:p w:rsidR="009C5EE3" w:rsidRDefault="009C5EE3" w:rsidP="009C5EE3">
      <w:pPr>
        <w:pStyle w:val="ListParagraph"/>
        <w:jc w:val="both"/>
        <w:rPr>
          <w:rFonts w:ascii="Georgia Pro Cond" w:hAnsi="Georgia Pro Cond"/>
        </w:rPr>
      </w:pPr>
    </w:p>
    <w:p w:rsidR="009C5EE3" w:rsidRDefault="009C5EE3" w:rsidP="009C5EE3">
      <w:pPr>
        <w:pStyle w:val="ListParagraph"/>
        <w:jc w:val="both"/>
        <w:rPr>
          <w:rFonts w:ascii="Georgia Pro Cond" w:hAnsi="Georgia Pro Cond"/>
        </w:rPr>
      </w:pPr>
    </w:p>
    <w:p w:rsidR="009C5EE3" w:rsidRPr="00405C61" w:rsidRDefault="009C5EE3" w:rsidP="009C5EE3">
      <w:pPr>
        <w:pStyle w:val="Header"/>
        <w:numPr>
          <w:ilvl w:val="0"/>
          <w:numId w:val="1"/>
        </w:numPr>
        <w:jc w:val="both"/>
      </w:pPr>
      <w:r w:rsidRPr="00D54E64">
        <w:rPr>
          <w:rFonts w:ascii="Georgia Pro Cond" w:hAnsi="Georgia Pro Cond"/>
        </w:rPr>
        <w:t>Keep track of what the novel says about “novel reading” and specific novels, the uses and functions of literature, and the narrator’s role in this. Building on your reading in week 1, what does this novel add to the debate about “appropriate” reading, the readers of Gothic, and its critics?</w:t>
      </w:r>
    </w:p>
    <w:p w:rsidR="009C5EE3" w:rsidRPr="00405C61" w:rsidRDefault="009C5EE3" w:rsidP="009C5EE3">
      <w:pPr>
        <w:jc w:val="both"/>
      </w:pPr>
    </w:p>
    <w:p w:rsidR="009C5EE3" w:rsidRPr="00405C61" w:rsidRDefault="009C5EE3" w:rsidP="009C5EE3">
      <w:pPr>
        <w:jc w:val="both"/>
      </w:pPr>
    </w:p>
    <w:p w:rsidR="009C5EE3" w:rsidRPr="00405C61" w:rsidRDefault="009C5EE3" w:rsidP="009C5EE3">
      <w:pPr>
        <w:jc w:val="both"/>
      </w:pPr>
    </w:p>
    <w:p w:rsidR="009C5EE3" w:rsidRPr="005E2DE4" w:rsidRDefault="009C5EE3" w:rsidP="009C5EE3">
      <w:pPr>
        <w:jc w:val="both"/>
        <w:rPr>
          <w:rFonts w:ascii="Georgia Pro Cond" w:hAnsi="Georgia Pro Cond"/>
        </w:rPr>
      </w:pPr>
    </w:p>
    <w:p w:rsidR="009C5EE3" w:rsidRDefault="009C5EE3" w:rsidP="009C5EE3">
      <w:pPr>
        <w:pStyle w:val="ListParagraph"/>
        <w:numPr>
          <w:ilvl w:val="0"/>
          <w:numId w:val="1"/>
        </w:numPr>
        <w:spacing w:after="0" w:line="240" w:lineRule="auto"/>
        <w:jc w:val="both"/>
        <w:rPr>
          <w:rFonts w:ascii="Georgia Pro Cond" w:hAnsi="Georgia Pro Cond"/>
        </w:rPr>
      </w:pPr>
      <w:r>
        <w:rPr>
          <w:rFonts w:ascii="Georgia Pro Cond" w:hAnsi="Georgia Pro Cond"/>
        </w:rPr>
        <w:t xml:space="preserve">How do we know what is parody or satire in </w:t>
      </w:r>
      <w:r>
        <w:rPr>
          <w:rFonts w:ascii="Georgia Pro Cond" w:hAnsi="Georgia Pro Cond"/>
          <w:i/>
        </w:rPr>
        <w:t>Northanger</w:t>
      </w:r>
      <w:r>
        <w:rPr>
          <w:rFonts w:ascii="Georgia Pro Cond" w:hAnsi="Georgia Pro Cond"/>
        </w:rPr>
        <w:t>? And are we able to enjoy/”get” the parody if we have not read the novels that are the subject of its satire?</w:t>
      </w:r>
    </w:p>
    <w:p w:rsidR="009C5EE3" w:rsidRDefault="009C5EE3" w:rsidP="009C5EE3">
      <w:pPr>
        <w:pStyle w:val="ListParagraph"/>
        <w:spacing w:after="0" w:line="240" w:lineRule="auto"/>
        <w:jc w:val="both"/>
        <w:rPr>
          <w:rFonts w:ascii="Georgia Pro Cond" w:hAnsi="Georgia Pro Cond"/>
        </w:rPr>
      </w:pPr>
      <w:r>
        <w:rPr>
          <w:rFonts w:ascii="Georgia Pro Cond" w:hAnsi="Georgia Pro Cond"/>
        </w:rPr>
        <w:br/>
      </w:r>
      <w:r>
        <w:rPr>
          <w:rFonts w:ascii="Georgia Pro Cond" w:hAnsi="Georgia Pro Cond"/>
        </w:rPr>
        <w:br/>
      </w:r>
      <w:r>
        <w:rPr>
          <w:rFonts w:ascii="Georgia Pro Cond" w:hAnsi="Georgia Pro Cond"/>
        </w:rPr>
        <w:br/>
      </w:r>
      <w:r>
        <w:rPr>
          <w:rFonts w:ascii="Georgia Pro Cond" w:hAnsi="Georgia Pro Cond"/>
        </w:rPr>
        <w:br/>
      </w:r>
      <w:r>
        <w:rPr>
          <w:rFonts w:ascii="Georgia Pro Cond" w:hAnsi="Georgia Pro Cond"/>
        </w:rPr>
        <w:br/>
      </w:r>
      <w:r>
        <w:rPr>
          <w:rFonts w:ascii="Georgia Pro Cond" w:hAnsi="Georgia Pro Cond"/>
        </w:rPr>
        <w:br/>
      </w:r>
    </w:p>
    <w:p w:rsidR="009C5EE3" w:rsidRPr="001A5214" w:rsidRDefault="009C5EE3" w:rsidP="009C5EE3">
      <w:pPr>
        <w:pStyle w:val="ListParagraph"/>
        <w:numPr>
          <w:ilvl w:val="0"/>
          <w:numId w:val="1"/>
        </w:numPr>
        <w:spacing w:after="0" w:line="240" w:lineRule="auto"/>
        <w:jc w:val="both"/>
        <w:rPr>
          <w:rFonts w:ascii="Georgia Pro Cond" w:hAnsi="Georgia Pro Cond"/>
        </w:rPr>
      </w:pPr>
      <w:r>
        <w:rPr>
          <w:rFonts w:ascii="Georgia Pro Cond" w:hAnsi="Georgia Pro Cond"/>
        </w:rPr>
        <w:t>What is parody/satire anyway? What do literary theorists say about its function? Any thoughts on whether/how “</w:t>
      </w:r>
      <w:proofErr w:type="gramStart"/>
      <w:r>
        <w:rPr>
          <w:rFonts w:ascii="Georgia Pro Cond" w:hAnsi="Georgia Pro Cond"/>
        </w:rPr>
        <w:t>Gothic</w:t>
      </w:r>
      <w:proofErr w:type="gramEnd"/>
      <w:r>
        <w:rPr>
          <w:rFonts w:ascii="Georgia Pro Cond" w:hAnsi="Georgia Pro Cond"/>
        </w:rPr>
        <w:t>” changes that function?</w:t>
      </w:r>
    </w:p>
    <w:p w:rsidR="009C5EE3" w:rsidRPr="00405C61" w:rsidRDefault="009C5EE3" w:rsidP="009C5EE3">
      <w:pPr>
        <w:jc w:val="both"/>
      </w:pPr>
    </w:p>
    <w:p w:rsidR="009C5EE3" w:rsidRPr="00405C61" w:rsidRDefault="009C5EE3" w:rsidP="009C5EE3">
      <w:pPr>
        <w:jc w:val="both"/>
      </w:pPr>
    </w:p>
    <w:p w:rsidR="009C5EE3" w:rsidRPr="00405C61" w:rsidRDefault="009C5EE3" w:rsidP="009C5EE3">
      <w:pPr>
        <w:jc w:val="both"/>
      </w:pPr>
    </w:p>
    <w:p w:rsidR="009C5EE3" w:rsidRPr="00405C61" w:rsidRDefault="009C5EE3" w:rsidP="009C5EE3">
      <w:pPr>
        <w:jc w:val="both"/>
      </w:pPr>
    </w:p>
    <w:p w:rsidR="009C5EE3" w:rsidRPr="00405C61" w:rsidRDefault="009C5EE3" w:rsidP="009C5EE3">
      <w:pPr>
        <w:jc w:val="both"/>
      </w:pPr>
    </w:p>
    <w:p w:rsidR="008623EA" w:rsidRDefault="008623EA">
      <w:bookmarkStart w:id="0" w:name="_GoBack"/>
      <w:bookmarkEnd w:id="0"/>
    </w:p>
    <w:sectPr w:rsidR="008623E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Pro Cond">
    <w:altName w:val="Times New Roman"/>
    <w:charset w:val="00"/>
    <w:family w:val="roman"/>
    <w:pitch w:val="variable"/>
    <w:sig w:usb0="00000001" w:usb1="00000043"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A74E24"/>
    <w:multiLevelType w:val="hybridMultilevel"/>
    <w:tmpl w:val="044AC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8943EC6"/>
    <w:multiLevelType w:val="hybridMultilevel"/>
    <w:tmpl w:val="97528F42"/>
    <w:lvl w:ilvl="0" w:tplc="4670B7A6">
      <w:start w:val="1"/>
      <w:numFmt w:val="decimal"/>
      <w:lvlText w:val="%1."/>
      <w:lvlJc w:val="left"/>
      <w:pPr>
        <w:ind w:left="720" w:hanging="360"/>
      </w:pPr>
      <w:rPr>
        <w:rFonts w:ascii="Georgia Pro Cond" w:hAnsi="Georgia Pro Cond"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EE3"/>
    <w:rsid w:val="008623EA"/>
    <w:rsid w:val="009C5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D24138-0420-49CC-A529-B327F16DF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5EE3"/>
  </w:style>
  <w:style w:type="paragraph" w:styleId="Heading1">
    <w:name w:val="heading 1"/>
    <w:basedOn w:val="Normal"/>
    <w:next w:val="Normal"/>
    <w:link w:val="Heading1Char"/>
    <w:uiPriority w:val="9"/>
    <w:qFormat/>
    <w:rsid w:val="009C5EE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5EE3"/>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9C5EE3"/>
    <w:rPr>
      <w:color w:val="0563C1" w:themeColor="hyperlink"/>
      <w:u w:val="single"/>
    </w:rPr>
  </w:style>
  <w:style w:type="character" w:styleId="Strong">
    <w:name w:val="Strong"/>
    <w:basedOn w:val="DefaultParagraphFont"/>
    <w:uiPriority w:val="22"/>
    <w:qFormat/>
    <w:rsid w:val="009C5EE3"/>
    <w:rPr>
      <w:b/>
      <w:bCs/>
    </w:rPr>
  </w:style>
  <w:style w:type="paragraph" w:styleId="ListParagraph">
    <w:name w:val="List Paragraph"/>
    <w:basedOn w:val="Normal"/>
    <w:uiPriority w:val="34"/>
    <w:qFormat/>
    <w:rsid w:val="009C5EE3"/>
    <w:pPr>
      <w:ind w:left="720"/>
      <w:contextualSpacing/>
    </w:pPr>
  </w:style>
  <w:style w:type="paragraph" w:styleId="Header">
    <w:name w:val="header"/>
    <w:basedOn w:val="Normal"/>
    <w:link w:val="HeaderChar"/>
    <w:uiPriority w:val="99"/>
    <w:unhideWhenUsed/>
    <w:rsid w:val="009C5E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5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xforddnb.com/view/10.1093/ref:odnb/9780198614128.001.0001/odnb-9780198614128-e-904" TargetMode="External"/><Relationship Id="rId3" Type="http://schemas.openxmlformats.org/officeDocument/2006/relationships/settings" Target="settings.xml"/><Relationship Id="rId7" Type="http://schemas.openxmlformats.org/officeDocument/2006/relationships/hyperlink" Target="http://www.jstor.org/stable/372373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stor.org/stable/29532579" TargetMode="External"/><Relationship Id="rId5" Type="http://schemas.openxmlformats.org/officeDocument/2006/relationships/hyperlink" Target="http://www.jstor.org/stable/2872256"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384FA30</Template>
  <TotalTime>0</TotalTime>
  <Pages>1</Pages>
  <Words>240</Words>
  <Characters>1373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Jen</dc:creator>
  <cp:keywords/>
  <dc:description/>
  <cp:lastModifiedBy>Baker, Jen</cp:lastModifiedBy>
  <cp:revision>1</cp:revision>
  <dcterms:created xsi:type="dcterms:W3CDTF">2018-10-03T16:50:00Z</dcterms:created>
  <dcterms:modified xsi:type="dcterms:W3CDTF">2018-10-03T16:50:00Z</dcterms:modified>
</cp:coreProperties>
</file>