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9E" w:rsidRDefault="00A6249E" w:rsidP="00A6249E">
      <w:pPr>
        <w:jc w:val="both"/>
        <w:rPr>
          <w:rFonts w:ascii="Calibri" w:hAnsi="Calibri"/>
          <w:b/>
          <w:sz w:val="28"/>
          <w:szCs w:val="28"/>
        </w:rPr>
      </w:pPr>
      <w:r>
        <w:rPr>
          <w:rFonts w:ascii="Calibri" w:hAnsi="Calibri"/>
          <w:b/>
          <w:sz w:val="28"/>
          <w:szCs w:val="28"/>
        </w:rPr>
        <w:t>Module Specification</w:t>
      </w:r>
    </w:p>
    <w:p w:rsidR="00A6249E" w:rsidRDefault="00A6249E" w:rsidP="00A6249E">
      <w:pPr>
        <w:rPr>
          <w:b/>
          <w:sz w:val="28"/>
          <w:szCs w:val="28"/>
        </w:rPr>
      </w:pPr>
    </w:p>
    <w:tbl>
      <w:tblPr>
        <w:tblW w:w="9075" w:type="dxa"/>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289"/>
        <w:gridCol w:w="2127"/>
        <w:gridCol w:w="3659"/>
      </w:tblGrid>
      <w:tr w:rsidR="00A6249E" w:rsidTr="00243E34">
        <w:tc>
          <w:tcPr>
            <w:tcW w:w="3289" w:type="dxa"/>
            <w:hideMark/>
          </w:tcPr>
          <w:p w:rsidR="00A6249E" w:rsidRDefault="00A6249E">
            <w:pPr>
              <w:keepLines/>
              <w:rPr>
                <w:rFonts w:ascii="Calibri" w:hAnsi="Calibri" w:cs="Arial"/>
                <w:b/>
                <w:sz w:val="24"/>
                <w:szCs w:val="24"/>
              </w:rPr>
            </w:pPr>
            <w:r>
              <w:rPr>
                <w:rFonts w:ascii="Calibri" w:hAnsi="Calibri" w:cs="Arial"/>
                <w:b/>
                <w:sz w:val="24"/>
                <w:szCs w:val="24"/>
              </w:rPr>
              <w:t xml:space="preserve">Module Code </w:t>
            </w:r>
          </w:p>
        </w:tc>
        <w:tc>
          <w:tcPr>
            <w:tcW w:w="5786" w:type="dxa"/>
            <w:gridSpan w:val="2"/>
            <w:hideMark/>
          </w:tcPr>
          <w:p w:rsidR="00A6249E" w:rsidRDefault="00B512CE">
            <w:pPr>
              <w:keepLines/>
              <w:jc w:val="both"/>
              <w:rPr>
                <w:rFonts w:ascii="Calibri" w:hAnsi="Calibri" w:cs="Arial"/>
              </w:rPr>
            </w:pPr>
            <w:r>
              <w:rPr>
                <w:rFonts w:ascii="Calibri" w:hAnsi="Calibri" w:cs="Arial"/>
              </w:rPr>
              <w:t>EN963</w:t>
            </w:r>
          </w:p>
        </w:tc>
      </w:tr>
      <w:tr w:rsidR="00A6249E" w:rsidTr="00243E34">
        <w:tc>
          <w:tcPr>
            <w:tcW w:w="3289" w:type="dxa"/>
            <w:hideMark/>
          </w:tcPr>
          <w:p w:rsidR="00A6249E" w:rsidRDefault="00A6249E">
            <w:pPr>
              <w:keepLines/>
              <w:rPr>
                <w:rFonts w:ascii="Calibri" w:hAnsi="Calibri" w:cs="Arial"/>
                <w:b/>
                <w:sz w:val="24"/>
                <w:szCs w:val="24"/>
              </w:rPr>
            </w:pPr>
            <w:r>
              <w:rPr>
                <w:rFonts w:ascii="Calibri" w:hAnsi="Calibri" w:cs="Arial"/>
                <w:b/>
                <w:sz w:val="24"/>
                <w:szCs w:val="24"/>
              </w:rPr>
              <w:t>Module Title</w:t>
            </w:r>
          </w:p>
        </w:tc>
        <w:tc>
          <w:tcPr>
            <w:tcW w:w="5786" w:type="dxa"/>
            <w:gridSpan w:val="2"/>
            <w:hideMark/>
          </w:tcPr>
          <w:p w:rsidR="00A6249E" w:rsidRDefault="00B512CE">
            <w:pPr>
              <w:keepLines/>
              <w:jc w:val="both"/>
              <w:rPr>
                <w:rFonts w:ascii="Calibri" w:hAnsi="Calibri" w:cs="Arial"/>
              </w:rPr>
            </w:pPr>
            <w:proofErr w:type="spellStart"/>
            <w:r>
              <w:rPr>
                <w:rFonts w:ascii="Calibri" w:hAnsi="Calibri" w:cs="Arial"/>
              </w:rPr>
              <w:t>Petrofiction</w:t>
            </w:r>
            <w:proofErr w:type="spellEnd"/>
            <w:r>
              <w:rPr>
                <w:rFonts w:ascii="Calibri" w:hAnsi="Calibri" w:cs="Arial"/>
              </w:rPr>
              <w:t>: Studies in World Literature</w:t>
            </w:r>
          </w:p>
        </w:tc>
      </w:tr>
      <w:tr w:rsidR="00A6249E" w:rsidTr="00B512CE">
        <w:tc>
          <w:tcPr>
            <w:tcW w:w="9075" w:type="dxa"/>
            <w:gridSpan w:val="3"/>
            <w:shd w:val="pct25" w:color="auto" w:fill="auto"/>
            <w:hideMark/>
          </w:tcPr>
          <w:p w:rsidR="00A6249E" w:rsidRDefault="00A6249E">
            <w:pPr>
              <w:keepLines/>
              <w:jc w:val="both"/>
              <w:rPr>
                <w:rFonts w:ascii="Calibri" w:hAnsi="Calibri" w:cs="Arial"/>
                <w:sz w:val="24"/>
                <w:szCs w:val="24"/>
              </w:rPr>
            </w:pPr>
            <w:r>
              <w:rPr>
                <w:rFonts w:ascii="Calibri" w:hAnsi="Calibri" w:cs="Arial"/>
                <w:b/>
                <w:sz w:val="24"/>
                <w:szCs w:val="24"/>
              </w:rPr>
              <w:t>Module Aims</w:t>
            </w:r>
          </w:p>
        </w:tc>
      </w:tr>
      <w:tr w:rsidR="00A6249E" w:rsidTr="00B512CE">
        <w:trPr>
          <w:tblHeader/>
        </w:trPr>
        <w:tc>
          <w:tcPr>
            <w:tcW w:w="9075" w:type="dxa"/>
            <w:gridSpan w:val="3"/>
            <w:shd w:val="clear" w:color="auto" w:fill="FFFFFF" w:themeFill="background1"/>
            <w:tcMar>
              <w:top w:w="0" w:type="dxa"/>
              <w:left w:w="108" w:type="dxa"/>
              <w:bottom w:w="0" w:type="dxa"/>
              <w:right w:w="108" w:type="dxa"/>
            </w:tcMar>
            <w:hideMark/>
          </w:tcPr>
          <w:p w:rsidR="00A6249E" w:rsidRDefault="00B512CE">
            <w:pPr>
              <w:keepLines/>
              <w:rPr>
                <w:rFonts w:ascii="Calibri" w:hAnsi="Calibri" w:cs="Arial"/>
                <w:sz w:val="24"/>
                <w:szCs w:val="24"/>
              </w:rPr>
            </w:pPr>
            <w:r>
              <w:t xml:space="preserve">This module examines the world literature of energy: oil, water, coal, gas, wind, nuclear, etc. It is </w:t>
            </w:r>
            <w:proofErr w:type="spellStart"/>
            <w:r>
              <w:t>platformed</w:t>
            </w:r>
            <w:proofErr w:type="spellEnd"/>
            <w:r>
              <w:t xml:space="preserve"> by recent theories of world literature that explore how literary studies can be reconceived on a global scale. It takes its cue from the suggestion that ‘world’ literary connections can be realised by identifying nodal relations in form and space between texts and their local and international contexts.</w:t>
            </w:r>
          </w:p>
          <w:p w:rsidR="00A6249E" w:rsidRDefault="00A6249E">
            <w:pPr>
              <w:keepLines/>
              <w:rPr>
                <w:rFonts w:ascii="Calibri" w:hAnsi="Calibri" w:cs="Arial"/>
                <w:sz w:val="24"/>
                <w:szCs w:val="24"/>
              </w:rPr>
            </w:pPr>
          </w:p>
        </w:tc>
      </w:tr>
      <w:tr w:rsidR="00A6249E" w:rsidTr="00B512CE">
        <w:trPr>
          <w:tblHeader/>
        </w:trPr>
        <w:tc>
          <w:tcPr>
            <w:tcW w:w="9075" w:type="dxa"/>
            <w:gridSpan w:val="3"/>
            <w:shd w:val="clear" w:color="auto" w:fill="BFBFBF"/>
            <w:tcMar>
              <w:top w:w="0" w:type="dxa"/>
              <w:left w:w="108" w:type="dxa"/>
              <w:bottom w:w="0" w:type="dxa"/>
              <w:right w:w="108" w:type="dxa"/>
            </w:tcMar>
            <w:hideMark/>
          </w:tcPr>
          <w:p w:rsidR="00A6249E" w:rsidRDefault="00A6249E">
            <w:pPr>
              <w:keepLines/>
              <w:rPr>
                <w:rFonts w:ascii="Calibri" w:hAnsi="Calibri" w:cs="Arial"/>
                <w:b/>
                <w:sz w:val="24"/>
                <w:szCs w:val="24"/>
              </w:rPr>
            </w:pPr>
            <w:r>
              <w:rPr>
                <w:rFonts w:ascii="Calibri" w:hAnsi="Calibri" w:cs="Arial"/>
                <w:b/>
                <w:sz w:val="24"/>
                <w:szCs w:val="24"/>
              </w:rPr>
              <w:t>Learning Outcomes</w:t>
            </w:r>
          </w:p>
        </w:tc>
      </w:tr>
      <w:tr w:rsidR="00A6249E" w:rsidTr="00243E34">
        <w:trPr>
          <w:tblHeader/>
        </w:trPr>
        <w:tc>
          <w:tcPr>
            <w:tcW w:w="3289"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By the end of the module the student should be able to....</w:t>
            </w:r>
          </w:p>
        </w:tc>
        <w:tc>
          <w:tcPr>
            <w:tcW w:w="2127"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teaching and learning methods enable students to achieve this learning outcome?</w:t>
            </w:r>
          </w:p>
        </w:tc>
        <w:tc>
          <w:tcPr>
            <w:tcW w:w="3659" w:type="dxa"/>
            <w:tcMar>
              <w:top w:w="0" w:type="dxa"/>
              <w:left w:w="108" w:type="dxa"/>
              <w:bottom w:w="0" w:type="dxa"/>
              <w:right w:w="108" w:type="dxa"/>
            </w:tcMar>
            <w:hideMark/>
          </w:tcPr>
          <w:p w:rsidR="00A6249E" w:rsidRDefault="00A6249E">
            <w:pPr>
              <w:keepLines/>
              <w:rPr>
                <w:rFonts w:ascii="Calibri" w:hAnsi="Calibri" w:cs="Arial"/>
                <w:b/>
              </w:rPr>
            </w:pPr>
            <w:r>
              <w:rPr>
                <w:rFonts w:ascii="Calibri" w:hAnsi="Calibri" w:cs="Arial"/>
                <w:b/>
              </w:rPr>
              <w:t>Which summative assessment methods will measure the achievement of this learning outcome?</w:t>
            </w:r>
          </w:p>
        </w:tc>
      </w:tr>
      <w:tr w:rsidR="00243E34" w:rsidTr="00243E34">
        <w:tc>
          <w:tcPr>
            <w:tcW w:w="328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 xml:space="preserve">Reflect, across a broad international range, on the cultural, political and economic registration of natural and refined resources in fiction, from the early twentieth century to the present.  </w:t>
            </w:r>
          </w:p>
          <w:p w:rsidR="00243E34" w:rsidRPr="00ED66B6" w:rsidRDefault="00243E34" w:rsidP="00243E34">
            <w:pPr>
              <w:keepLines/>
              <w:rPr>
                <w:rFonts w:cs="Arial"/>
              </w:rPr>
            </w:pPr>
          </w:p>
        </w:tc>
        <w:tc>
          <w:tcPr>
            <w:tcW w:w="2127"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Weekly core sessions, and one documentary discussion inviting transnational and international comparison across nationally and regionally conceived texts.</w:t>
            </w:r>
          </w:p>
        </w:tc>
        <w:tc>
          <w:tcPr>
            <w:tcW w:w="3659" w:type="dxa"/>
            <w:tcMar>
              <w:top w:w="0" w:type="dxa"/>
              <w:left w:w="108" w:type="dxa"/>
              <w:bottom w:w="0" w:type="dxa"/>
              <w:right w:w="108" w:type="dxa"/>
            </w:tcMar>
          </w:tcPr>
          <w:p w:rsidR="00243E34" w:rsidRPr="00ED66B6" w:rsidRDefault="00243E34" w:rsidP="00ED66B6">
            <w:pPr>
              <w:keepLines/>
              <w:rPr>
                <w:rFonts w:cs="Arial"/>
              </w:rPr>
            </w:pPr>
            <w:r w:rsidRPr="00ED66B6">
              <w:rPr>
                <w:rFonts w:cs="Arial"/>
              </w:rPr>
              <w:t xml:space="preserve">6000, 8000, 10000-word essay (English Department) or 5000-word essay (other departments).  </w:t>
            </w:r>
          </w:p>
        </w:tc>
      </w:tr>
      <w:tr w:rsidR="00243E34" w:rsidTr="00243E34">
        <w:tc>
          <w:tcPr>
            <w:tcW w:w="328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 xml:space="preserve">Relate specific literary and other texts to the material conditions governing the control, distribution and use of energy resources nationally and globally. </w:t>
            </w:r>
          </w:p>
        </w:tc>
        <w:tc>
          <w:tcPr>
            <w:tcW w:w="2127"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This will form an important part of the teaching of the weekly core sessions, and of the prescribed background reading.</w:t>
            </w:r>
          </w:p>
        </w:tc>
        <w:tc>
          <w:tcPr>
            <w:tcW w:w="3659" w:type="dxa"/>
            <w:tcMar>
              <w:top w:w="0" w:type="dxa"/>
              <w:left w:w="108" w:type="dxa"/>
              <w:bottom w:w="0" w:type="dxa"/>
              <w:right w:w="108" w:type="dxa"/>
            </w:tcMar>
          </w:tcPr>
          <w:p w:rsidR="00243E34" w:rsidRPr="00ED66B6" w:rsidRDefault="00243E34" w:rsidP="00243E34">
            <w:pPr>
              <w:keepLines/>
              <w:rPr>
                <w:rFonts w:cs="Arial"/>
              </w:rPr>
            </w:pPr>
          </w:p>
          <w:p w:rsidR="00243E34" w:rsidRPr="00ED66B6" w:rsidRDefault="00243E34" w:rsidP="00243E34">
            <w:pPr>
              <w:keepLines/>
              <w:rPr>
                <w:rFonts w:cs="Arial"/>
              </w:rPr>
            </w:pPr>
            <w:r w:rsidRPr="00ED66B6">
              <w:rPr>
                <w:rFonts w:cs="Arial"/>
              </w:rPr>
              <w:t>As above.</w:t>
            </w:r>
          </w:p>
        </w:tc>
      </w:tr>
      <w:tr w:rsidR="00243E34" w:rsidTr="00243E34">
        <w:tc>
          <w:tcPr>
            <w:tcW w:w="328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lastRenderedPageBreak/>
              <w:t xml:space="preserve">Reflect upon methodological questions of comparative, global and ‘green’ textual study, in relation to issues such as canon formation, new interpretive reading strategies and cultural reception at different times.  </w:t>
            </w:r>
          </w:p>
          <w:p w:rsidR="00243E34" w:rsidRPr="00ED66B6" w:rsidRDefault="00243E34" w:rsidP="00243E34">
            <w:pPr>
              <w:keepLines/>
              <w:rPr>
                <w:rFonts w:cs="Arial"/>
              </w:rPr>
            </w:pPr>
          </w:p>
          <w:p w:rsidR="00243E34" w:rsidRPr="00ED66B6" w:rsidRDefault="00243E34" w:rsidP="00243E34">
            <w:pPr>
              <w:keepLines/>
              <w:rPr>
                <w:rFonts w:cs="Arial"/>
              </w:rPr>
            </w:pPr>
          </w:p>
        </w:tc>
        <w:tc>
          <w:tcPr>
            <w:tcW w:w="2127"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Sessions designed to encourage students to compare and contrast the issues raised in different themed sessions.</w:t>
            </w:r>
          </w:p>
          <w:p w:rsidR="00243E34" w:rsidRPr="00ED66B6" w:rsidRDefault="00243E34" w:rsidP="00243E34">
            <w:pPr>
              <w:keepLines/>
              <w:rPr>
                <w:rFonts w:cs="Arial"/>
              </w:rPr>
            </w:pPr>
          </w:p>
          <w:p w:rsidR="00243E34" w:rsidRPr="00ED66B6" w:rsidRDefault="00243E34" w:rsidP="00243E34">
            <w:pPr>
              <w:keepLines/>
              <w:rPr>
                <w:rFonts w:cs="Arial"/>
              </w:rPr>
            </w:pPr>
          </w:p>
        </w:tc>
        <w:tc>
          <w:tcPr>
            <w:tcW w:w="365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As above.</w:t>
            </w:r>
          </w:p>
        </w:tc>
      </w:tr>
      <w:tr w:rsidR="00243E34" w:rsidTr="00243E34">
        <w:tc>
          <w:tcPr>
            <w:tcW w:w="328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 xml:space="preserve">Address insightfully the critical and political opportunities available in the use of both a world literary methodology and an </w:t>
            </w:r>
            <w:proofErr w:type="spellStart"/>
            <w:r w:rsidRPr="00ED66B6">
              <w:rPr>
                <w:rFonts w:cs="Arial"/>
              </w:rPr>
              <w:t>ecocritical</w:t>
            </w:r>
            <w:proofErr w:type="spellEnd"/>
            <w:r w:rsidRPr="00ED66B6">
              <w:rPr>
                <w:rFonts w:cs="Arial"/>
              </w:rPr>
              <w:t xml:space="preserve"> context. </w:t>
            </w:r>
          </w:p>
          <w:p w:rsidR="00243E34" w:rsidRPr="00ED66B6" w:rsidRDefault="00243E34" w:rsidP="00243E34">
            <w:pPr>
              <w:keepLines/>
              <w:rPr>
                <w:rFonts w:cs="Arial"/>
              </w:rPr>
            </w:pPr>
          </w:p>
          <w:p w:rsidR="00243E34" w:rsidRPr="00ED66B6" w:rsidRDefault="00243E34" w:rsidP="00243E34">
            <w:pPr>
              <w:keepLines/>
              <w:rPr>
                <w:rFonts w:cs="Arial"/>
              </w:rPr>
            </w:pPr>
          </w:p>
        </w:tc>
        <w:tc>
          <w:tcPr>
            <w:tcW w:w="2127"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The introductory sessions will draw particular attention to this aspect of the course.</w:t>
            </w:r>
          </w:p>
        </w:tc>
        <w:tc>
          <w:tcPr>
            <w:tcW w:w="365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As abov</w:t>
            </w:r>
            <w:bookmarkStart w:id="0" w:name="_GoBack"/>
            <w:bookmarkEnd w:id="0"/>
            <w:r w:rsidRPr="00ED66B6">
              <w:rPr>
                <w:rFonts w:cs="Arial"/>
              </w:rPr>
              <w:t>e.</w:t>
            </w:r>
          </w:p>
        </w:tc>
      </w:tr>
      <w:tr w:rsidR="00243E34" w:rsidTr="00243E34">
        <w:tc>
          <w:tcPr>
            <w:tcW w:w="3289" w:type="dxa"/>
            <w:tcMar>
              <w:top w:w="0" w:type="dxa"/>
              <w:left w:w="108" w:type="dxa"/>
              <w:bottom w:w="0" w:type="dxa"/>
              <w:right w:w="108" w:type="dxa"/>
            </w:tcMar>
          </w:tcPr>
          <w:p w:rsidR="00243E34" w:rsidRPr="00ED66B6" w:rsidRDefault="00243E34" w:rsidP="00243E34">
            <w:pPr>
              <w:keepLines/>
              <w:rPr>
                <w:rFonts w:cs="Arial"/>
              </w:rPr>
            </w:pPr>
            <w:r w:rsidRPr="00ED66B6">
              <w:rPr>
                <w:rFonts w:cs="Arial"/>
              </w:rPr>
              <w:t>Develop an essay theme designed to cover one aspect of the course in greater depth, but also, to convey a comparative awareness of some of the wider literary and historical issues raised.</w:t>
            </w:r>
          </w:p>
          <w:p w:rsidR="00243E34" w:rsidRPr="00ED66B6" w:rsidRDefault="00243E34" w:rsidP="00243E34">
            <w:pPr>
              <w:keepLines/>
              <w:rPr>
                <w:rFonts w:cs="Arial"/>
              </w:rPr>
            </w:pPr>
          </w:p>
          <w:p w:rsidR="00243E34" w:rsidRPr="00ED66B6" w:rsidRDefault="00243E34" w:rsidP="00243E34">
            <w:pPr>
              <w:keepLines/>
              <w:rPr>
                <w:rFonts w:cs="Arial"/>
              </w:rPr>
            </w:pPr>
            <w:r w:rsidRPr="00ED66B6">
              <w:rPr>
                <w:rFonts w:cs="Arial"/>
              </w:rPr>
              <w:t xml:space="preserve">Develop an introductory research topic on a related area of the course for a </w:t>
            </w:r>
            <w:proofErr w:type="spellStart"/>
            <w:r w:rsidRPr="00ED66B6">
              <w:rPr>
                <w:rFonts w:cs="Arial"/>
              </w:rPr>
              <w:t>qualificatory</w:t>
            </w:r>
            <w:proofErr w:type="spellEnd"/>
            <w:r w:rsidRPr="00ED66B6">
              <w:rPr>
                <w:rFonts w:cs="Arial"/>
              </w:rPr>
              <w:t xml:space="preserve"> writing project. </w:t>
            </w:r>
          </w:p>
          <w:p w:rsidR="00243E34" w:rsidRPr="00ED66B6" w:rsidRDefault="00243E34" w:rsidP="00243E34">
            <w:pPr>
              <w:keepLines/>
              <w:rPr>
                <w:rFonts w:cs="Arial"/>
              </w:rPr>
            </w:pPr>
          </w:p>
        </w:tc>
        <w:tc>
          <w:tcPr>
            <w:tcW w:w="2127" w:type="dxa"/>
            <w:tcMar>
              <w:top w:w="0" w:type="dxa"/>
              <w:left w:w="108" w:type="dxa"/>
              <w:bottom w:w="0" w:type="dxa"/>
              <w:right w:w="108" w:type="dxa"/>
            </w:tcMar>
          </w:tcPr>
          <w:p w:rsidR="00243E34" w:rsidRPr="00ED66B6" w:rsidRDefault="00ED66B6" w:rsidP="00243E34">
            <w:pPr>
              <w:keepLines/>
              <w:rPr>
                <w:rFonts w:cs="Arial"/>
              </w:rPr>
            </w:pPr>
            <w:r w:rsidRPr="00ED66B6">
              <w:rPr>
                <w:rFonts w:cs="Arial"/>
              </w:rPr>
              <w:t>Essay surgeries in week 9-10.</w:t>
            </w:r>
          </w:p>
          <w:p w:rsidR="00243E34" w:rsidRPr="00ED66B6" w:rsidRDefault="00243E34" w:rsidP="00243E34">
            <w:pPr>
              <w:keepLines/>
              <w:rPr>
                <w:rFonts w:cs="Arial"/>
              </w:rPr>
            </w:pPr>
            <w:r w:rsidRPr="00ED66B6">
              <w:rPr>
                <w:rFonts w:cs="Arial"/>
              </w:rPr>
              <w:t xml:space="preserve">A </w:t>
            </w:r>
            <w:proofErr w:type="spellStart"/>
            <w:r w:rsidRPr="00ED66B6">
              <w:rPr>
                <w:rFonts w:cs="Arial"/>
              </w:rPr>
              <w:t>qualificatory</w:t>
            </w:r>
            <w:proofErr w:type="spellEnd"/>
            <w:r w:rsidRPr="00ED66B6">
              <w:rPr>
                <w:rFonts w:cs="Arial"/>
              </w:rPr>
              <w:t xml:space="preserve"> research exercise involving a reflective piece (2000 words) demonstrating ability to develop research into an area relevant to the topic but not covered in the course schedule. This is a course requirement: students must meet a ‘passable’ standard. </w:t>
            </w:r>
          </w:p>
        </w:tc>
        <w:tc>
          <w:tcPr>
            <w:tcW w:w="3659" w:type="dxa"/>
            <w:tcMar>
              <w:top w:w="0" w:type="dxa"/>
              <w:left w:w="108" w:type="dxa"/>
              <w:bottom w:w="0" w:type="dxa"/>
              <w:right w:w="108" w:type="dxa"/>
            </w:tcMar>
          </w:tcPr>
          <w:p w:rsidR="00243E34" w:rsidRPr="00ED66B6" w:rsidRDefault="00ED66B6" w:rsidP="00243E34">
            <w:pPr>
              <w:keepLines/>
              <w:rPr>
                <w:rFonts w:cs="Arial"/>
              </w:rPr>
            </w:pPr>
            <w:r w:rsidRPr="00ED66B6">
              <w:rPr>
                <w:rFonts w:cs="Arial"/>
              </w:rPr>
              <w:t>As above.</w:t>
            </w:r>
            <w:r w:rsidR="00243E34" w:rsidRPr="00ED66B6">
              <w:rPr>
                <w:rFonts w:cs="Arial"/>
              </w:rPr>
              <w:t xml:space="preserve"> </w:t>
            </w:r>
          </w:p>
        </w:tc>
      </w:tr>
    </w:tbl>
    <w:p w:rsidR="00FB3400" w:rsidRDefault="00FB3400"/>
    <w:sectPr w:rsidR="00FB3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B"/>
    <w:rsid w:val="00243E34"/>
    <w:rsid w:val="006619A1"/>
    <w:rsid w:val="006C184D"/>
    <w:rsid w:val="00A6249E"/>
    <w:rsid w:val="00B512CE"/>
    <w:rsid w:val="00C7420B"/>
    <w:rsid w:val="00ED66B6"/>
    <w:rsid w:val="00FB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86C0-2BD3-47EC-9D03-E4F6178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249E"/>
    <w:pPr>
      <w:spacing w:after="0" w:line="240" w:lineRule="auto"/>
    </w:pPr>
    <w:rPr>
      <w:rFonts w:ascii="Helvetica" w:eastAsia="Arial Unicode MS" w:hAnsi="Helvetica"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796786DC</Template>
  <TotalTime>9</TotalTime>
  <Pages>2</Pages>
  <Words>405</Words>
  <Characters>2314</Characters>
  <Application>Microsoft Office Word</Application>
  <DocSecurity>0</DocSecurity>
  <Lines>19</Lines>
  <Paragraphs>5</Paragraphs>
  <ScaleCrop>false</ScaleCrop>
  <Company>University of Warwick</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Daniel</dc:creator>
  <cp:keywords/>
  <dc:description/>
  <cp:lastModifiedBy>Roper, Daniel</cp:lastModifiedBy>
  <cp:revision>6</cp:revision>
  <dcterms:created xsi:type="dcterms:W3CDTF">2017-01-04T14:55:00Z</dcterms:created>
  <dcterms:modified xsi:type="dcterms:W3CDTF">2017-01-06T16:04:00Z</dcterms:modified>
</cp:coreProperties>
</file>