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9E" w:rsidRDefault="00A6249E" w:rsidP="00A6249E">
      <w:pPr>
        <w:jc w:val="both"/>
        <w:rPr>
          <w:rFonts w:ascii="Calibri" w:hAnsi="Calibri"/>
          <w:b/>
          <w:sz w:val="28"/>
          <w:szCs w:val="28"/>
        </w:rPr>
      </w:pPr>
      <w:r>
        <w:rPr>
          <w:rFonts w:ascii="Calibri" w:hAnsi="Calibri"/>
          <w:b/>
          <w:sz w:val="28"/>
          <w:szCs w:val="28"/>
        </w:rPr>
        <w:t>Module Specification</w:t>
      </w:r>
    </w:p>
    <w:p w:rsidR="00A6249E" w:rsidRDefault="00A6249E" w:rsidP="00A6249E">
      <w:pPr>
        <w:rPr>
          <w:b/>
          <w:sz w:val="28"/>
          <w:szCs w:val="28"/>
        </w:rPr>
      </w:pPr>
    </w:p>
    <w:tbl>
      <w:tblPr>
        <w:tblW w:w="9075" w:type="dxa"/>
        <w:tblInd w:w="108"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722"/>
        <w:gridCol w:w="2969"/>
        <w:gridCol w:w="3384"/>
      </w:tblGrid>
      <w:tr w:rsidR="00A6249E" w:rsidTr="0048089D">
        <w:tc>
          <w:tcPr>
            <w:tcW w:w="2722" w:type="dxa"/>
            <w:hideMark/>
          </w:tcPr>
          <w:p w:rsidR="00A6249E" w:rsidRDefault="00A6249E">
            <w:pPr>
              <w:keepLines/>
              <w:rPr>
                <w:rFonts w:ascii="Calibri" w:hAnsi="Calibri" w:cs="Arial"/>
                <w:b/>
                <w:sz w:val="24"/>
                <w:szCs w:val="24"/>
              </w:rPr>
            </w:pPr>
            <w:r>
              <w:rPr>
                <w:rFonts w:ascii="Calibri" w:hAnsi="Calibri" w:cs="Arial"/>
                <w:b/>
                <w:sz w:val="24"/>
                <w:szCs w:val="24"/>
              </w:rPr>
              <w:t xml:space="preserve">Module Code </w:t>
            </w:r>
          </w:p>
        </w:tc>
        <w:tc>
          <w:tcPr>
            <w:tcW w:w="6353" w:type="dxa"/>
            <w:gridSpan w:val="2"/>
            <w:hideMark/>
          </w:tcPr>
          <w:p w:rsidR="00A6249E" w:rsidRDefault="00D3478F">
            <w:pPr>
              <w:keepLines/>
              <w:jc w:val="both"/>
              <w:rPr>
                <w:rFonts w:ascii="Calibri" w:hAnsi="Calibri" w:cs="Arial"/>
              </w:rPr>
            </w:pPr>
            <w:r>
              <w:rPr>
                <w:rFonts w:ascii="Calibri" w:hAnsi="Calibri" w:cs="Arial"/>
              </w:rPr>
              <w:t>EN942</w:t>
            </w:r>
          </w:p>
        </w:tc>
      </w:tr>
      <w:tr w:rsidR="00A6249E" w:rsidTr="0048089D">
        <w:tc>
          <w:tcPr>
            <w:tcW w:w="2722" w:type="dxa"/>
            <w:hideMark/>
          </w:tcPr>
          <w:p w:rsidR="00A6249E" w:rsidRDefault="00A6249E">
            <w:pPr>
              <w:keepLines/>
              <w:rPr>
                <w:rFonts w:ascii="Calibri" w:hAnsi="Calibri" w:cs="Arial"/>
                <w:b/>
                <w:sz w:val="24"/>
                <w:szCs w:val="24"/>
              </w:rPr>
            </w:pPr>
            <w:r>
              <w:rPr>
                <w:rFonts w:ascii="Calibri" w:hAnsi="Calibri" w:cs="Arial"/>
                <w:b/>
                <w:sz w:val="24"/>
                <w:szCs w:val="24"/>
              </w:rPr>
              <w:t>Module Title</w:t>
            </w:r>
          </w:p>
        </w:tc>
        <w:tc>
          <w:tcPr>
            <w:tcW w:w="6353" w:type="dxa"/>
            <w:gridSpan w:val="2"/>
            <w:hideMark/>
          </w:tcPr>
          <w:p w:rsidR="00A6249E" w:rsidRDefault="00D3478F">
            <w:pPr>
              <w:keepLines/>
              <w:jc w:val="both"/>
              <w:rPr>
                <w:rFonts w:ascii="Calibri" w:hAnsi="Calibri" w:cs="Arial"/>
              </w:rPr>
            </w:pPr>
            <w:r w:rsidRPr="00D3478F">
              <w:rPr>
                <w:rFonts w:ascii="Calibri" w:hAnsi="Calibri" w:cs="Arial"/>
              </w:rPr>
              <w:t>World Literature &amp; World Systems: A New Model for Literary Studies</w:t>
            </w:r>
          </w:p>
        </w:tc>
      </w:tr>
      <w:tr w:rsidR="00A6249E" w:rsidTr="00D3478F">
        <w:tc>
          <w:tcPr>
            <w:tcW w:w="9075" w:type="dxa"/>
            <w:gridSpan w:val="3"/>
            <w:shd w:val="pct25" w:color="auto" w:fill="auto"/>
            <w:hideMark/>
          </w:tcPr>
          <w:p w:rsidR="00A6249E" w:rsidRDefault="00A6249E">
            <w:pPr>
              <w:keepLines/>
              <w:jc w:val="both"/>
              <w:rPr>
                <w:rFonts w:ascii="Calibri" w:hAnsi="Calibri" w:cs="Arial"/>
                <w:sz w:val="24"/>
                <w:szCs w:val="24"/>
              </w:rPr>
            </w:pPr>
            <w:r>
              <w:rPr>
                <w:rFonts w:ascii="Calibri" w:hAnsi="Calibri" w:cs="Arial"/>
                <w:b/>
                <w:sz w:val="24"/>
                <w:szCs w:val="24"/>
              </w:rPr>
              <w:t>Module Aims</w:t>
            </w:r>
          </w:p>
        </w:tc>
      </w:tr>
      <w:tr w:rsidR="00A6249E" w:rsidTr="00D3478F">
        <w:trPr>
          <w:tblHeader/>
        </w:trPr>
        <w:tc>
          <w:tcPr>
            <w:tcW w:w="9075" w:type="dxa"/>
            <w:gridSpan w:val="3"/>
            <w:shd w:val="clear" w:color="auto" w:fill="FFFFFF" w:themeFill="background1"/>
            <w:tcMar>
              <w:top w:w="0" w:type="dxa"/>
              <w:left w:w="108" w:type="dxa"/>
              <w:bottom w:w="0" w:type="dxa"/>
              <w:right w:w="108" w:type="dxa"/>
            </w:tcMar>
            <w:hideMark/>
          </w:tcPr>
          <w:p w:rsidR="00A6249E" w:rsidRDefault="0048089D" w:rsidP="005765D5">
            <w:pPr>
              <w:keepLines/>
              <w:rPr>
                <w:rFonts w:ascii="Calibri" w:hAnsi="Calibri" w:cs="Arial"/>
                <w:sz w:val="24"/>
                <w:szCs w:val="24"/>
              </w:rPr>
            </w:pPr>
            <w:r w:rsidRPr="0048089D">
              <w:rPr>
                <w:rStyle w:val="c3"/>
              </w:rPr>
              <w:t>To familiarize students with the basic methodological and theoretical debates, context, and concerns for the contemporary study of world literature, as a disciplinary field incorporating and displacing comparative literary, postcolonial, and area cultural studies. The module will form the requirement for the MA World Literature.</w:t>
            </w:r>
            <w:bookmarkStart w:id="0" w:name="_GoBack"/>
            <w:bookmarkEnd w:id="0"/>
          </w:p>
        </w:tc>
      </w:tr>
      <w:tr w:rsidR="00A6249E" w:rsidTr="00D3478F">
        <w:trPr>
          <w:tblHeader/>
        </w:trPr>
        <w:tc>
          <w:tcPr>
            <w:tcW w:w="9075" w:type="dxa"/>
            <w:gridSpan w:val="3"/>
            <w:shd w:val="clear" w:color="auto" w:fill="BFBFBF"/>
            <w:tcMar>
              <w:top w:w="0" w:type="dxa"/>
              <w:left w:w="108" w:type="dxa"/>
              <w:bottom w:w="0" w:type="dxa"/>
              <w:right w:w="108" w:type="dxa"/>
            </w:tcMar>
            <w:hideMark/>
          </w:tcPr>
          <w:p w:rsidR="00A6249E" w:rsidRDefault="00A6249E">
            <w:pPr>
              <w:keepLines/>
              <w:rPr>
                <w:rFonts w:ascii="Calibri" w:hAnsi="Calibri" w:cs="Arial"/>
                <w:b/>
                <w:sz w:val="24"/>
                <w:szCs w:val="24"/>
              </w:rPr>
            </w:pPr>
            <w:r>
              <w:rPr>
                <w:rFonts w:ascii="Calibri" w:hAnsi="Calibri" w:cs="Arial"/>
                <w:b/>
                <w:sz w:val="24"/>
                <w:szCs w:val="24"/>
              </w:rPr>
              <w:t>Learning Outcomes</w:t>
            </w:r>
          </w:p>
        </w:tc>
      </w:tr>
      <w:tr w:rsidR="00A6249E" w:rsidTr="0048089D">
        <w:trPr>
          <w:tblHeader/>
        </w:trPr>
        <w:tc>
          <w:tcPr>
            <w:tcW w:w="2722" w:type="dxa"/>
            <w:tcMar>
              <w:top w:w="0" w:type="dxa"/>
              <w:left w:w="108" w:type="dxa"/>
              <w:bottom w:w="0" w:type="dxa"/>
              <w:right w:w="108" w:type="dxa"/>
            </w:tcMar>
            <w:hideMark/>
          </w:tcPr>
          <w:p w:rsidR="00A6249E" w:rsidRDefault="00A6249E">
            <w:pPr>
              <w:keepLines/>
              <w:rPr>
                <w:rFonts w:ascii="Calibri" w:hAnsi="Calibri" w:cs="Arial"/>
                <w:b/>
              </w:rPr>
            </w:pPr>
            <w:r>
              <w:rPr>
                <w:rFonts w:ascii="Calibri" w:hAnsi="Calibri" w:cs="Arial"/>
                <w:b/>
              </w:rPr>
              <w:t>By the end of the module the student should be able to....</w:t>
            </w:r>
          </w:p>
        </w:tc>
        <w:tc>
          <w:tcPr>
            <w:tcW w:w="2969" w:type="dxa"/>
            <w:tcMar>
              <w:top w:w="0" w:type="dxa"/>
              <w:left w:w="108" w:type="dxa"/>
              <w:bottom w:w="0" w:type="dxa"/>
              <w:right w:w="108" w:type="dxa"/>
            </w:tcMar>
            <w:hideMark/>
          </w:tcPr>
          <w:p w:rsidR="00A6249E" w:rsidRDefault="00A6249E">
            <w:pPr>
              <w:keepLines/>
              <w:rPr>
                <w:rFonts w:ascii="Calibri" w:hAnsi="Calibri" w:cs="Arial"/>
                <w:b/>
              </w:rPr>
            </w:pPr>
            <w:r>
              <w:rPr>
                <w:rFonts w:ascii="Calibri" w:hAnsi="Calibri" w:cs="Arial"/>
                <w:b/>
              </w:rPr>
              <w:t>Which teaching and learning methods enable students to achieve this learning outcome?</w:t>
            </w:r>
          </w:p>
        </w:tc>
        <w:tc>
          <w:tcPr>
            <w:tcW w:w="3384" w:type="dxa"/>
            <w:tcMar>
              <w:top w:w="0" w:type="dxa"/>
              <w:left w:w="108" w:type="dxa"/>
              <w:bottom w:w="0" w:type="dxa"/>
              <w:right w:w="108" w:type="dxa"/>
            </w:tcMar>
            <w:hideMark/>
          </w:tcPr>
          <w:p w:rsidR="00A6249E" w:rsidRDefault="00A6249E">
            <w:pPr>
              <w:keepLines/>
              <w:rPr>
                <w:rFonts w:ascii="Calibri" w:hAnsi="Calibri" w:cs="Arial"/>
                <w:b/>
              </w:rPr>
            </w:pPr>
            <w:r>
              <w:rPr>
                <w:rFonts w:ascii="Calibri" w:hAnsi="Calibri" w:cs="Arial"/>
                <w:b/>
              </w:rPr>
              <w:t>Which summative assessment methods will measure the achievement of this learning outcome?</w:t>
            </w:r>
          </w:p>
        </w:tc>
      </w:tr>
      <w:tr w:rsidR="0048089D" w:rsidTr="0048089D">
        <w:tc>
          <w:tcPr>
            <w:tcW w:w="2722" w:type="dxa"/>
            <w:tcMar>
              <w:top w:w="0" w:type="dxa"/>
              <w:left w:w="108" w:type="dxa"/>
              <w:bottom w:w="0" w:type="dxa"/>
              <w:right w:w="108" w:type="dxa"/>
            </w:tcMar>
          </w:tcPr>
          <w:p w:rsidR="0048089D" w:rsidRPr="0048089D" w:rsidRDefault="0048089D" w:rsidP="0048089D">
            <w:pPr>
              <w:keepLines/>
              <w:rPr>
                <w:rFonts w:cs="Arial"/>
              </w:rPr>
            </w:pPr>
            <w:r w:rsidRPr="0048089D">
              <w:rPr>
                <w:rFonts w:cs="Arial"/>
              </w:rPr>
              <w:t>Analyse, within a fully theorised historical and political context, the methodological and theoretical issues involved in the study of world literature.</w:t>
            </w:r>
          </w:p>
        </w:tc>
        <w:tc>
          <w:tcPr>
            <w:tcW w:w="2969" w:type="dxa"/>
            <w:tcMar>
              <w:top w:w="0" w:type="dxa"/>
              <w:left w:w="108" w:type="dxa"/>
              <w:bottom w:w="0" w:type="dxa"/>
              <w:right w:w="108" w:type="dxa"/>
            </w:tcMar>
          </w:tcPr>
          <w:p w:rsidR="0048089D" w:rsidRPr="0048089D" w:rsidRDefault="0048089D" w:rsidP="0048089D">
            <w:pPr>
              <w:keepLines/>
              <w:rPr>
                <w:rFonts w:cs="Arial"/>
              </w:rPr>
            </w:pPr>
            <w:r w:rsidRPr="0048089D">
              <w:rPr>
                <w:rFonts w:cs="Arial"/>
              </w:rPr>
              <w:t>Weekly core sessions, inviting close reading of designated historical, literary critical, and theoretical essays.</w:t>
            </w:r>
          </w:p>
        </w:tc>
        <w:tc>
          <w:tcPr>
            <w:tcW w:w="3384" w:type="dxa"/>
            <w:tcMar>
              <w:top w:w="0" w:type="dxa"/>
              <w:left w:w="108" w:type="dxa"/>
              <w:bottom w:w="0" w:type="dxa"/>
              <w:right w:w="108" w:type="dxa"/>
            </w:tcMar>
          </w:tcPr>
          <w:p w:rsidR="0048089D" w:rsidRPr="0048089D" w:rsidRDefault="0048089D" w:rsidP="0048089D">
            <w:pPr>
              <w:keepLines/>
              <w:rPr>
                <w:rFonts w:cs="Arial"/>
              </w:rPr>
            </w:pPr>
            <w:r w:rsidRPr="0048089D">
              <w:rPr>
                <w:rFonts w:cs="Arial"/>
              </w:rPr>
              <w:t>6000-, 8,000, or 10,000-word essay (English Department) or 5000-word essay (other departments). Students will select an essay topic of relevance to one or two of the core sessions, but with the option of bringing their own research interests into play.</w:t>
            </w:r>
          </w:p>
        </w:tc>
      </w:tr>
      <w:tr w:rsidR="0048089D" w:rsidTr="0048089D">
        <w:tc>
          <w:tcPr>
            <w:tcW w:w="2722" w:type="dxa"/>
            <w:tcMar>
              <w:top w:w="0" w:type="dxa"/>
              <w:left w:w="108" w:type="dxa"/>
              <w:bottom w:w="0" w:type="dxa"/>
              <w:right w:w="108" w:type="dxa"/>
            </w:tcMar>
          </w:tcPr>
          <w:p w:rsidR="0048089D" w:rsidRPr="0048089D" w:rsidRDefault="0048089D" w:rsidP="0048089D">
            <w:pPr>
              <w:keepLines/>
              <w:rPr>
                <w:rFonts w:cs="Arial"/>
              </w:rPr>
            </w:pPr>
            <w:r w:rsidRPr="0048089D">
              <w:rPr>
                <w:rFonts w:cs="Arial"/>
              </w:rPr>
              <w:t xml:space="preserve">Relate the writing to the material and ideological conditions of their production, as well as to the cultural field of their historical era. </w:t>
            </w:r>
          </w:p>
        </w:tc>
        <w:tc>
          <w:tcPr>
            <w:tcW w:w="2969" w:type="dxa"/>
            <w:tcMar>
              <w:top w:w="0" w:type="dxa"/>
              <w:left w:w="108" w:type="dxa"/>
              <w:bottom w:w="0" w:type="dxa"/>
              <w:right w:w="108" w:type="dxa"/>
            </w:tcMar>
          </w:tcPr>
          <w:p w:rsidR="0048089D" w:rsidRPr="0048089D" w:rsidRDefault="0048089D" w:rsidP="0048089D">
            <w:pPr>
              <w:keepLines/>
              <w:rPr>
                <w:rFonts w:cs="Arial"/>
              </w:rPr>
            </w:pPr>
          </w:p>
          <w:p w:rsidR="0048089D" w:rsidRPr="0048089D" w:rsidRDefault="0048089D" w:rsidP="0048089D">
            <w:pPr>
              <w:keepLines/>
              <w:rPr>
                <w:rFonts w:cs="Arial"/>
              </w:rPr>
            </w:pPr>
            <w:r w:rsidRPr="0048089D">
              <w:rPr>
                <w:rFonts w:cs="Arial"/>
              </w:rPr>
              <w:t xml:space="preserve">Students will prepare short presentations for the weekly class.   </w:t>
            </w:r>
          </w:p>
        </w:tc>
        <w:tc>
          <w:tcPr>
            <w:tcW w:w="3384" w:type="dxa"/>
            <w:tcMar>
              <w:top w:w="0" w:type="dxa"/>
              <w:left w:w="108" w:type="dxa"/>
              <w:bottom w:w="0" w:type="dxa"/>
              <w:right w:w="108" w:type="dxa"/>
            </w:tcMar>
          </w:tcPr>
          <w:p w:rsidR="0048089D" w:rsidRPr="0048089D" w:rsidRDefault="0048089D" w:rsidP="0048089D">
            <w:pPr>
              <w:keepLines/>
              <w:rPr>
                <w:rFonts w:cs="Arial"/>
              </w:rPr>
            </w:pPr>
          </w:p>
          <w:p w:rsidR="0048089D" w:rsidRPr="0048089D" w:rsidRDefault="0048089D" w:rsidP="0048089D">
            <w:pPr>
              <w:keepLines/>
              <w:rPr>
                <w:rFonts w:cs="Arial"/>
              </w:rPr>
            </w:pPr>
            <w:r w:rsidRPr="0048089D">
              <w:rPr>
                <w:rFonts w:cs="Arial"/>
              </w:rPr>
              <w:t>As above.</w:t>
            </w:r>
          </w:p>
        </w:tc>
      </w:tr>
      <w:tr w:rsidR="0048089D" w:rsidTr="0048089D">
        <w:tc>
          <w:tcPr>
            <w:tcW w:w="2722" w:type="dxa"/>
            <w:tcMar>
              <w:top w:w="0" w:type="dxa"/>
              <w:left w:w="108" w:type="dxa"/>
              <w:bottom w:w="0" w:type="dxa"/>
              <w:right w:w="108" w:type="dxa"/>
            </w:tcMar>
          </w:tcPr>
          <w:p w:rsidR="0048089D" w:rsidRPr="0048089D" w:rsidRDefault="0048089D" w:rsidP="0048089D">
            <w:pPr>
              <w:keepLines/>
              <w:rPr>
                <w:rFonts w:cs="Arial"/>
              </w:rPr>
            </w:pPr>
            <w:r w:rsidRPr="0048089D">
              <w:rPr>
                <w:rFonts w:cs="Arial"/>
              </w:rPr>
              <w:t xml:space="preserve">Develop an understanding of world literature and associated debates about cultural temporality and spatiality and their relation to cultural production. </w:t>
            </w:r>
          </w:p>
        </w:tc>
        <w:tc>
          <w:tcPr>
            <w:tcW w:w="2969" w:type="dxa"/>
            <w:tcMar>
              <w:top w:w="0" w:type="dxa"/>
              <w:left w:w="108" w:type="dxa"/>
              <w:bottom w:w="0" w:type="dxa"/>
              <w:right w:w="108" w:type="dxa"/>
            </w:tcMar>
          </w:tcPr>
          <w:p w:rsidR="0048089D" w:rsidRPr="0048089D" w:rsidRDefault="0048089D" w:rsidP="0048089D">
            <w:pPr>
              <w:keepLines/>
              <w:rPr>
                <w:rFonts w:cs="Arial"/>
              </w:rPr>
            </w:pPr>
            <w:r w:rsidRPr="0048089D">
              <w:rPr>
                <w:rFonts w:cs="Arial"/>
              </w:rPr>
              <w:t>Students will present their weekly response in class on a rotating basis, allowing them to lead off with questions concerning the reading.</w:t>
            </w:r>
          </w:p>
          <w:p w:rsidR="0048089D" w:rsidRPr="0048089D" w:rsidRDefault="0048089D" w:rsidP="0048089D">
            <w:pPr>
              <w:keepLines/>
              <w:rPr>
                <w:rFonts w:cs="Arial"/>
              </w:rPr>
            </w:pPr>
          </w:p>
        </w:tc>
        <w:tc>
          <w:tcPr>
            <w:tcW w:w="3384" w:type="dxa"/>
            <w:tcMar>
              <w:top w:w="0" w:type="dxa"/>
              <w:left w:w="108" w:type="dxa"/>
              <w:bottom w:w="0" w:type="dxa"/>
              <w:right w:w="108" w:type="dxa"/>
            </w:tcMar>
          </w:tcPr>
          <w:p w:rsidR="0048089D" w:rsidRPr="0048089D" w:rsidRDefault="0048089D" w:rsidP="0048089D">
            <w:pPr>
              <w:keepLines/>
              <w:rPr>
                <w:rFonts w:cs="Arial"/>
              </w:rPr>
            </w:pPr>
          </w:p>
          <w:p w:rsidR="0048089D" w:rsidRPr="0048089D" w:rsidRDefault="0048089D" w:rsidP="0048089D">
            <w:pPr>
              <w:keepLines/>
              <w:rPr>
                <w:rFonts w:cs="Arial"/>
              </w:rPr>
            </w:pPr>
            <w:r w:rsidRPr="0048089D">
              <w:rPr>
                <w:rFonts w:cs="Arial"/>
              </w:rPr>
              <w:t>As above.</w:t>
            </w:r>
          </w:p>
        </w:tc>
      </w:tr>
      <w:tr w:rsidR="0048089D" w:rsidTr="0048089D">
        <w:tc>
          <w:tcPr>
            <w:tcW w:w="2722" w:type="dxa"/>
            <w:tcMar>
              <w:top w:w="0" w:type="dxa"/>
              <w:left w:w="108" w:type="dxa"/>
              <w:bottom w:w="0" w:type="dxa"/>
              <w:right w:w="108" w:type="dxa"/>
            </w:tcMar>
          </w:tcPr>
          <w:p w:rsidR="0048089D" w:rsidRPr="0048089D" w:rsidRDefault="0048089D" w:rsidP="0048089D">
            <w:pPr>
              <w:keepLines/>
              <w:rPr>
                <w:rFonts w:cs="Arial"/>
              </w:rPr>
            </w:pPr>
            <w:r w:rsidRPr="0048089D">
              <w:rPr>
                <w:rFonts w:cs="Arial"/>
              </w:rPr>
              <w:lastRenderedPageBreak/>
              <w:t>Develop an essay topic designed to cover one aspect of the course in greater depth, at the same time broaching a theoretical question drawn from the secondary reading.</w:t>
            </w:r>
          </w:p>
        </w:tc>
        <w:tc>
          <w:tcPr>
            <w:tcW w:w="2969" w:type="dxa"/>
            <w:tcMar>
              <w:top w:w="0" w:type="dxa"/>
              <w:left w:w="108" w:type="dxa"/>
              <w:bottom w:w="0" w:type="dxa"/>
              <w:right w:w="108" w:type="dxa"/>
            </w:tcMar>
          </w:tcPr>
          <w:p w:rsidR="0048089D" w:rsidRPr="0048089D" w:rsidRDefault="0048089D" w:rsidP="0048089D">
            <w:pPr>
              <w:keepLines/>
              <w:rPr>
                <w:rFonts w:cs="Arial"/>
              </w:rPr>
            </w:pPr>
          </w:p>
          <w:p w:rsidR="0048089D" w:rsidRPr="0048089D" w:rsidRDefault="0048089D" w:rsidP="0048089D">
            <w:pPr>
              <w:keepLines/>
              <w:rPr>
                <w:rFonts w:cs="Arial"/>
              </w:rPr>
            </w:pPr>
            <w:r w:rsidRPr="0048089D">
              <w:rPr>
                <w:rFonts w:cs="Arial"/>
              </w:rPr>
              <w:t>Essay surgeries in week 9-10.</w:t>
            </w:r>
          </w:p>
        </w:tc>
        <w:tc>
          <w:tcPr>
            <w:tcW w:w="3384" w:type="dxa"/>
            <w:tcMar>
              <w:top w:w="0" w:type="dxa"/>
              <w:left w:w="108" w:type="dxa"/>
              <w:bottom w:w="0" w:type="dxa"/>
              <w:right w:w="108" w:type="dxa"/>
            </w:tcMar>
          </w:tcPr>
          <w:p w:rsidR="0048089D" w:rsidRPr="0048089D" w:rsidRDefault="0048089D" w:rsidP="0048089D">
            <w:pPr>
              <w:keepLines/>
              <w:rPr>
                <w:rFonts w:cs="Arial"/>
              </w:rPr>
            </w:pPr>
          </w:p>
          <w:p w:rsidR="0048089D" w:rsidRPr="0048089D" w:rsidRDefault="0048089D" w:rsidP="0048089D">
            <w:pPr>
              <w:keepLines/>
              <w:rPr>
                <w:rFonts w:cs="Arial"/>
              </w:rPr>
            </w:pPr>
            <w:r w:rsidRPr="0048089D">
              <w:rPr>
                <w:rFonts w:cs="Arial"/>
              </w:rPr>
              <w:t>As above.</w:t>
            </w:r>
          </w:p>
        </w:tc>
      </w:tr>
    </w:tbl>
    <w:p w:rsidR="00FB3400" w:rsidRDefault="00FB3400"/>
    <w:sectPr w:rsidR="00FB3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0B"/>
    <w:rsid w:val="0048089D"/>
    <w:rsid w:val="00516320"/>
    <w:rsid w:val="005765D5"/>
    <w:rsid w:val="006C184D"/>
    <w:rsid w:val="00A6249E"/>
    <w:rsid w:val="00C7420B"/>
    <w:rsid w:val="00D3478F"/>
    <w:rsid w:val="00FB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886C0-2BD3-47EC-9D03-E4F61787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49E"/>
    <w:pPr>
      <w:spacing w:after="0" w:line="240" w:lineRule="auto"/>
    </w:pPr>
    <w:rPr>
      <w:rFonts w:ascii="Helvetica" w:eastAsia="Arial Unicode MS" w:hAnsi="Helvetica" w:cs="Arial Unicode MS"/>
      <w:color w:val="000000"/>
      <w:u w:color="000000"/>
      <w:lang w:val="en-US" w:eastAsia="en-GB"/>
    </w:rPr>
  </w:style>
  <w:style w:type="character" w:customStyle="1" w:styleId="c3">
    <w:name w:val="c3"/>
    <w:basedOn w:val="DefaultParagraphFont"/>
    <w:rsid w:val="00D34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37396">
      <w:bodyDiv w:val="1"/>
      <w:marLeft w:val="0"/>
      <w:marRight w:val="0"/>
      <w:marTop w:val="0"/>
      <w:marBottom w:val="0"/>
      <w:divBdr>
        <w:top w:val="none" w:sz="0" w:space="0" w:color="auto"/>
        <w:left w:val="none" w:sz="0" w:space="0" w:color="auto"/>
        <w:bottom w:val="none" w:sz="0" w:space="0" w:color="auto"/>
        <w:right w:val="none" w:sz="0" w:space="0" w:color="auto"/>
      </w:divBdr>
    </w:div>
    <w:div w:id="16439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57A6A93C</Template>
  <TotalTime>13</TotalTime>
  <Pages>2</Pages>
  <Words>296</Words>
  <Characters>1688</Characters>
  <Application>Microsoft Office Word</Application>
  <DocSecurity>0</DocSecurity>
  <Lines>14</Lines>
  <Paragraphs>3</Paragraphs>
  <ScaleCrop>false</ScaleCrop>
  <Company>University of Warwick</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Daniel</dc:creator>
  <cp:keywords/>
  <dc:description/>
  <cp:lastModifiedBy>Roper, Daniel</cp:lastModifiedBy>
  <cp:revision>6</cp:revision>
  <dcterms:created xsi:type="dcterms:W3CDTF">2017-01-04T14:55:00Z</dcterms:created>
  <dcterms:modified xsi:type="dcterms:W3CDTF">2017-01-06T15:13:00Z</dcterms:modified>
</cp:coreProperties>
</file>