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D7967" w14:textId="40D27087" w:rsidR="00661474" w:rsidRPr="004A1365" w:rsidRDefault="004A1365" w:rsidP="00661474">
      <w:pPr>
        <w:pStyle w:val="NormalWeb"/>
        <w:rPr>
          <w:rFonts w:ascii="Calibri" w:hAnsi="Calibri" w:cs="Calibri"/>
          <w:b/>
          <w:bCs/>
          <w:color w:val="000000" w:themeColor="text1"/>
          <w:sz w:val="22"/>
          <w:szCs w:val="22"/>
        </w:rPr>
      </w:pPr>
      <w:r>
        <w:rPr>
          <w:rFonts w:ascii="Calibri" w:hAnsi="Calibri" w:cs="Calibri"/>
          <w:b/>
          <w:bCs/>
          <w:color w:val="000000" w:themeColor="text1"/>
          <w:sz w:val="22"/>
          <w:szCs w:val="22"/>
        </w:rPr>
        <w:t>Settler Colonialism and the Anthropocene</w:t>
      </w:r>
    </w:p>
    <w:p w14:paraId="5F3DE62F" w14:textId="2171E688"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color w:val="000000" w:themeColor="text1"/>
          <w:sz w:val="22"/>
          <w:szCs w:val="22"/>
        </w:rPr>
        <w:t xml:space="preserve">“Since we are not geologists, we cannot evaluate the dates for their stratigraphic accuracy or scientific merit. However, we would like to propose that this dating of the Anthropocene misses a valuable opportunity for evaluating the concept and opening it up beyond its current Eurocentric framing. Instead, we argue that placing the golden spike at 1610, or from the beginning of the colonial period, names the problem of colonialism as responsible for contemporary environmental crisis. If the Anthropocene is already here, the question then becomes, what can we do with it as a conceptual apparatus that may serve to undermine the conditions that it names? […] we feel that the Anthropocene betrays itself in its name: in its reassertion of universality, it implicitly aligns itself with the colonial era. By making the relations between the Anthropocene and colonialism explicit, we are then in a position to understand our current ecological crisis and to take the steps needed to move away from this </w:t>
      </w:r>
      <w:proofErr w:type="spellStart"/>
      <w:r w:rsidRPr="004A1365">
        <w:rPr>
          <w:rFonts w:ascii="Calibri" w:hAnsi="Calibri" w:cs="Calibri"/>
          <w:color w:val="000000" w:themeColor="text1"/>
          <w:sz w:val="22"/>
          <w:szCs w:val="22"/>
        </w:rPr>
        <w:t>ecocidal</w:t>
      </w:r>
      <w:proofErr w:type="spellEnd"/>
      <w:r w:rsidRPr="004A1365">
        <w:rPr>
          <w:rFonts w:ascii="Calibri" w:hAnsi="Calibri" w:cs="Calibri"/>
          <w:color w:val="000000" w:themeColor="text1"/>
          <w:sz w:val="22"/>
          <w:szCs w:val="22"/>
        </w:rPr>
        <w:t xml:space="preserve"> path […] By linking the Anthropocene with colonization, it draws attention to the violence at its core, and calls for the consideration of Indigenous philosophies and processes of Indigenous self-governance as a necessary political corrective, alongside the self-determination of other communities and societies violently impacted by the white supremacist, colonial, and capitalist logics instantiated in the origins of the Anthropocene.” (Heather Davis and Zoe Todd, “On the Importance of a Date, or Decolonizing the Anthropocene” </w:t>
      </w:r>
      <w:r w:rsidRPr="004A1365">
        <w:rPr>
          <w:rFonts w:ascii="Calibri" w:hAnsi="Calibri" w:cs="Calibri"/>
          <w:i/>
          <w:iCs/>
          <w:color w:val="000000" w:themeColor="text1"/>
          <w:sz w:val="22"/>
          <w:szCs w:val="22"/>
        </w:rPr>
        <w:t>ACME</w:t>
      </w:r>
      <w:r w:rsidRPr="004A1365">
        <w:rPr>
          <w:rFonts w:ascii="Calibri" w:hAnsi="Calibri" w:cs="Calibri"/>
          <w:color w:val="000000" w:themeColor="text1"/>
          <w:sz w:val="22"/>
          <w:szCs w:val="22"/>
        </w:rPr>
        <w:t xml:space="preserve"> 16.4 (2017): 763)</w:t>
      </w:r>
    </w:p>
    <w:p w14:paraId="1868A36E" w14:textId="31BF1247"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color w:val="000000" w:themeColor="text1"/>
          <w:sz w:val="22"/>
          <w:szCs w:val="22"/>
        </w:rPr>
        <w:t xml:space="preserve">“Evidence does not, generally, entail the fleshy stories of </w:t>
      </w:r>
      <w:proofErr w:type="spellStart"/>
      <w:r w:rsidRPr="004A1365">
        <w:rPr>
          <w:rFonts w:ascii="Calibri" w:hAnsi="Calibri" w:cs="Calibri"/>
          <w:color w:val="000000" w:themeColor="text1"/>
          <w:sz w:val="22"/>
          <w:szCs w:val="22"/>
        </w:rPr>
        <w:t>kohkoms</w:t>
      </w:r>
      <w:proofErr w:type="spellEnd"/>
      <w:r w:rsidRPr="004A1365">
        <w:rPr>
          <w:rFonts w:ascii="Calibri" w:hAnsi="Calibri" w:cs="Calibri"/>
          <w:color w:val="000000" w:themeColor="text1"/>
          <w:sz w:val="22"/>
          <w:szCs w:val="22"/>
        </w:rPr>
        <w:t xml:space="preserve"> (the word for grandmother in Cree) and the fish they fried up over hot stoves in prairie kitchens to feed their large families. As Todd points out: </w:t>
      </w:r>
      <w:r w:rsidR="004A1365">
        <w:rPr>
          <w:rFonts w:ascii="Calibri" w:hAnsi="Calibri" w:cs="Calibri"/>
          <w:color w:val="000000" w:themeColor="text1"/>
          <w:sz w:val="22"/>
          <w:szCs w:val="22"/>
        </w:rPr>
        <w:t>‘</w:t>
      </w:r>
      <w:r w:rsidRPr="004A1365">
        <w:rPr>
          <w:rFonts w:ascii="Calibri" w:hAnsi="Calibri" w:cs="Calibri"/>
          <w:color w:val="000000" w:themeColor="text1"/>
          <w:sz w:val="22"/>
          <w:szCs w:val="22"/>
        </w:rPr>
        <w:t>Evidence generally precludes the flash of a school of minnows in the clear prairie lakes I intimately knew as a child, or the succulent white fish my stepdad caught for us from the Red Deer River when I was growing up</w:t>
      </w:r>
      <w:r w:rsidR="004A1365" w:rsidRPr="004A1365">
        <w:rPr>
          <w:rFonts w:ascii="Calibri" w:hAnsi="Calibri" w:cs="Calibri"/>
          <w:color w:val="000000" w:themeColor="text1"/>
          <w:sz w:val="22"/>
          <w:szCs w:val="22"/>
        </w:rPr>
        <w:t>.</w:t>
      </w:r>
      <w:r w:rsidR="004A1365">
        <w:rPr>
          <w:rFonts w:ascii="Calibri" w:hAnsi="Calibri" w:cs="Calibri"/>
          <w:color w:val="000000" w:themeColor="text1"/>
          <w:sz w:val="22"/>
          <w:szCs w:val="22"/>
        </w:rPr>
        <w:t>’</w:t>
      </w:r>
      <w:r w:rsidRPr="004A1365">
        <w:rPr>
          <w:rFonts w:ascii="Calibri" w:hAnsi="Calibri" w:cs="Calibri"/>
          <w:color w:val="000000" w:themeColor="text1"/>
          <w:sz w:val="22"/>
          <w:szCs w:val="22"/>
        </w:rPr>
        <w:t xml:space="preserve"> But these fleshy philosophies and fleshy bodies are precisely the stakes of the Anthropocene, as the Anthropocene has exacerbated existing social inequalities and power structures and divided people from the land with which they and their language, laws, and livelihoods are entwined. The stories we will </w:t>
      </w:r>
      <w:proofErr w:type="gramStart"/>
      <w:r w:rsidRPr="004A1365">
        <w:rPr>
          <w:rFonts w:ascii="Calibri" w:hAnsi="Calibri" w:cs="Calibri"/>
          <w:color w:val="000000" w:themeColor="text1"/>
          <w:sz w:val="22"/>
          <w:szCs w:val="22"/>
        </w:rPr>
        <w:t>tell</w:t>
      </w:r>
      <w:proofErr w:type="gramEnd"/>
      <w:r w:rsidRPr="004A1365">
        <w:rPr>
          <w:rFonts w:ascii="Calibri" w:hAnsi="Calibri" w:cs="Calibri"/>
          <w:color w:val="000000" w:themeColor="text1"/>
          <w:sz w:val="22"/>
          <w:szCs w:val="22"/>
        </w:rPr>
        <w:t xml:space="preserve"> about the origins of the Anthropocene implicate how we understand the relations we have with our surrounds.” (767)</w:t>
      </w:r>
    </w:p>
    <w:p w14:paraId="50C64D25" w14:textId="0A2CF308"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color w:val="000000" w:themeColor="text1"/>
          <w:sz w:val="22"/>
          <w:szCs w:val="22"/>
        </w:rPr>
        <w:t xml:space="preserve">“The </w:t>
      </w:r>
      <w:proofErr w:type="spellStart"/>
      <w:r w:rsidRPr="004A1365">
        <w:rPr>
          <w:rFonts w:ascii="Calibri" w:hAnsi="Calibri" w:cs="Calibri"/>
          <w:color w:val="000000" w:themeColor="text1"/>
          <w:sz w:val="22"/>
          <w:szCs w:val="22"/>
        </w:rPr>
        <w:t>noösphere</w:t>
      </w:r>
      <w:proofErr w:type="spellEnd"/>
      <w:r w:rsidRPr="004A1365">
        <w:rPr>
          <w:rFonts w:ascii="Calibri" w:hAnsi="Calibri" w:cs="Calibri"/>
          <w:color w:val="000000" w:themeColor="text1"/>
          <w:sz w:val="22"/>
          <w:szCs w:val="22"/>
        </w:rPr>
        <w:t xml:space="preserve">, while a generative category, which </w:t>
      </w:r>
      <w:proofErr w:type="spellStart"/>
      <w:r w:rsidRPr="004A1365">
        <w:rPr>
          <w:rFonts w:ascii="Calibri" w:hAnsi="Calibri" w:cs="Calibri"/>
          <w:color w:val="000000" w:themeColor="text1"/>
          <w:sz w:val="22"/>
          <w:szCs w:val="22"/>
        </w:rPr>
        <w:t>Crutzen</w:t>
      </w:r>
      <w:proofErr w:type="spellEnd"/>
      <w:r w:rsidRPr="004A1365">
        <w:rPr>
          <w:rFonts w:ascii="Calibri" w:hAnsi="Calibri" w:cs="Calibri"/>
          <w:color w:val="000000" w:themeColor="text1"/>
          <w:sz w:val="22"/>
          <w:szCs w:val="22"/>
        </w:rPr>
        <w:t xml:space="preserve"> and Stoermer credit with their thinking on the Anthropocene itself, replicates a Euro-Western division of mind/thought from land when it is framed as the business of ‘research and engineering.’ The construction of a </w:t>
      </w:r>
      <w:proofErr w:type="spellStart"/>
      <w:r w:rsidRPr="004A1365">
        <w:rPr>
          <w:rFonts w:ascii="Calibri" w:hAnsi="Calibri" w:cs="Calibri"/>
          <w:color w:val="000000" w:themeColor="text1"/>
          <w:sz w:val="22"/>
          <w:szCs w:val="22"/>
        </w:rPr>
        <w:t>noösphere</w:t>
      </w:r>
      <w:proofErr w:type="spellEnd"/>
      <w:r w:rsidRPr="004A1365">
        <w:rPr>
          <w:rFonts w:ascii="Calibri" w:hAnsi="Calibri" w:cs="Calibri"/>
          <w:color w:val="000000" w:themeColor="text1"/>
          <w:sz w:val="22"/>
          <w:szCs w:val="22"/>
        </w:rPr>
        <w:t xml:space="preserve"> that privileges research and engineering is counter to many Indigenous concepts, which do not recognize or centre this teleological concept developing separately from the earth and its constituents” (</w:t>
      </w:r>
      <w:r w:rsidR="00D259EE">
        <w:rPr>
          <w:rFonts w:ascii="Calibri" w:hAnsi="Calibri" w:cs="Calibri"/>
          <w:color w:val="000000" w:themeColor="text1"/>
          <w:sz w:val="22"/>
          <w:szCs w:val="22"/>
        </w:rPr>
        <w:t xml:space="preserve">Davis and Todd </w:t>
      </w:r>
      <w:r w:rsidRPr="004A1365">
        <w:rPr>
          <w:rFonts w:ascii="Calibri" w:hAnsi="Calibri" w:cs="Calibri"/>
          <w:color w:val="000000" w:themeColor="text1"/>
          <w:sz w:val="22"/>
          <w:szCs w:val="22"/>
        </w:rPr>
        <w:t>768-9)</w:t>
      </w:r>
    </w:p>
    <w:p w14:paraId="6E49ABB1" w14:textId="79742716"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b/>
          <w:bCs/>
          <w:color w:val="000000" w:themeColor="text1"/>
          <w:sz w:val="22"/>
          <w:szCs w:val="22"/>
        </w:rPr>
        <w:t>“‘</w:t>
      </w:r>
      <w:r w:rsidRPr="004A1365">
        <w:rPr>
          <w:rFonts w:ascii="Calibri" w:hAnsi="Calibri" w:cs="Calibri"/>
          <w:color w:val="000000" w:themeColor="text1"/>
          <w:sz w:val="22"/>
          <w:szCs w:val="22"/>
        </w:rPr>
        <w:t xml:space="preserve">Settler colonialism, in North America and elsewhere, is marked by this process of terraforming. As Whyte argues, </w:t>
      </w:r>
      <w:r w:rsidR="004A1365" w:rsidRPr="004A1365">
        <w:rPr>
          <w:rFonts w:ascii="Calibri" w:hAnsi="Calibri" w:cs="Calibri"/>
          <w:color w:val="000000" w:themeColor="text1"/>
          <w:sz w:val="22"/>
          <w:szCs w:val="22"/>
        </w:rPr>
        <w:t>‘</w:t>
      </w:r>
      <w:r w:rsidRPr="004A1365">
        <w:rPr>
          <w:rFonts w:ascii="Calibri" w:hAnsi="Calibri" w:cs="Calibri"/>
          <w:color w:val="000000" w:themeColor="text1"/>
          <w:sz w:val="22"/>
          <w:szCs w:val="22"/>
        </w:rPr>
        <w:t>industrial settler campaigns erase what makes a place ecologically unique in terms of human and nonhuman relations, the ecological history of a place, and the sharing of the environment by different human societies</w:t>
      </w:r>
      <w:r w:rsidR="004A1365" w:rsidRPr="004A1365">
        <w:rPr>
          <w:rFonts w:ascii="Calibri" w:hAnsi="Calibri" w:cs="Calibri"/>
          <w:color w:val="000000" w:themeColor="text1"/>
          <w:sz w:val="22"/>
          <w:szCs w:val="22"/>
        </w:rPr>
        <w:t>.’</w:t>
      </w:r>
      <w:r w:rsidRPr="004A1365">
        <w:rPr>
          <w:rFonts w:ascii="Calibri" w:hAnsi="Calibri" w:cs="Calibri"/>
          <w:color w:val="000000" w:themeColor="text1"/>
          <w:sz w:val="22"/>
          <w:szCs w:val="22"/>
        </w:rPr>
        <w:t xml:space="preserve"> Further, the forced displacement that many tribal communities suffered involved adaptation to entirely new environments, to new climates, new ecosystems, new </w:t>
      </w:r>
      <w:proofErr w:type="gramStart"/>
      <w:r w:rsidRPr="004A1365">
        <w:rPr>
          <w:rFonts w:ascii="Calibri" w:hAnsi="Calibri" w:cs="Calibri"/>
          <w:color w:val="000000" w:themeColor="text1"/>
          <w:sz w:val="22"/>
          <w:szCs w:val="22"/>
        </w:rPr>
        <w:t>plants</w:t>
      </w:r>
      <w:proofErr w:type="gramEnd"/>
      <w:r w:rsidRPr="004A1365">
        <w:rPr>
          <w:rFonts w:ascii="Calibri" w:hAnsi="Calibri" w:cs="Calibri"/>
          <w:color w:val="000000" w:themeColor="text1"/>
          <w:sz w:val="22"/>
          <w:szCs w:val="22"/>
        </w:rPr>
        <w:t xml:space="preserve"> and animals. These processes of environmental transformation and forced displacement can be understood as climate change, or more broadly, a preview of what it is like to live under the conditions of the Anthropocene. And so, as Whyte makes clear, the current environmental crises which are named through the designation of the Anthropocene, can be viewed as a continuation of, rather than a break from, previous eras that begin with colonialism and extend through advanced capitalism.” (</w:t>
      </w:r>
      <w:r w:rsidR="00D259EE">
        <w:rPr>
          <w:rFonts w:ascii="Calibri" w:hAnsi="Calibri" w:cs="Calibri"/>
          <w:color w:val="000000" w:themeColor="text1"/>
          <w:sz w:val="22"/>
          <w:szCs w:val="22"/>
        </w:rPr>
        <w:t xml:space="preserve">Davis and Todd </w:t>
      </w:r>
      <w:r w:rsidRPr="004A1365">
        <w:rPr>
          <w:rFonts w:ascii="Calibri" w:hAnsi="Calibri" w:cs="Calibri"/>
          <w:color w:val="000000" w:themeColor="text1"/>
          <w:sz w:val="22"/>
          <w:szCs w:val="22"/>
        </w:rPr>
        <w:t>771)</w:t>
      </w:r>
    </w:p>
    <w:p w14:paraId="167527A9" w14:textId="55721F41" w:rsidR="00661474" w:rsidRPr="004A1365" w:rsidRDefault="00661474" w:rsidP="00661474">
      <w:pPr>
        <w:rPr>
          <w:rFonts w:ascii="Calibri" w:hAnsi="Calibri" w:cs="Calibri"/>
          <w:color w:val="000000" w:themeColor="text1"/>
          <w:sz w:val="22"/>
          <w:szCs w:val="22"/>
        </w:rPr>
      </w:pPr>
      <w:r w:rsidRPr="004A1365">
        <w:rPr>
          <w:rFonts w:ascii="Calibri" w:hAnsi="Calibri" w:cs="Calibri"/>
          <w:color w:val="000000" w:themeColor="text1"/>
          <w:sz w:val="22"/>
          <w:szCs w:val="22"/>
        </w:rPr>
        <w:t>“We take the view, with Davis and Todd, that the Anthropocene ‘betrays itself in its name: in its reassertion of universality, it implicitly aligns itself with the colonial era</w:t>
      </w:r>
      <w:r w:rsidR="004A1365">
        <w:rPr>
          <w:rFonts w:ascii="Calibri" w:hAnsi="Calibri" w:cs="Calibri"/>
          <w:color w:val="000000" w:themeColor="text1"/>
          <w:sz w:val="22"/>
          <w:szCs w:val="22"/>
        </w:rPr>
        <w:t>.</w:t>
      </w:r>
      <w:r w:rsidRPr="004A1365">
        <w:rPr>
          <w:rFonts w:ascii="Calibri" w:hAnsi="Calibri" w:cs="Calibri"/>
          <w:color w:val="000000" w:themeColor="text1"/>
          <w:sz w:val="22"/>
          <w:szCs w:val="22"/>
        </w:rPr>
        <w:t xml:space="preserve">’ Rather than naming a new geological epoch where a universal human species becomes the primary historical agent, the </w:t>
      </w:r>
      <w:r w:rsidRPr="004A1365">
        <w:rPr>
          <w:rFonts w:ascii="Calibri" w:hAnsi="Calibri" w:cs="Calibri"/>
          <w:color w:val="000000" w:themeColor="text1"/>
          <w:sz w:val="22"/>
          <w:szCs w:val="22"/>
        </w:rPr>
        <w:lastRenderedPageBreak/>
        <w:t xml:space="preserve">Anthropocene concept and debate can, however, from a different perspective, help shed new light on the central place of nature in the working of colonial violence and on unexpected avenues of resistance to it. For all its problems, the Anthropocene term may yet allow us to not lose sight of how settler colonialism involves the violent displacement of not only Indigenous peoples and their nature, but also of Indigenous’ enmeshment with nature. In Palestine, like in other settler colonial contexts, the elimination of the Indigenous population rested on more than just physical displacement, </w:t>
      </w:r>
      <w:proofErr w:type="gramStart"/>
      <w:r w:rsidRPr="004A1365">
        <w:rPr>
          <w:rFonts w:ascii="Calibri" w:hAnsi="Calibri" w:cs="Calibri"/>
          <w:color w:val="000000" w:themeColor="text1"/>
          <w:sz w:val="22"/>
          <w:szCs w:val="22"/>
        </w:rPr>
        <w:t>destruction</w:t>
      </w:r>
      <w:proofErr w:type="gramEnd"/>
      <w:r w:rsidRPr="004A1365">
        <w:rPr>
          <w:rFonts w:ascii="Calibri" w:hAnsi="Calibri" w:cs="Calibri"/>
          <w:color w:val="000000" w:themeColor="text1"/>
          <w:sz w:val="22"/>
          <w:szCs w:val="22"/>
        </w:rPr>
        <w:t xml:space="preserve"> and ecological alteration. Settler colonialism drew an equivalence between Indigenous Life and Nonlife, with humans and nonhumans together fossilised or </w:t>
      </w:r>
      <w:proofErr w:type="spellStart"/>
      <w:r w:rsidRPr="004A1365">
        <w:rPr>
          <w:rFonts w:ascii="Calibri" w:hAnsi="Calibri" w:cs="Calibri"/>
          <w:color w:val="000000" w:themeColor="text1"/>
          <w:sz w:val="22"/>
          <w:szCs w:val="22"/>
        </w:rPr>
        <w:t>desertified</w:t>
      </w:r>
      <w:proofErr w:type="spellEnd"/>
      <w:r w:rsidRPr="004A1365">
        <w:rPr>
          <w:rFonts w:ascii="Calibri" w:hAnsi="Calibri" w:cs="Calibri"/>
          <w:color w:val="000000" w:themeColor="text1"/>
          <w:sz w:val="22"/>
          <w:szCs w:val="22"/>
        </w:rPr>
        <w:t xml:space="preserve"> by the ongoing settler colonial project which aimed at turning the settlers into the new Indigenous. Like in other </w:t>
      </w:r>
      <w:proofErr w:type="spellStart"/>
      <w:r w:rsidRPr="004A1365">
        <w:rPr>
          <w:rFonts w:ascii="Calibri" w:hAnsi="Calibri" w:cs="Calibri"/>
          <w:color w:val="000000" w:themeColor="text1"/>
          <w:sz w:val="22"/>
          <w:szCs w:val="22"/>
        </w:rPr>
        <w:t>settlercolonial</w:t>
      </w:r>
      <w:proofErr w:type="spellEnd"/>
      <w:r w:rsidRPr="004A1365">
        <w:rPr>
          <w:rFonts w:ascii="Calibri" w:hAnsi="Calibri" w:cs="Calibri"/>
          <w:color w:val="000000" w:themeColor="text1"/>
          <w:sz w:val="22"/>
          <w:szCs w:val="22"/>
        </w:rPr>
        <w:t xml:space="preserve"> contexts, nature was not simply destroyed. It was assigned the ontological status of Nature (capitalised to indicate its supposed pristineness) only when appropriated by the settlers, and then worked upon to subsequently become the blooming ‘settler-Nature’.” (</w:t>
      </w:r>
      <w:proofErr w:type="spellStart"/>
      <w:r w:rsidRPr="004A1365">
        <w:rPr>
          <w:rFonts w:ascii="Calibri" w:hAnsi="Calibri" w:cs="Calibri"/>
          <w:color w:val="000000" w:themeColor="text1"/>
          <w:sz w:val="22"/>
          <w:szCs w:val="22"/>
        </w:rPr>
        <w:t>Ruba</w:t>
      </w:r>
      <w:proofErr w:type="spellEnd"/>
      <w:r w:rsidRPr="004A1365">
        <w:rPr>
          <w:rFonts w:ascii="Calibri" w:hAnsi="Calibri" w:cs="Calibri"/>
          <w:color w:val="000000" w:themeColor="text1"/>
          <w:sz w:val="22"/>
          <w:szCs w:val="22"/>
        </w:rPr>
        <w:t xml:space="preserve"> Salih and Olaf Corry, "Displacing the Anthropocene: Colonisation, extinction and the unruliness of nature in Palestine," </w:t>
      </w:r>
      <w:r w:rsidRPr="004A1365">
        <w:rPr>
          <w:rFonts w:ascii="Calibri" w:hAnsi="Calibri" w:cs="Calibri"/>
          <w:i/>
          <w:iCs/>
          <w:color w:val="000000" w:themeColor="text1"/>
          <w:sz w:val="22"/>
          <w:szCs w:val="22"/>
        </w:rPr>
        <w:t>Environment and Planning E: Nature and Space</w:t>
      </w:r>
      <w:r w:rsidRPr="004A1365">
        <w:rPr>
          <w:rFonts w:ascii="Calibri" w:hAnsi="Calibri" w:cs="Calibri"/>
          <w:color w:val="000000" w:themeColor="text1"/>
          <w:sz w:val="22"/>
          <w:szCs w:val="22"/>
        </w:rPr>
        <w:t>, 5.1 (2022), 383)</w:t>
      </w:r>
    </w:p>
    <w:p w14:paraId="277F311F" w14:textId="77777777"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b/>
          <w:bCs/>
          <w:color w:val="000000" w:themeColor="text1"/>
          <w:sz w:val="22"/>
          <w:szCs w:val="22"/>
        </w:rPr>
        <w:t>“</w:t>
      </w:r>
      <w:r w:rsidRPr="004A1365">
        <w:rPr>
          <w:rFonts w:ascii="Calibri" w:hAnsi="Calibri" w:cs="Calibri"/>
          <w:color w:val="000000" w:themeColor="text1"/>
          <w:sz w:val="22"/>
          <w:szCs w:val="22"/>
        </w:rPr>
        <w:t>Relying on the material and metaphysical reframing of Indigenous nature as fossilised life, Weitz forces Palestinian human–nature entanglement into the realm of Nonlife. Palestine becomes not only a ‘land without a people’ as the idiom has it but in particular a ‘</w:t>
      </w:r>
      <w:proofErr w:type="gramStart"/>
      <w:r w:rsidRPr="004A1365">
        <w:rPr>
          <w:rFonts w:ascii="Calibri" w:hAnsi="Calibri" w:cs="Calibri"/>
          <w:color w:val="000000" w:themeColor="text1"/>
          <w:sz w:val="22"/>
          <w:szCs w:val="22"/>
        </w:rPr>
        <w:t>waste-land</w:t>
      </w:r>
      <w:proofErr w:type="gramEnd"/>
      <w:r w:rsidRPr="004A1365">
        <w:rPr>
          <w:rFonts w:ascii="Calibri" w:hAnsi="Calibri" w:cs="Calibri"/>
          <w:color w:val="000000" w:themeColor="text1"/>
          <w:sz w:val="22"/>
          <w:szCs w:val="22"/>
        </w:rPr>
        <w:t xml:space="preserve">’, a </w:t>
      </w:r>
      <w:proofErr w:type="spellStart"/>
      <w:r w:rsidRPr="004A1365">
        <w:rPr>
          <w:rFonts w:ascii="Calibri" w:hAnsi="Calibri" w:cs="Calibri"/>
          <w:color w:val="000000" w:themeColor="text1"/>
          <w:sz w:val="22"/>
          <w:szCs w:val="22"/>
        </w:rPr>
        <w:t>desertified</w:t>
      </w:r>
      <w:proofErr w:type="spellEnd"/>
      <w:r w:rsidRPr="004A1365">
        <w:rPr>
          <w:rFonts w:ascii="Calibri" w:hAnsi="Calibri" w:cs="Calibri"/>
          <w:color w:val="000000" w:themeColor="text1"/>
          <w:sz w:val="22"/>
          <w:szCs w:val="22"/>
        </w:rPr>
        <w:t xml:space="preserve"> and motionless place, redeemed by the arrival of Jewish settlers taming nature, and famously claiming to make the ‘desert bloom’” (Salih and Cory 387)</w:t>
      </w:r>
    </w:p>
    <w:p w14:paraId="68714AED" w14:textId="2C52EDD5" w:rsidR="00661474" w:rsidRPr="004A1365" w:rsidRDefault="00661474" w:rsidP="00661474">
      <w:pPr>
        <w:pStyle w:val="NormalWeb"/>
        <w:rPr>
          <w:rFonts w:ascii="Calibri" w:hAnsi="Calibri" w:cs="Calibri"/>
          <w:b/>
          <w:bCs/>
          <w:color w:val="000000" w:themeColor="text1"/>
          <w:sz w:val="22"/>
          <w:szCs w:val="22"/>
        </w:rPr>
      </w:pPr>
      <w:r w:rsidRPr="004A1365">
        <w:rPr>
          <w:rFonts w:ascii="Calibri" w:hAnsi="Calibri" w:cs="Calibri"/>
          <w:b/>
          <w:bCs/>
          <w:color w:val="000000" w:themeColor="text1"/>
          <w:sz w:val="22"/>
          <w:szCs w:val="22"/>
        </w:rPr>
        <w:t>Questions</w:t>
      </w:r>
      <w:r w:rsidR="007B1609" w:rsidRPr="004A1365">
        <w:rPr>
          <w:rFonts w:ascii="Calibri" w:hAnsi="Calibri" w:cs="Calibri"/>
          <w:b/>
          <w:bCs/>
          <w:color w:val="000000" w:themeColor="text1"/>
          <w:sz w:val="22"/>
          <w:szCs w:val="22"/>
        </w:rPr>
        <w:t xml:space="preserve">: Davis </w:t>
      </w:r>
      <w:r w:rsidR="00E15D2B">
        <w:rPr>
          <w:rFonts w:ascii="Calibri" w:hAnsi="Calibri" w:cs="Calibri"/>
          <w:b/>
          <w:bCs/>
          <w:color w:val="000000" w:themeColor="text1"/>
          <w:sz w:val="22"/>
          <w:szCs w:val="22"/>
        </w:rPr>
        <w:t>and</w:t>
      </w:r>
      <w:r w:rsidR="007B1609" w:rsidRPr="004A1365">
        <w:rPr>
          <w:rFonts w:ascii="Calibri" w:hAnsi="Calibri" w:cs="Calibri"/>
          <w:b/>
          <w:bCs/>
          <w:color w:val="000000" w:themeColor="text1"/>
          <w:sz w:val="22"/>
          <w:szCs w:val="22"/>
        </w:rPr>
        <w:t xml:space="preserve"> Todd, Salih and Cory</w:t>
      </w:r>
    </w:p>
    <w:p w14:paraId="5D545511" w14:textId="67A589DD"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color w:val="000000" w:themeColor="text1"/>
          <w:sz w:val="22"/>
          <w:szCs w:val="22"/>
        </w:rPr>
        <w:t xml:space="preserve">Why, for Davis and Todd, is the dating of the Anthropocene to 1610 so important? </w:t>
      </w:r>
      <w:r w:rsidR="00E15D2B">
        <w:rPr>
          <w:rFonts w:ascii="Calibri" w:hAnsi="Calibri" w:cs="Calibri"/>
          <w:color w:val="000000" w:themeColor="text1"/>
          <w:sz w:val="22"/>
          <w:szCs w:val="22"/>
        </w:rPr>
        <w:t>H</w:t>
      </w:r>
      <w:r w:rsidRPr="004A1365">
        <w:rPr>
          <w:rFonts w:ascii="Calibri" w:hAnsi="Calibri" w:cs="Calibri"/>
          <w:color w:val="000000" w:themeColor="text1"/>
          <w:sz w:val="22"/>
          <w:szCs w:val="22"/>
        </w:rPr>
        <w:t xml:space="preserve">ow, do they argue, does this dating politically frame both the historical and political causes of the Anthropocene as well as the politics needed to “move away from this </w:t>
      </w:r>
      <w:proofErr w:type="spellStart"/>
      <w:r w:rsidRPr="004A1365">
        <w:rPr>
          <w:rFonts w:ascii="Calibri" w:hAnsi="Calibri" w:cs="Calibri"/>
          <w:color w:val="000000" w:themeColor="text1"/>
          <w:sz w:val="22"/>
          <w:szCs w:val="22"/>
        </w:rPr>
        <w:t>ecocidal</w:t>
      </w:r>
      <w:proofErr w:type="spellEnd"/>
      <w:r w:rsidRPr="004A1365">
        <w:rPr>
          <w:rFonts w:ascii="Calibri" w:hAnsi="Calibri" w:cs="Calibri"/>
          <w:color w:val="000000" w:themeColor="text1"/>
          <w:sz w:val="22"/>
          <w:szCs w:val="22"/>
        </w:rPr>
        <w:t xml:space="preserve"> path” (763)</w:t>
      </w:r>
    </w:p>
    <w:p w14:paraId="07505E65" w14:textId="21C12289"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color w:val="000000" w:themeColor="text1"/>
          <w:sz w:val="22"/>
          <w:szCs w:val="22"/>
        </w:rPr>
        <w:t xml:space="preserve">How do </w:t>
      </w:r>
      <w:r w:rsidR="00E15D2B">
        <w:rPr>
          <w:rFonts w:ascii="Calibri" w:hAnsi="Calibri" w:cs="Calibri"/>
          <w:color w:val="000000" w:themeColor="text1"/>
          <w:sz w:val="22"/>
          <w:szCs w:val="22"/>
        </w:rPr>
        <w:t>Davis and Todd</w:t>
      </w:r>
      <w:r w:rsidRPr="004A1365">
        <w:rPr>
          <w:rFonts w:ascii="Calibri" w:hAnsi="Calibri" w:cs="Calibri"/>
          <w:color w:val="000000" w:themeColor="text1"/>
          <w:sz w:val="22"/>
          <w:szCs w:val="22"/>
        </w:rPr>
        <w:t xml:space="preserve"> conceptualise the very idea of the “Anthropocene” (as well as related concepts like the noosphere) as itself bound up into processes of colonization that they argue is driving climate change and ecological devastation? What do they see as the presuppositions of this mode of thinking and what kinds of relationships between human and non-human natures is it unable to grasp?</w:t>
      </w:r>
    </w:p>
    <w:p w14:paraId="31420DC7" w14:textId="77777777"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color w:val="000000" w:themeColor="text1"/>
          <w:sz w:val="22"/>
          <w:szCs w:val="22"/>
        </w:rPr>
        <w:t>What is the relationship that Davis and Todd (as well as critics they cite such as Kyle Walker) draw between ecological transformation and colonialism, especially settler colonialism?</w:t>
      </w:r>
    </w:p>
    <w:p w14:paraId="4E1750E7" w14:textId="77777777" w:rsidR="00661474" w:rsidRPr="004A1365" w:rsidRDefault="00661474" w:rsidP="00661474">
      <w:pPr>
        <w:pStyle w:val="NormalWeb"/>
        <w:rPr>
          <w:rFonts w:ascii="Calibri" w:hAnsi="Calibri" w:cs="Calibri"/>
          <w:color w:val="000000" w:themeColor="text1"/>
          <w:sz w:val="22"/>
          <w:szCs w:val="22"/>
        </w:rPr>
      </w:pPr>
      <w:r w:rsidRPr="004A1365">
        <w:rPr>
          <w:rFonts w:ascii="Calibri" w:hAnsi="Calibri" w:cs="Calibri"/>
          <w:color w:val="000000" w:themeColor="text1"/>
          <w:sz w:val="22"/>
          <w:szCs w:val="22"/>
        </w:rPr>
        <w:t xml:space="preserve">How do Salih and Corry extend Todd and Davis’ argument about the links between the Anthropocene and early settler colonial context to more contemporary forms of settler colonialism like those occurring in Palestine? What are some of the specific examples that they, as well as </w:t>
      </w:r>
      <w:proofErr w:type="spellStart"/>
      <w:r w:rsidRPr="004A1365">
        <w:rPr>
          <w:rFonts w:ascii="Calibri" w:hAnsi="Calibri" w:cs="Calibri"/>
          <w:color w:val="000000" w:themeColor="text1"/>
          <w:sz w:val="22"/>
          <w:szCs w:val="22"/>
        </w:rPr>
        <w:t>Berdugo</w:t>
      </w:r>
      <w:proofErr w:type="spellEnd"/>
      <w:r w:rsidRPr="004A1365">
        <w:rPr>
          <w:rFonts w:ascii="Calibri" w:hAnsi="Calibri" w:cs="Calibri"/>
          <w:color w:val="000000" w:themeColor="text1"/>
          <w:sz w:val="22"/>
          <w:szCs w:val="22"/>
        </w:rPr>
        <w:t>, offer of settler colonialism’s transformation of “life worlds” (including land tenure, property regimes, ecological transformation, demographic changes) in Palestine?</w:t>
      </w:r>
    </w:p>
    <w:p w14:paraId="2A35A5E1" w14:textId="788DC0FA" w:rsidR="003315A5" w:rsidRPr="00E15D2B" w:rsidRDefault="003315A5">
      <w:pPr>
        <w:rPr>
          <w:rFonts w:ascii="Calibri" w:hAnsi="Calibri" w:cs="Calibri"/>
          <w:b/>
          <w:bCs/>
          <w:color w:val="000000" w:themeColor="text1"/>
          <w:sz w:val="22"/>
          <w:szCs w:val="22"/>
        </w:rPr>
      </w:pPr>
    </w:p>
    <w:sectPr w:rsidR="003315A5" w:rsidRPr="00E15D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74"/>
    <w:rsid w:val="000A391D"/>
    <w:rsid w:val="001177C3"/>
    <w:rsid w:val="003315A5"/>
    <w:rsid w:val="004864A6"/>
    <w:rsid w:val="004A1365"/>
    <w:rsid w:val="00661474"/>
    <w:rsid w:val="007B1609"/>
    <w:rsid w:val="009A6C82"/>
    <w:rsid w:val="00C57BC7"/>
    <w:rsid w:val="00D259EE"/>
    <w:rsid w:val="00DF0768"/>
    <w:rsid w:val="00E15D2B"/>
    <w:rsid w:val="00EB0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EBD397"/>
  <w15:chartTrackingRefBased/>
  <w15:docId w15:val="{58D20624-F42A-F746-B209-293FC7FB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147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61474"/>
    <w:rPr>
      <w:color w:val="0000FF"/>
      <w:u w:val="single"/>
    </w:rPr>
  </w:style>
  <w:style w:type="character" w:customStyle="1" w:styleId="sr-only">
    <w:name w:val="sr-only"/>
    <w:basedOn w:val="DefaultParagraphFont"/>
    <w:rsid w:val="00661474"/>
  </w:style>
  <w:style w:type="character" w:styleId="Emphasis">
    <w:name w:val="Emphasis"/>
    <w:basedOn w:val="DefaultParagraphFont"/>
    <w:uiPriority w:val="20"/>
    <w:qFormat/>
    <w:rsid w:val="00661474"/>
    <w:rPr>
      <w:i/>
      <w:iCs/>
    </w:rPr>
  </w:style>
  <w:style w:type="character" w:customStyle="1" w:styleId="metrics-score">
    <w:name w:val="metrics-score"/>
    <w:basedOn w:val="DefaultParagraphFont"/>
    <w:rsid w:val="004A1365"/>
  </w:style>
  <w:style w:type="character" w:customStyle="1" w:styleId="rsbtntext">
    <w:name w:val="rsbtn_text"/>
    <w:basedOn w:val="DefaultParagraphFont"/>
    <w:rsid w:val="004A1365"/>
  </w:style>
  <w:style w:type="character" w:customStyle="1" w:styleId="nlmarticle-title">
    <w:name w:val="nlm_article-title"/>
    <w:basedOn w:val="DefaultParagraphFont"/>
    <w:rsid w:val="004A1365"/>
  </w:style>
  <w:style w:type="character" w:styleId="FollowedHyperlink">
    <w:name w:val="FollowedHyperlink"/>
    <w:basedOn w:val="DefaultParagraphFont"/>
    <w:uiPriority w:val="99"/>
    <w:semiHidden/>
    <w:unhideWhenUsed/>
    <w:rsid w:val="004A1365"/>
    <w:rPr>
      <w:color w:val="954F72" w:themeColor="followedHyperlink"/>
      <w:u w:val="single"/>
    </w:rPr>
  </w:style>
  <w:style w:type="character" w:styleId="UnresolvedMention">
    <w:name w:val="Unresolved Mention"/>
    <w:basedOn w:val="DefaultParagraphFont"/>
    <w:uiPriority w:val="99"/>
    <w:semiHidden/>
    <w:unhideWhenUsed/>
    <w:rsid w:val="004A1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30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Tucker-Abramson, Myka</dc:creator>
  <cp:keywords/>
  <dc:description/>
  <cp:lastModifiedBy>Tucker-Abramson, Myka</cp:lastModifiedBy>
  <cp:revision>7</cp:revision>
  <cp:lastPrinted>2024-01-24T07:45:00Z</cp:lastPrinted>
  <dcterms:created xsi:type="dcterms:W3CDTF">2024-01-19T15:10:00Z</dcterms:created>
  <dcterms:modified xsi:type="dcterms:W3CDTF">2024-01-24T08:34:00Z</dcterms:modified>
</cp:coreProperties>
</file>