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935" w:rsidRDefault="00130935" w:rsidP="00130935">
      <w:pPr>
        <w:pStyle w:val="DoubleSpace"/>
        <w:spacing w:line="240" w:lineRule="auto"/>
        <w:rPr>
          <w:b/>
        </w:rPr>
      </w:pPr>
      <w:r w:rsidRPr="00036B90">
        <w:rPr>
          <w:b/>
        </w:rPr>
        <w:t>Benjamin</w:t>
      </w:r>
      <w:r>
        <w:rPr>
          <w:b/>
        </w:rPr>
        <w:t xml:space="preserve">, ‘The Work of Art…’ </w:t>
      </w:r>
    </w:p>
    <w:p w:rsidR="00130935" w:rsidRDefault="00130935" w:rsidP="00130935">
      <w:pPr>
        <w:pStyle w:val="DoubleSpace"/>
        <w:spacing w:line="240" w:lineRule="auto"/>
        <w:rPr>
          <w:b/>
        </w:rPr>
      </w:pPr>
    </w:p>
    <w:p w:rsidR="00130935" w:rsidRDefault="00130935" w:rsidP="00130935">
      <w:pPr>
        <w:rPr>
          <w:sz w:val="22"/>
          <w:szCs w:val="22"/>
        </w:rPr>
      </w:pPr>
      <w:proofErr w:type="gramStart"/>
      <w:r w:rsidRPr="00DE2391">
        <w:rPr>
          <w:sz w:val="22"/>
          <w:szCs w:val="22"/>
        </w:rPr>
        <w:t>Buck-</w:t>
      </w:r>
      <w:proofErr w:type="spellStart"/>
      <w:r w:rsidRPr="00DE2391">
        <w:rPr>
          <w:sz w:val="22"/>
          <w:szCs w:val="22"/>
        </w:rPr>
        <w:t>Morss</w:t>
      </w:r>
      <w:proofErr w:type="spellEnd"/>
      <w:r w:rsidRPr="00DE2391">
        <w:rPr>
          <w:sz w:val="22"/>
          <w:szCs w:val="22"/>
        </w:rPr>
        <w:t>, Susan.</w:t>
      </w:r>
      <w:proofErr w:type="gramEnd"/>
      <w:r w:rsidRPr="00DE2391">
        <w:rPr>
          <w:sz w:val="22"/>
          <w:szCs w:val="22"/>
        </w:rPr>
        <w:t xml:space="preserve"> ‘Aesthetics and </w:t>
      </w:r>
      <w:proofErr w:type="spellStart"/>
      <w:r w:rsidRPr="00DE2391">
        <w:rPr>
          <w:sz w:val="22"/>
          <w:szCs w:val="22"/>
        </w:rPr>
        <w:t>Anaesthetics</w:t>
      </w:r>
      <w:proofErr w:type="spellEnd"/>
      <w:r w:rsidRPr="00DE2391">
        <w:rPr>
          <w:sz w:val="22"/>
          <w:szCs w:val="22"/>
        </w:rPr>
        <w:t xml:space="preserve">: </w:t>
      </w:r>
      <w:r>
        <w:rPr>
          <w:sz w:val="22"/>
          <w:szCs w:val="22"/>
        </w:rPr>
        <w:t xml:space="preserve">Walter Benjamin’s Artwork Essay </w:t>
      </w:r>
    </w:p>
    <w:p w:rsidR="00130935" w:rsidRPr="00DE2391" w:rsidRDefault="00130935" w:rsidP="00130935">
      <w:pPr>
        <w:rPr>
          <w:sz w:val="22"/>
          <w:szCs w:val="22"/>
        </w:rPr>
      </w:pPr>
      <w:r w:rsidRPr="00DE2391">
        <w:rPr>
          <w:sz w:val="22"/>
          <w:szCs w:val="22"/>
        </w:rPr>
        <w:t xml:space="preserve">Reconsidered’. </w:t>
      </w:r>
      <w:r w:rsidRPr="00DE2391">
        <w:rPr>
          <w:sz w:val="22"/>
          <w:szCs w:val="22"/>
          <w:u w:val="single"/>
        </w:rPr>
        <w:t xml:space="preserve">October </w:t>
      </w:r>
      <w:r w:rsidRPr="00DE2391">
        <w:rPr>
          <w:sz w:val="22"/>
          <w:szCs w:val="22"/>
        </w:rPr>
        <w:t>62 (1992): 3-41.</w:t>
      </w:r>
    </w:p>
    <w:p w:rsidR="00130935" w:rsidRPr="00DE2391" w:rsidRDefault="00130935" w:rsidP="00130935">
      <w:pPr>
        <w:rPr>
          <w:sz w:val="22"/>
          <w:szCs w:val="22"/>
        </w:rPr>
      </w:pPr>
      <w:r w:rsidRPr="00DE2391">
        <w:rPr>
          <w:sz w:val="22"/>
          <w:szCs w:val="22"/>
        </w:rPr>
        <w:t xml:space="preserve">--------. </w:t>
      </w:r>
      <w:proofErr w:type="spellStart"/>
      <w:r w:rsidRPr="00DE2391">
        <w:rPr>
          <w:sz w:val="22"/>
          <w:szCs w:val="22"/>
          <w:u w:val="single"/>
        </w:rPr>
        <w:t>Dreamworld</w:t>
      </w:r>
      <w:proofErr w:type="spellEnd"/>
      <w:r w:rsidRPr="00DE2391">
        <w:rPr>
          <w:sz w:val="22"/>
          <w:szCs w:val="22"/>
          <w:u w:val="single"/>
        </w:rPr>
        <w:t xml:space="preserve"> and Catastrophe</w:t>
      </w:r>
      <w:r w:rsidRPr="00DE2391">
        <w:rPr>
          <w:sz w:val="22"/>
          <w:szCs w:val="22"/>
        </w:rPr>
        <w:t xml:space="preserve"> (Cambridge: MIT Press, 2002).</w:t>
      </w:r>
    </w:p>
    <w:p w:rsidR="00130935" w:rsidRDefault="00130935" w:rsidP="00130935">
      <w:pPr>
        <w:rPr>
          <w:sz w:val="22"/>
          <w:szCs w:val="22"/>
        </w:rPr>
      </w:pPr>
      <w:r w:rsidRPr="00DE2391">
        <w:rPr>
          <w:sz w:val="22"/>
          <w:szCs w:val="22"/>
        </w:rPr>
        <w:t xml:space="preserve">Doherty, </w:t>
      </w:r>
      <w:proofErr w:type="spellStart"/>
      <w:r w:rsidRPr="00DE2391">
        <w:rPr>
          <w:sz w:val="22"/>
          <w:szCs w:val="22"/>
        </w:rPr>
        <w:t>Brigid</w:t>
      </w:r>
      <w:proofErr w:type="spellEnd"/>
      <w:r w:rsidRPr="00DE2391">
        <w:rPr>
          <w:sz w:val="22"/>
          <w:szCs w:val="22"/>
        </w:rPr>
        <w:t xml:space="preserve">. ‘Between the Artwork and Its “Actualization”: A Footnote to Art History in </w:t>
      </w:r>
    </w:p>
    <w:p w:rsidR="00130935" w:rsidRPr="00DE2391" w:rsidRDefault="00130935" w:rsidP="00130935">
      <w:pPr>
        <w:rPr>
          <w:sz w:val="22"/>
          <w:szCs w:val="22"/>
        </w:rPr>
      </w:pPr>
      <w:proofErr w:type="gramStart"/>
      <w:r w:rsidRPr="00DE2391">
        <w:rPr>
          <w:sz w:val="22"/>
          <w:szCs w:val="22"/>
        </w:rPr>
        <w:t>Benjamin’s “Work of Art” Essay’.</w:t>
      </w:r>
      <w:proofErr w:type="gramEnd"/>
      <w:r w:rsidRPr="00DE2391">
        <w:rPr>
          <w:sz w:val="22"/>
          <w:szCs w:val="22"/>
        </w:rPr>
        <w:t xml:space="preserve"> </w:t>
      </w:r>
      <w:r w:rsidRPr="00DE2391">
        <w:rPr>
          <w:sz w:val="22"/>
          <w:szCs w:val="22"/>
          <w:u w:val="single"/>
        </w:rPr>
        <w:t>Paragraph</w:t>
      </w:r>
      <w:r w:rsidRPr="00DE2391">
        <w:rPr>
          <w:sz w:val="22"/>
          <w:szCs w:val="22"/>
        </w:rPr>
        <w:t xml:space="preserve"> 32 (2009): 331-58.</w:t>
      </w:r>
    </w:p>
    <w:p w:rsidR="00130935" w:rsidRPr="00DE2391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Eiland</w:t>
      </w:r>
      <w:proofErr w:type="spellEnd"/>
      <w:r w:rsidRPr="00DE2391">
        <w:rPr>
          <w:sz w:val="22"/>
          <w:szCs w:val="22"/>
        </w:rPr>
        <w:t xml:space="preserve">, Howard. </w:t>
      </w:r>
      <w:proofErr w:type="gramStart"/>
      <w:r w:rsidRPr="00DE2391">
        <w:rPr>
          <w:sz w:val="22"/>
          <w:szCs w:val="22"/>
        </w:rPr>
        <w:t>‘Reception in Distraction’.</w:t>
      </w:r>
      <w:proofErr w:type="gramEnd"/>
      <w:r w:rsidRPr="00DE2391">
        <w:rPr>
          <w:sz w:val="22"/>
          <w:szCs w:val="22"/>
        </w:rPr>
        <w:t xml:space="preserve"> </w:t>
      </w:r>
      <w:proofErr w:type="gramStart"/>
      <w:r w:rsidRPr="00DE2391">
        <w:rPr>
          <w:sz w:val="22"/>
          <w:szCs w:val="22"/>
          <w:u w:val="single"/>
        </w:rPr>
        <w:t>boundary</w:t>
      </w:r>
      <w:proofErr w:type="gramEnd"/>
      <w:r w:rsidRPr="00DE2391">
        <w:rPr>
          <w:sz w:val="22"/>
          <w:szCs w:val="22"/>
          <w:u w:val="single"/>
        </w:rPr>
        <w:t xml:space="preserve"> 2</w:t>
      </w:r>
      <w:r w:rsidRPr="00DE2391">
        <w:rPr>
          <w:sz w:val="22"/>
          <w:szCs w:val="22"/>
        </w:rPr>
        <w:t xml:space="preserve"> 30.1 (2003): 51-66.</w:t>
      </w:r>
    </w:p>
    <w:p w:rsidR="00130935" w:rsidRPr="00DE2391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Gasché</w:t>
      </w:r>
      <w:proofErr w:type="spellEnd"/>
      <w:r w:rsidRPr="00DE2391">
        <w:rPr>
          <w:sz w:val="22"/>
          <w:szCs w:val="22"/>
        </w:rPr>
        <w:t xml:space="preserve">, </w:t>
      </w:r>
      <w:proofErr w:type="spellStart"/>
      <w:r w:rsidRPr="00DE2391">
        <w:rPr>
          <w:sz w:val="22"/>
          <w:szCs w:val="22"/>
        </w:rPr>
        <w:t>Rodolphe</w:t>
      </w:r>
      <w:proofErr w:type="spellEnd"/>
      <w:r w:rsidRPr="00DE2391">
        <w:rPr>
          <w:sz w:val="22"/>
          <w:szCs w:val="22"/>
        </w:rPr>
        <w:t xml:space="preserve">. ‘The Deepening of Apperception: On Walter Benjamin’s Theory of Film’. </w:t>
      </w:r>
      <w:r w:rsidRPr="00DE2391">
        <w:rPr>
          <w:sz w:val="22"/>
          <w:szCs w:val="22"/>
          <w:u w:val="single"/>
        </w:rPr>
        <w:t>Mosaic</w:t>
      </w:r>
      <w:r w:rsidRPr="00DE2391">
        <w:rPr>
          <w:sz w:val="22"/>
          <w:szCs w:val="22"/>
        </w:rPr>
        <w:t xml:space="preserve"> 41.4 (2008): 27-39.</w:t>
      </w:r>
    </w:p>
    <w:p w:rsidR="00130935" w:rsidRPr="00DE2391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Gilloch</w:t>
      </w:r>
      <w:proofErr w:type="spellEnd"/>
      <w:r w:rsidRPr="00DE2391">
        <w:rPr>
          <w:sz w:val="22"/>
          <w:szCs w:val="22"/>
        </w:rPr>
        <w:t>, Graeme</w:t>
      </w:r>
      <w:r w:rsidRPr="00DE2391">
        <w:rPr>
          <w:sz w:val="22"/>
          <w:szCs w:val="22"/>
          <w:u w:val="single"/>
        </w:rPr>
        <w:t>. Myth and Metropolis: Walter Benjamin and the City</w:t>
      </w:r>
      <w:r w:rsidRPr="00DE2391">
        <w:rPr>
          <w:sz w:val="22"/>
          <w:szCs w:val="22"/>
        </w:rPr>
        <w:t xml:space="preserve"> (Cambridge: Polity Press, 1996). </w:t>
      </w:r>
    </w:p>
    <w:p w:rsidR="00130935" w:rsidRPr="00DE2391" w:rsidRDefault="00130935" w:rsidP="00130935">
      <w:pPr>
        <w:rPr>
          <w:sz w:val="22"/>
          <w:szCs w:val="22"/>
        </w:rPr>
      </w:pPr>
      <w:r w:rsidRPr="00DE2391">
        <w:rPr>
          <w:sz w:val="22"/>
          <w:szCs w:val="22"/>
        </w:rPr>
        <w:t xml:space="preserve">Hansen, Miriam </w:t>
      </w:r>
      <w:proofErr w:type="spellStart"/>
      <w:r w:rsidRPr="00DE2391">
        <w:rPr>
          <w:sz w:val="22"/>
          <w:szCs w:val="22"/>
        </w:rPr>
        <w:t>Bratu</w:t>
      </w:r>
      <w:proofErr w:type="spellEnd"/>
      <w:r w:rsidRPr="00DE2391">
        <w:rPr>
          <w:sz w:val="22"/>
          <w:szCs w:val="22"/>
        </w:rPr>
        <w:t xml:space="preserve">. ‘Benjamin, Cinema and Experience: “The Blue Flower in the Land of Technology”.’ </w:t>
      </w:r>
      <w:r w:rsidRPr="00DE2391">
        <w:rPr>
          <w:sz w:val="22"/>
          <w:szCs w:val="22"/>
          <w:u w:val="single"/>
        </w:rPr>
        <w:t>New German Critique</w:t>
      </w:r>
      <w:r w:rsidRPr="00DE2391">
        <w:rPr>
          <w:sz w:val="22"/>
          <w:szCs w:val="22"/>
        </w:rPr>
        <w:t xml:space="preserve"> 40 (1987): 179-224. </w:t>
      </w:r>
    </w:p>
    <w:p w:rsidR="00130935" w:rsidRPr="00DE2391" w:rsidRDefault="00130935" w:rsidP="00130935">
      <w:pPr>
        <w:rPr>
          <w:sz w:val="22"/>
          <w:szCs w:val="22"/>
        </w:rPr>
      </w:pPr>
      <w:r w:rsidRPr="00DE2391">
        <w:rPr>
          <w:sz w:val="22"/>
          <w:szCs w:val="22"/>
        </w:rPr>
        <w:t xml:space="preserve">--------. </w:t>
      </w:r>
      <w:proofErr w:type="gramStart"/>
      <w:r w:rsidRPr="00DE2391">
        <w:rPr>
          <w:sz w:val="22"/>
          <w:szCs w:val="22"/>
        </w:rPr>
        <w:t>‘Benjamin’s Aura’.</w:t>
      </w:r>
      <w:proofErr w:type="gramEnd"/>
      <w:r w:rsidRPr="00DE2391">
        <w:rPr>
          <w:sz w:val="22"/>
          <w:szCs w:val="22"/>
        </w:rPr>
        <w:t xml:space="preserve"> </w:t>
      </w:r>
      <w:r w:rsidRPr="00DE2391">
        <w:rPr>
          <w:sz w:val="22"/>
          <w:szCs w:val="22"/>
          <w:u w:val="single"/>
        </w:rPr>
        <w:t>Critical Inquiry</w:t>
      </w:r>
      <w:r w:rsidRPr="00DE2391">
        <w:rPr>
          <w:sz w:val="22"/>
          <w:szCs w:val="22"/>
        </w:rPr>
        <w:t xml:space="preserve"> 34 (2008): 336-75.</w:t>
      </w:r>
    </w:p>
    <w:p w:rsidR="00130935" w:rsidRPr="00DE2391" w:rsidRDefault="00130935" w:rsidP="00130935">
      <w:pPr>
        <w:rPr>
          <w:sz w:val="22"/>
          <w:szCs w:val="22"/>
        </w:rPr>
      </w:pPr>
    </w:p>
    <w:p w:rsidR="00130935" w:rsidRPr="00036B90" w:rsidRDefault="00130935" w:rsidP="00130935">
      <w:pPr>
        <w:pStyle w:val="DoubleSpace"/>
        <w:spacing w:line="240" w:lineRule="auto"/>
        <w:rPr>
          <w:b/>
        </w:rPr>
      </w:pPr>
      <w:r>
        <w:rPr>
          <w:b/>
        </w:rPr>
        <w:t>‘The Concept of History’</w:t>
      </w:r>
    </w:p>
    <w:p w:rsidR="00130935" w:rsidRDefault="00130935" w:rsidP="00130935">
      <w:pPr>
        <w:rPr>
          <w:b/>
        </w:rPr>
      </w:pPr>
    </w:p>
    <w:p w:rsidR="00130935" w:rsidRPr="00DE2391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Bahti</w:t>
      </w:r>
      <w:proofErr w:type="spellEnd"/>
      <w:r w:rsidRPr="00DE2391">
        <w:rPr>
          <w:sz w:val="22"/>
          <w:szCs w:val="22"/>
        </w:rPr>
        <w:t xml:space="preserve">, Timothy. ‘History as Rhetorical Enactment: Walter Benjamin’s Theses “On the Concept of History”’. </w:t>
      </w:r>
      <w:r w:rsidRPr="00DE2391">
        <w:rPr>
          <w:sz w:val="22"/>
          <w:szCs w:val="22"/>
          <w:u w:val="single"/>
        </w:rPr>
        <w:t>Diacritics</w:t>
      </w:r>
      <w:r w:rsidRPr="00DE2391">
        <w:rPr>
          <w:sz w:val="22"/>
          <w:szCs w:val="22"/>
        </w:rPr>
        <w:t xml:space="preserve"> 9.3 (1979): 2-17.</w:t>
      </w:r>
    </w:p>
    <w:p w:rsidR="00130935" w:rsidRPr="00DE2391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Chrostowska</w:t>
      </w:r>
      <w:proofErr w:type="spellEnd"/>
      <w:r w:rsidRPr="00DE2391">
        <w:rPr>
          <w:sz w:val="22"/>
          <w:szCs w:val="22"/>
        </w:rPr>
        <w:t xml:space="preserve">, S.D. ‘Angelus Novus: Angst of History’. </w:t>
      </w:r>
      <w:r w:rsidRPr="00DE2391">
        <w:rPr>
          <w:sz w:val="22"/>
          <w:szCs w:val="22"/>
          <w:u w:val="single"/>
        </w:rPr>
        <w:t>Diacritics</w:t>
      </w:r>
      <w:r w:rsidRPr="00DE2391">
        <w:rPr>
          <w:sz w:val="22"/>
          <w:szCs w:val="22"/>
        </w:rPr>
        <w:t xml:space="preserve"> 40.1 (2012): 42-69.</w:t>
      </w:r>
    </w:p>
    <w:p w:rsidR="00130935" w:rsidRPr="00DE2391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Fenves</w:t>
      </w:r>
      <w:proofErr w:type="spellEnd"/>
      <w:r w:rsidRPr="00DE2391">
        <w:rPr>
          <w:sz w:val="22"/>
          <w:szCs w:val="22"/>
        </w:rPr>
        <w:t xml:space="preserve">, Peter. </w:t>
      </w:r>
      <w:r w:rsidRPr="00DE2391">
        <w:rPr>
          <w:sz w:val="22"/>
          <w:szCs w:val="22"/>
          <w:u w:val="single"/>
        </w:rPr>
        <w:t>The Messianic Reduction: Walter Benjamin and the Shape of Time</w:t>
      </w:r>
      <w:r w:rsidRPr="00DE2391">
        <w:rPr>
          <w:sz w:val="22"/>
          <w:szCs w:val="22"/>
        </w:rPr>
        <w:t xml:space="preserve"> (Stanford: Stanford University Press, 2011).</w:t>
      </w:r>
    </w:p>
    <w:p w:rsidR="00130935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Löwy</w:t>
      </w:r>
      <w:proofErr w:type="spellEnd"/>
      <w:r w:rsidRPr="00DE2391">
        <w:rPr>
          <w:sz w:val="22"/>
          <w:szCs w:val="22"/>
        </w:rPr>
        <w:t xml:space="preserve">, Michael. ‘Religion, Utopia and Counter-Modernity: The Allegory of the Angel of History in </w:t>
      </w:r>
    </w:p>
    <w:p w:rsidR="00130935" w:rsidRPr="00DE2391" w:rsidRDefault="00130935" w:rsidP="00130935">
      <w:pPr>
        <w:rPr>
          <w:sz w:val="22"/>
          <w:szCs w:val="22"/>
        </w:rPr>
      </w:pPr>
      <w:proofErr w:type="gramStart"/>
      <w:r w:rsidRPr="00DE2391">
        <w:rPr>
          <w:sz w:val="22"/>
          <w:szCs w:val="22"/>
        </w:rPr>
        <w:t>Walter Benjamin’.</w:t>
      </w:r>
      <w:proofErr w:type="gramEnd"/>
      <w:r w:rsidRPr="00DE2391">
        <w:rPr>
          <w:sz w:val="22"/>
          <w:szCs w:val="22"/>
        </w:rPr>
        <w:t xml:space="preserve"> </w:t>
      </w:r>
      <w:r w:rsidRPr="00DE2391">
        <w:rPr>
          <w:sz w:val="22"/>
          <w:szCs w:val="22"/>
          <w:u w:val="single"/>
        </w:rPr>
        <w:t>Social Compass</w:t>
      </w:r>
      <w:r w:rsidRPr="00DE2391">
        <w:rPr>
          <w:sz w:val="22"/>
          <w:szCs w:val="22"/>
        </w:rPr>
        <w:t xml:space="preserve"> 36.1 (1989): 95-104.</w:t>
      </w:r>
    </w:p>
    <w:p w:rsidR="00130935" w:rsidRDefault="00130935" w:rsidP="00130935">
      <w:pPr>
        <w:rPr>
          <w:sz w:val="22"/>
          <w:szCs w:val="22"/>
        </w:rPr>
      </w:pPr>
      <w:r w:rsidRPr="00DE2391">
        <w:rPr>
          <w:sz w:val="22"/>
          <w:szCs w:val="22"/>
        </w:rPr>
        <w:t xml:space="preserve">--------. </w:t>
      </w:r>
      <w:r w:rsidRPr="00DE2391">
        <w:rPr>
          <w:sz w:val="22"/>
          <w:szCs w:val="22"/>
          <w:u w:val="single"/>
        </w:rPr>
        <w:t>Fire Alarm: Reading Walter Benjamin’s ‘On the Concept of History’</w:t>
      </w:r>
      <w:r w:rsidRPr="00DE2391">
        <w:rPr>
          <w:sz w:val="22"/>
          <w:szCs w:val="22"/>
        </w:rPr>
        <w:t xml:space="preserve">. Trans. Chris Turner </w:t>
      </w:r>
    </w:p>
    <w:p w:rsidR="00130935" w:rsidRPr="00DE2391" w:rsidRDefault="00130935" w:rsidP="00130935">
      <w:pPr>
        <w:rPr>
          <w:sz w:val="22"/>
          <w:szCs w:val="22"/>
        </w:rPr>
      </w:pPr>
      <w:r w:rsidRPr="00DE2391">
        <w:rPr>
          <w:sz w:val="22"/>
          <w:szCs w:val="22"/>
        </w:rPr>
        <w:t>(London and New York: Verso, 2005).</w:t>
      </w:r>
    </w:p>
    <w:p w:rsidR="00130935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Mosès</w:t>
      </w:r>
      <w:proofErr w:type="spellEnd"/>
      <w:r w:rsidRPr="00DE2391">
        <w:rPr>
          <w:sz w:val="22"/>
          <w:szCs w:val="22"/>
        </w:rPr>
        <w:t xml:space="preserve">, </w:t>
      </w:r>
      <w:proofErr w:type="spellStart"/>
      <w:r w:rsidRPr="00DE2391">
        <w:rPr>
          <w:sz w:val="22"/>
          <w:szCs w:val="22"/>
        </w:rPr>
        <w:t>Stéphane</w:t>
      </w:r>
      <w:proofErr w:type="spellEnd"/>
      <w:r w:rsidRPr="00DE2391">
        <w:rPr>
          <w:sz w:val="22"/>
          <w:szCs w:val="22"/>
        </w:rPr>
        <w:t xml:space="preserve">. </w:t>
      </w:r>
      <w:r w:rsidRPr="00DE2391">
        <w:rPr>
          <w:sz w:val="22"/>
          <w:szCs w:val="22"/>
          <w:u w:val="single"/>
        </w:rPr>
        <w:t xml:space="preserve">The Angel of History: </w:t>
      </w:r>
      <w:proofErr w:type="spellStart"/>
      <w:r w:rsidRPr="00DE2391">
        <w:rPr>
          <w:sz w:val="22"/>
          <w:szCs w:val="22"/>
          <w:u w:val="single"/>
        </w:rPr>
        <w:t>Rosenzweig</w:t>
      </w:r>
      <w:proofErr w:type="spellEnd"/>
      <w:r w:rsidRPr="00DE2391">
        <w:rPr>
          <w:sz w:val="22"/>
          <w:szCs w:val="22"/>
          <w:u w:val="single"/>
        </w:rPr>
        <w:t xml:space="preserve">, Benjamin, </w:t>
      </w:r>
      <w:proofErr w:type="spellStart"/>
      <w:r w:rsidRPr="00DE2391">
        <w:rPr>
          <w:sz w:val="22"/>
          <w:szCs w:val="22"/>
          <w:u w:val="single"/>
        </w:rPr>
        <w:t>Scholem</w:t>
      </w:r>
      <w:proofErr w:type="spellEnd"/>
      <w:r w:rsidRPr="00DE2391">
        <w:rPr>
          <w:sz w:val="22"/>
          <w:szCs w:val="22"/>
        </w:rPr>
        <w:t xml:space="preserve">. Trans. Barbara </w:t>
      </w:r>
      <w:proofErr w:type="spellStart"/>
      <w:r w:rsidRPr="00DE2391">
        <w:rPr>
          <w:sz w:val="22"/>
          <w:szCs w:val="22"/>
        </w:rPr>
        <w:t>Harshav</w:t>
      </w:r>
      <w:proofErr w:type="spellEnd"/>
      <w:r w:rsidRPr="00DE2391">
        <w:rPr>
          <w:sz w:val="22"/>
          <w:szCs w:val="22"/>
        </w:rPr>
        <w:t xml:space="preserve"> </w:t>
      </w:r>
    </w:p>
    <w:p w:rsidR="00130935" w:rsidRPr="00DE2391" w:rsidRDefault="00130935" w:rsidP="00130935">
      <w:pPr>
        <w:rPr>
          <w:sz w:val="22"/>
          <w:szCs w:val="22"/>
        </w:rPr>
      </w:pPr>
      <w:r w:rsidRPr="00DE2391">
        <w:rPr>
          <w:sz w:val="22"/>
          <w:szCs w:val="22"/>
        </w:rPr>
        <w:t>(Stanford: Stanford University Press, 2009).</w:t>
      </w:r>
    </w:p>
    <w:p w:rsidR="00130935" w:rsidRPr="00DE2391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Pecora</w:t>
      </w:r>
      <w:proofErr w:type="spellEnd"/>
      <w:r w:rsidRPr="00DE2391">
        <w:rPr>
          <w:sz w:val="22"/>
          <w:szCs w:val="22"/>
        </w:rPr>
        <w:t xml:space="preserve">, Vincent P. ‘Benjamin, </w:t>
      </w:r>
      <w:proofErr w:type="spellStart"/>
      <w:r w:rsidRPr="00DE2391">
        <w:rPr>
          <w:sz w:val="22"/>
          <w:szCs w:val="22"/>
        </w:rPr>
        <w:t>Kracauer</w:t>
      </w:r>
      <w:proofErr w:type="spellEnd"/>
      <w:r w:rsidRPr="00DE2391">
        <w:rPr>
          <w:sz w:val="22"/>
          <w:szCs w:val="22"/>
        </w:rPr>
        <w:t xml:space="preserve"> and Redemptive History’. </w:t>
      </w:r>
      <w:r w:rsidRPr="00DE2391">
        <w:rPr>
          <w:sz w:val="22"/>
          <w:szCs w:val="22"/>
          <w:u w:val="single"/>
        </w:rPr>
        <w:t>Genre</w:t>
      </w:r>
      <w:r w:rsidRPr="00DE2391">
        <w:rPr>
          <w:sz w:val="22"/>
          <w:szCs w:val="22"/>
        </w:rPr>
        <w:t xml:space="preserve"> XXXV (2002): 55-88.</w:t>
      </w:r>
    </w:p>
    <w:p w:rsidR="00130935" w:rsidRPr="00DE2391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Rabinbach</w:t>
      </w:r>
      <w:proofErr w:type="spellEnd"/>
      <w:r w:rsidRPr="00DE2391">
        <w:rPr>
          <w:sz w:val="22"/>
          <w:szCs w:val="22"/>
        </w:rPr>
        <w:t xml:space="preserve">, Anson. ‘Between Enlightenment and Apocalypse: Benjamin and Modern German Jewish </w:t>
      </w:r>
      <w:proofErr w:type="spellStart"/>
      <w:r w:rsidRPr="00DE2391">
        <w:rPr>
          <w:sz w:val="22"/>
          <w:szCs w:val="22"/>
        </w:rPr>
        <w:t>Messianism</w:t>
      </w:r>
      <w:proofErr w:type="spellEnd"/>
      <w:r w:rsidRPr="00DE2391">
        <w:rPr>
          <w:sz w:val="22"/>
          <w:szCs w:val="22"/>
        </w:rPr>
        <w:t xml:space="preserve">’. </w:t>
      </w:r>
      <w:r w:rsidRPr="00DE2391">
        <w:rPr>
          <w:sz w:val="22"/>
          <w:szCs w:val="22"/>
          <w:u w:val="single"/>
        </w:rPr>
        <w:t>New German Critique</w:t>
      </w:r>
      <w:r w:rsidRPr="00DE2391">
        <w:rPr>
          <w:sz w:val="22"/>
          <w:szCs w:val="22"/>
        </w:rPr>
        <w:t xml:space="preserve"> 34 (1985): 78-124.</w:t>
      </w:r>
    </w:p>
    <w:p w:rsidR="00130935" w:rsidRPr="00DE2391" w:rsidRDefault="00130935" w:rsidP="00130935">
      <w:pPr>
        <w:rPr>
          <w:sz w:val="22"/>
          <w:szCs w:val="22"/>
        </w:rPr>
      </w:pPr>
      <w:proofErr w:type="spellStart"/>
      <w:r w:rsidRPr="00DE2391">
        <w:rPr>
          <w:sz w:val="22"/>
          <w:szCs w:val="22"/>
        </w:rPr>
        <w:t>Szondi</w:t>
      </w:r>
      <w:proofErr w:type="spellEnd"/>
      <w:r w:rsidRPr="00DE2391">
        <w:rPr>
          <w:sz w:val="22"/>
          <w:szCs w:val="22"/>
        </w:rPr>
        <w:t xml:space="preserve">, Peter. ‘Hope in the Past: On Walter Benjamin’. </w:t>
      </w:r>
      <w:r w:rsidRPr="00DE2391">
        <w:rPr>
          <w:sz w:val="22"/>
          <w:szCs w:val="22"/>
          <w:u w:val="single"/>
        </w:rPr>
        <w:t>Critical Inquiry</w:t>
      </w:r>
      <w:r w:rsidRPr="00DE2391">
        <w:rPr>
          <w:sz w:val="22"/>
          <w:szCs w:val="22"/>
        </w:rPr>
        <w:t xml:space="preserve"> 4.3 (1978): 491-506.</w:t>
      </w:r>
    </w:p>
    <w:p w:rsidR="00E62415" w:rsidRPr="00130935" w:rsidRDefault="00130935">
      <w:pPr>
        <w:rPr>
          <w:sz w:val="22"/>
          <w:szCs w:val="22"/>
        </w:rPr>
      </w:pPr>
      <w:r w:rsidRPr="00DE2391">
        <w:rPr>
          <w:sz w:val="22"/>
          <w:szCs w:val="22"/>
        </w:rPr>
        <w:t xml:space="preserve">Tiedemann, Rolf. </w:t>
      </w:r>
      <w:proofErr w:type="gramStart"/>
      <w:r w:rsidRPr="00DE2391">
        <w:rPr>
          <w:sz w:val="22"/>
          <w:szCs w:val="22"/>
        </w:rPr>
        <w:t xml:space="preserve">‘Historical Materialism or Political </w:t>
      </w:r>
      <w:proofErr w:type="spellStart"/>
      <w:r w:rsidRPr="00DE2391">
        <w:rPr>
          <w:sz w:val="22"/>
          <w:szCs w:val="22"/>
        </w:rPr>
        <w:t>Messianism</w:t>
      </w:r>
      <w:proofErr w:type="spellEnd"/>
      <w:r w:rsidRPr="00DE2391">
        <w:rPr>
          <w:sz w:val="22"/>
          <w:szCs w:val="22"/>
        </w:rPr>
        <w:t>?</w:t>
      </w:r>
      <w:proofErr w:type="gramEnd"/>
      <w:r w:rsidRPr="00DE2391">
        <w:rPr>
          <w:sz w:val="22"/>
          <w:szCs w:val="22"/>
        </w:rPr>
        <w:t xml:space="preserve"> </w:t>
      </w:r>
      <w:proofErr w:type="gramStart"/>
      <w:r w:rsidRPr="00DE2391">
        <w:rPr>
          <w:sz w:val="22"/>
          <w:szCs w:val="22"/>
        </w:rPr>
        <w:t>An Interpretation of the “Theses on the Philosophy of History”’.</w:t>
      </w:r>
      <w:proofErr w:type="gramEnd"/>
      <w:r w:rsidRPr="00DE2391">
        <w:rPr>
          <w:sz w:val="22"/>
          <w:szCs w:val="22"/>
        </w:rPr>
        <w:t xml:space="preserve"> </w:t>
      </w:r>
      <w:r w:rsidRPr="00DE2391">
        <w:rPr>
          <w:sz w:val="22"/>
          <w:szCs w:val="22"/>
          <w:u w:val="single"/>
        </w:rPr>
        <w:t>The Philosophical Forum</w:t>
      </w:r>
      <w:r w:rsidRPr="00DE2391">
        <w:rPr>
          <w:sz w:val="22"/>
          <w:szCs w:val="22"/>
        </w:rPr>
        <w:t xml:space="preserve"> XV.1-2 (1983-84): 71-104.</w:t>
      </w:r>
      <w:bookmarkStart w:id="0" w:name="_GoBack"/>
      <w:bookmarkEnd w:id="0"/>
    </w:p>
    <w:sectPr w:rsidR="00E62415" w:rsidRPr="00130935" w:rsidSect="00130935">
      <w:pgSz w:w="11900" w:h="16840"/>
      <w:pgMar w:top="1440" w:right="1134" w:bottom="1440" w:left="1134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Palatin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5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935"/>
    <w:rsid w:val="00130935"/>
    <w:rsid w:val="00134108"/>
    <w:rsid w:val="002115B2"/>
    <w:rsid w:val="0037769F"/>
    <w:rsid w:val="003B068B"/>
    <w:rsid w:val="003D3AA7"/>
    <w:rsid w:val="00432F42"/>
    <w:rsid w:val="00476CE4"/>
    <w:rsid w:val="00477C8F"/>
    <w:rsid w:val="004F262D"/>
    <w:rsid w:val="00524895"/>
    <w:rsid w:val="00561003"/>
    <w:rsid w:val="0058334B"/>
    <w:rsid w:val="006728F9"/>
    <w:rsid w:val="00713F29"/>
    <w:rsid w:val="007319F8"/>
    <w:rsid w:val="00895F07"/>
    <w:rsid w:val="008C5552"/>
    <w:rsid w:val="008F529C"/>
    <w:rsid w:val="00997C1D"/>
    <w:rsid w:val="009D4AD1"/>
    <w:rsid w:val="009E5A26"/>
    <w:rsid w:val="00A41A49"/>
    <w:rsid w:val="00A552B6"/>
    <w:rsid w:val="00A62480"/>
    <w:rsid w:val="00A9743A"/>
    <w:rsid w:val="00AF3293"/>
    <w:rsid w:val="00B74571"/>
    <w:rsid w:val="00BB1612"/>
    <w:rsid w:val="00BB5A25"/>
    <w:rsid w:val="00C92CAF"/>
    <w:rsid w:val="00D327B8"/>
    <w:rsid w:val="00E00703"/>
    <w:rsid w:val="00E01C0A"/>
    <w:rsid w:val="00E17091"/>
    <w:rsid w:val="00E326FA"/>
    <w:rsid w:val="00E62415"/>
    <w:rsid w:val="00E8006A"/>
    <w:rsid w:val="00E91B02"/>
    <w:rsid w:val="00FB6BE3"/>
    <w:rsid w:val="00FB6F45"/>
    <w:rsid w:val="00FF055D"/>
    <w:rsid w:val="00FF284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35C28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0935"/>
    <w:pPr>
      <w:tabs>
        <w:tab w:val="left" w:pos="720"/>
      </w:tabs>
    </w:pPr>
    <w:rPr>
      <w:rFonts w:ascii="Palatino" w:eastAsia="Times New Roman" w:hAnsi="Palatino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oubleSpace">
    <w:name w:val="Double Space"/>
    <w:basedOn w:val="Normal"/>
    <w:next w:val="Normal"/>
    <w:rsid w:val="00130935"/>
    <w:pPr>
      <w:spacing w:line="480" w:lineRule="atLeast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0935"/>
    <w:pPr>
      <w:tabs>
        <w:tab w:val="left" w:pos="720"/>
      </w:tabs>
    </w:pPr>
    <w:rPr>
      <w:rFonts w:ascii="Palatino" w:eastAsia="Times New Roman" w:hAnsi="Palatino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oubleSpace">
    <w:name w:val="Double Space"/>
    <w:basedOn w:val="Normal"/>
    <w:next w:val="Normal"/>
    <w:rsid w:val="00130935"/>
    <w:pPr>
      <w:spacing w:line="480" w:lineRule="atLea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324</Words>
  <Characters>1849</Characters>
  <Application>Microsoft Macintosh Word</Application>
  <DocSecurity>0</DocSecurity>
  <Lines>15</Lines>
  <Paragraphs>4</Paragraphs>
  <ScaleCrop>false</ScaleCrop>
  <Company>University of Warwick</Company>
  <LinksUpToDate>false</LinksUpToDate>
  <CharactersWithSpaces>2169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Lazarus</dc:creator>
  <cp:keywords/>
  <dc:description/>
  <cp:lastModifiedBy>Neil Lazarus</cp:lastModifiedBy>
  <cp:revision>1</cp:revision>
  <dcterms:created xsi:type="dcterms:W3CDTF">2017-11-27T17:30:00Z</dcterms:created>
  <dcterms:modified xsi:type="dcterms:W3CDTF">2017-11-27T17:33:00Z</dcterms:modified>
</cp:coreProperties>
</file>