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F3" w:rsidRDefault="002811F3" w:rsidP="002811F3">
      <w:pPr>
        <w:rPr>
          <w:b/>
        </w:rPr>
      </w:pPr>
      <w:r w:rsidRPr="003173A5">
        <w:rPr>
          <w:noProof/>
          <w:lang w:val="en-GB"/>
        </w:rPr>
        <mc:AlternateContent>
          <mc:Choice Requires="wps">
            <w:drawing>
              <wp:anchor distT="0" distB="0" distL="114300" distR="114300" simplePos="0" relativeHeight="251659264" behindDoc="1" locked="0" layoutInCell="1" allowOverlap="1" wp14:anchorId="7D084761" wp14:editId="41A7557D">
                <wp:simplePos x="0" y="0"/>
                <wp:positionH relativeFrom="column">
                  <wp:posOffset>-224155</wp:posOffset>
                </wp:positionH>
                <wp:positionV relativeFrom="paragraph">
                  <wp:posOffset>76200</wp:posOffset>
                </wp:positionV>
                <wp:extent cx="6400800" cy="3181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318135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4FD6" id="Rectangle 2" o:spid="_x0000_s1026" style="position:absolute;margin-left:-17.65pt;margin-top:6pt;width:7in;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" fillcolor="#ededed [662]" strokecolor="#1f4d78 [1604]" strokeweight="1pt"/>
            </w:pict>
          </mc:Fallback>
        </mc:AlternateContent>
      </w:r>
    </w:p>
    <w:p w:rsidR="002811F3" w:rsidRPr="003173A5" w:rsidRDefault="002811F3" w:rsidP="002811F3">
      <w:bookmarkStart w:id="0" w:name="_Hlk493505227"/>
      <w:r>
        <w:rPr>
          <w:b/>
        </w:rPr>
        <w:t>Re</w:t>
      </w:r>
      <w:r w:rsidRPr="00BF0FD1">
        <w:rPr>
          <w:b/>
        </w:rPr>
        <w:t>quirements</w:t>
      </w:r>
    </w:p>
    <w:p w:rsidR="002811F3" w:rsidRPr="006973C5"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sidRPr="006973C5">
        <w:rPr>
          <w:sz w:val="22"/>
        </w:rPr>
        <w:t xml:space="preserve">Write an essay of </w:t>
      </w:r>
      <w:r w:rsidRPr="006973C5">
        <w:rPr>
          <w:b/>
          <w:bCs/>
          <w:sz w:val="22"/>
        </w:rPr>
        <w:t>5</w:t>
      </w:r>
      <w:r>
        <w:rPr>
          <w:b/>
          <w:bCs/>
          <w:sz w:val="22"/>
        </w:rPr>
        <w:t>,0</w:t>
      </w:r>
      <w:r w:rsidRPr="006973C5">
        <w:rPr>
          <w:b/>
          <w:bCs/>
          <w:sz w:val="22"/>
        </w:rPr>
        <w:t>00 words</w:t>
      </w:r>
      <w:r>
        <w:rPr>
          <w:sz w:val="22"/>
        </w:rPr>
        <w:t xml:space="preserve"> on one of the following</w:t>
      </w:r>
      <w:r w:rsidRPr="006973C5">
        <w:rPr>
          <w:sz w:val="22"/>
        </w:rPr>
        <w:t xml:space="preserve"> topics. </w:t>
      </w:r>
    </w:p>
    <w:p w:rsidR="002811F3" w:rsidRPr="006973C5"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sidRPr="006973C5">
        <w:rPr>
          <w:sz w:val="22"/>
        </w:rPr>
        <w:t xml:space="preserve">One electronic copy </w:t>
      </w:r>
      <w:proofErr w:type="gramStart"/>
      <w:r w:rsidRPr="006973C5">
        <w:rPr>
          <w:sz w:val="22"/>
        </w:rPr>
        <w:t>should be submitted</w:t>
      </w:r>
      <w:proofErr w:type="gramEnd"/>
      <w:r w:rsidRPr="006973C5">
        <w:rPr>
          <w:sz w:val="22"/>
        </w:rPr>
        <w:t xml:space="preserve"> on TABULA by 12 noon on the day of the deadline. </w:t>
      </w:r>
    </w:p>
    <w:p w:rsidR="002811F3"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sidRPr="006973C5">
        <w:rPr>
          <w:sz w:val="22"/>
        </w:rPr>
        <w:t xml:space="preserve">You must </w:t>
      </w:r>
      <w:r w:rsidRPr="006973C5">
        <w:rPr>
          <w:b/>
          <w:bCs/>
          <w:sz w:val="22"/>
        </w:rPr>
        <w:t xml:space="preserve">refer in detail to </w:t>
      </w:r>
      <w:proofErr w:type="gramStart"/>
      <w:r>
        <w:rPr>
          <w:b/>
          <w:bCs/>
          <w:sz w:val="22"/>
        </w:rPr>
        <w:t xml:space="preserve">either </w:t>
      </w:r>
      <w:r w:rsidRPr="00F20F72">
        <w:rPr>
          <w:bCs/>
          <w:sz w:val="22"/>
          <w:u w:val="single"/>
        </w:rPr>
        <w:t>two</w:t>
      </w:r>
      <w:r w:rsidRPr="00F20F72">
        <w:rPr>
          <w:bCs/>
          <w:sz w:val="22"/>
        </w:rPr>
        <w:t xml:space="preserve"> novels, one novel and</w:t>
      </w:r>
      <w:proofErr w:type="gramEnd"/>
      <w:r w:rsidRPr="00F20F72">
        <w:rPr>
          <w:bCs/>
          <w:sz w:val="22"/>
        </w:rPr>
        <w:t xml:space="preserve"> a few short stories</w:t>
      </w:r>
      <w:r w:rsidR="00F20F72">
        <w:rPr>
          <w:bCs/>
          <w:sz w:val="22"/>
        </w:rPr>
        <w:t xml:space="preserve"> (which count as one text)</w:t>
      </w:r>
      <w:r w:rsidRPr="00F20F72">
        <w:rPr>
          <w:bCs/>
          <w:sz w:val="22"/>
        </w:rPr>
        <w:t>, or around four short stories (these should be by different two different authors, however)</w:t>
      </w:r>
      <w:r w:rsidRPr="00F20F72">
        <w:rPr>
          <w:sz w:val="22"/>
        </w:rPr>
        <w:t>.</w:t>
      </w:r>
      <w:r w:rsidRPr="006973C5">
        <w:rPr>
          <w:sz w:val="22"/>
        </w:rPr>
        <w:t xml:space="preserve"> </w:t>
      </w:r>
    </w:p>
    <w:p w:rsidR="002811F3" w:rsidRPr="006973C5"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Pr>
          <w:sz w:val="22"/>
        </w:rPr>
        <w:t xml:space="preserve">You may use </w:t>
      </w:r>
      <w:r w:rsidRPr="00900548">
        <w:rPr>
          <w:sz w:val="22"/>
          <w:u w:val="single"/>
        </w:rPr>
        <w:t xml:space="preserve">one </w:t>
      </w:r>
      <w:r>
        <w:rPr>
          <w:sz w:val="22"/>
        </w:rPr>
        <w:t>text from the first term, but not</w:t>
      </w:r>
      <w:r w:rsidRPr="006973C5">
        <w:rPr>
          <w:sz w:val="22"/>
        </w:rPr>
        <w:t xml:space="preserve"> a text or topic </w:t>
      </w:r>
      <w:proofErr w:type="spellStart"/>
      <w:r w:rsidRPr="006973C5">
        <w:rPr>
          <w:sz w:val="22"/>
        </w:rPr>
        <w:t>analysed</w:t>
      </w:r>
      <w:proofErr w:type="spellEnd"/>
      <w:r w:rsidRPr="006973C5">
        <w:rPr>
          <w:sz w:val="22"/>
        </w:rPr>
        <w:t xml:space="preserve"> in your first essay.</w:t>
      </w:r>
    </w:p>
    <w:p w:rsidR="002811F3"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sidRPr="006973C5">
        <w:rPr>
          <w:sz w:val="22"/>
        </w:rPr>
        <w:t xml:space="preserve">Ensure to refer to the </w:t>
      </w:r>
      <w:r w:rsidRPr="002848DB">
        <w:rPr>
          <w:b/>
          <w:sz w:val="22"/>
          <w:u w:val="single"/>
        </w:rPr>
        <w:t>feedback from your first essay</w:t>
      </w:r>
      <w:r w:rsidRPr="006973C5">
        <w:rPr>
          <w:sz w:val="22"/>
        </w:rPr>
        <w:t xml:space="preserve"> to avoid repeat errors, and to improve presentation and style.</w:t>
      </w:r>
    </w:p>
    <w:p w:rsidR="002811F3" w:rsidRPr="006973C5" w:rsidRDefault="002811F3" w:rsidP="002811F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sz w:val="22"/>
        </w:rPr>
      </w:pPr>
      <w:r>
        <w:rPr>
          <w:sz w:val="22"/>
        </w:rPr>
        <w:t xml:space="preserve">If you want to </w:t>
      </w:r>
      <w:r w:rsidRPr="006973C5">
        <w:rPr>
          <w:b/>
          <w:sz w:val="22"/>
        </w:rPr>
        <w:t>devise your own question</w:t>
      </w:r>
      <w:r>
        <w:rPr>
          <w:sz w:val="22"/>
        </w:rPr>
        <w:t xml:space="preserve">, please ensure you have considered all the options below first, otherwise you </w:t>
      </w:r>
      <w:r w:rsidRPr="006A04BB">
        <w:rPr>
          <w:sz w:val="22"/>
          <w:u w:val="single"/>
        </w:rPr>
        <w:t>must have it approved by me</w:t>
      </w:r>
      <w:r>
        <w:rPr>
          <w:sz w:val="22"/>
        </w:rPr>
        <w:t xml:space="preserve"> </w:t>
      </w:r>
      <w:r w:rsidRPr="00900548">
        <w:rPr>
          <w:b/>
          <w:sz w:val="22"/>
        </w:rPr>
        <w:t xml:space="preserve">by week </w:t>
      </w:r>
      <w:r>
        <w:rPr>
          <w:b/>
          <w:sz w:val="22"/>
        </w:rPr>
        <w:t>9</w:t>
      </w:r>
      <w:r w:rsidRPr="006973C5">
        <w:rPr>
          <w:b/>
          <w:sz w:val="22"/>
        </w:rPr>
        <w:t>.</w:t>
      </w:r>
    </w:p>
    <w:p w:rsidR="002811F3" w:rsidRPr="006973C5" w:rsidRDefault="002811F3" w:rsidP="002811F3">
      <w:pPr>
        <w:jc w:val="both"/>
        <w:rPr>
          <w:sz w:val="22"/>
        </w:rPr>
      </w:pPr>
    </w:p>
    <w:p w:rsidR="002811F3" w:rsidRPr="006973C5" w:rsidRDefault="002811F3" w:rsidP="002811F3">
      <w:pPr>
        <w:jc w:val="both"/>
        <w:rPr>
          <w:rStyle w:val="normaltextrun"/>
          <w:sz w:val="22"/>
        </w:rPr>
      </w:pPr>
      <w:r w:rsidRPr="006973C5">
        <w:rPr>
          <w:rStyle w:val="normaltextrun"/>
          <w:b/>
          <w:sz w:val="22"/>
        </w:rPr>
        <w:t>Note:</w:t>
      </w:r>
      <w:r w:rsidRPr="006973C5">
        <w:rPr>
          <w:rStyle w:val="normaltextrun"/>
          <w:sz w:val="22"/>
        </w:rPr>
        <w:t xml:space="preserve"> points made by anyone in a seminar are not "quotable". </w:t>
      </w:r>
    </w:p>
    <w:p w:rsidR="002811F3" w:rsidRDefault="002811F3" w:rsidP="002811F3">
      <w:pPr>
        <w:pStyle w:val="ColorfulList-Accent11"/>
        <w:ind w:left="0"/>
        <w:jc w:val="both"/>
        <w:rPr>
          <w:sz w:val="22"/>
        </w:rPr>
      </w:pPr>
      <w:r w:rsidRPr="006973C5">
        <w:rPr>
          <w:b/>
          <w:sz w:val="22"/>
        </w:rPr>
        <w:t xml:space="preserve">Also note: </w:t>
      </w:r>
      <w:r w:rsidRPr="006973C5">
        <w:rPr>
          <w:sz w:val="22"/>
        </w:rPr>
        <w:t xml:space="preserve">If a </w:t>
      </w:r>
      <w:r>
        <w:rPr>
          <w:sz w:val="22"/>
        </w:rPr>
        <w:t xml:space="preserve">question </w:t>
      </w:r>
      <w:r w:rsidRPr="006973C5">
        <w:rPr>
          <w:sz w:val="22"/>
        </w:rPr>
        <w:t xml:space="preserve">quote is from one of our novels, you do not necessarily have to discuss that particular novel, but you should engage with the </w:t>
      </w:r>
      <w:r w:rsidRPr="006973C5">
        <w:rPr>
          <w:sz w:val="22"/>
          <w:u w:val="single"/>
        </w:rPr>
        <w:t>content</w:t>
      </w:r>
      <w:r w:rsidRPr="006973C5">
        <w:rPr>
          <w:sz w:val="22"/>
        </w:rPr>
        <w:t xml:space="preserve"> of the quote in the essay, as with any of the ot</w:t>
      </w:r>
      <w:r>
        <w:rPr>
          <w:sz w:val="22"/>
        </w:rPr>
        <w:t>her questions featuring a quote</w:t>
      </w:r>
    </w:p>
    <w:p w:rsidR="002811F3" w:rsidRDefault="002811F3" w:rsidP="002811F3">
      <w:pPr>
        <w:pStyle w:val="ColorfulList-Accent11"/>
        <w:ind w:left="0"/>
        <w:jc w:val="both"/>
        <w:rPr>
          <w:sz w:val="22"/>
        </w:rPr>
      </w:pPr>
    </w:p>
    <w:p w:rsidR="002811F3" w:rsidRDefault="00EA3362" w:rsidP="002811F3">
      <w:pPr>
        <w:pStyle w:val="ColorfulList-Accent11"/>
        <w:ind w:left="0"/>
        <w:jc w:val="both"/>
        <w:rPr>
          <w:rStyle w:val="normaltextrun"/>
          <w:b/>
        </w:rPr>
      </w:pPr>
      <w:r w:rsidRPr="003173A5">
        <w:rPr>
          <w:noProof/>
        </w:rPr>
        <mc:AlternateContent>
          <mc:Choice Requires="wps">
            <w:drawing>
              <wp:anchor distT="0" distB="0" distL="114300" distR="114300" simplePos="0" relativeHeight="251660288" behindDoc="1" locked="0" layoutInCell="1" allowOverlap="1" wp14:anchorId="4B8782FD" wp14:editId="28B8F0F0">
                <wp:simplePos x="0" y="0"/>
                <wp:positionH relativeFrom="column">
                  <wp:posOffset>-224155</wp:posOffset>
                </wp:positionH>
                <wp:positionV relativeFrom="paragraph">
                  <wp:posOffset>116205</wp:posOffset>
                </wp:positionV>
                <wp:extent cx="6400800" cy="2333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2333625"/>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32C3" id="Rectangle 3" o:spid="_x0000_s1026" style="position:absolute;margin-left:-17.65pt;margin-top:9.15pt;width:7in;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" fillcolor="#ededed [662]" strokecolor="#7b7b7b [2406]" strokeweight="1pt"/>
            </w:pict>
          </mc:Fallback>
        </mc:AlternateContent>
      </w:r>
    </w:p>
    <w:p w:rsidR="002811F3" w:rsidRPr="005A35E4" w:rsidRDefault="002811F3" w:rsidP="002811F3">
      <w:pPr>
        <w:pStyle w:val="ColorfulList-Accent11"/>
        <w:ind w:left="0"/>
        <w:jc w:val="both"/>
        <w:rPr>
          <w:rStyle w:val="normaltextrun"/>
          <w:sz w:val="22"/>
        </w:rPr>
      </w:pPr>
      <w:r>
        <w:rPr>
          <w:rStyle w:val="normaltextrun"/>
          <w:b/>
        </w:rPr>
        <w:t>Style and Content tips</w:t>
      </w:r>
    </w:p>
    <w:p w:rsidR="002811F3" w:rsidRDefault="002811F3" w:rsidP="002811F3">
      <w:pPr>
        <w:ind w:left="-284"/>
        <w:jc w:val="both"/>
        <w:rPr>
          <w:rStyle w:val="normaltextrun"/>
          <w:b/>
        </w:rPr>
      </w:pPr>
    </w:p>
    <w:p w:rsidR="002811F3" w:rsidRPr="006973C5" w:rsidRDefault="002811F3" w:rsidP="00EA336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rStyle w:val="normaltextrun"/>
          <w:b/>
          <w:sz w:val="22"/>
        </w:rPr>
      </w:pPr>
      <w:r w:rsidRPr="006973C5">
        <w:rPr>
          <w:rStyle w:val="normaltextrun"/>
          <w:b/>
          <w:bCs/>
          <w:sz w:val="22"/>
          <w:u w:val="single"/>
        </w:rPr>
        <w:t>CONTEXTUALISE</w:t>
      </w:r>
      <w:r w:rsidRPr="006973C5">
        <w:rPr>
          <w:rStyle w:val="normaltextrun"/>
          <w:sz w:val="22"/>
        </w:rPr>
        <w:t> even in a theoretical reading you should consider dates of the novel, or criticism, or social and political events. Remember, points of historical contextualization, when specific, evidenced and </w:t>
      </w:r>
      <w:proofErr w:type="gramStart"/>
      <w:r w:rsidRPr="006973C5">
        <w:rPr>
          <w:rStyle w:val="normaltextrun"/>
          <w:sz w:val="22"/>
        </w:rPr>
        <w:t>well-earned</w:t>
      </w:r>
      <w:proofErr w:type="gramEnd"/>
      <w:r w:rsidRPr="006973C5">
        <w:rPr>
          <w:rStyle w:val="normaltextrun"/>
          <w:sz w:val="22"/>
        </w:rPr>
        <w:t>, are rewarded; simplifications of “In the nineteenth century” “The Victorians believed” and distortions are best avoided.</w:t>
      </w:r>
    </w:p>
    <w:p w:rsidR="00EA3362" w:rsidRPr="00EA3362" w:rsidRDefault="002811F3" w:rsidP="00EA336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rStyle w:val="normaltextrun"/>
          <w:b/>
          <w:sz w:val="22"/>
        </w:rPr>
      </w:pPr>
      <w:r w:rsidRPr="006973C5">
        <w:rPr>
          <w:rStyle w:val="normaltextrun"/>
          <w:b/>
          <w:sz w:val="22"/>
        </w:rPr>
        <w:t xml:space="preserve">Read your essay aloud. </w:t>
      </w:r>
      <w:r w:rsidRPr="006973C5">
        <w:rPr>
          <w:rStyle w:val="normaltextrun"/>
          <w:sz w:val="22"/>
        </w:rPr>
        <w:t>You should be able to hear awkward phrases and grammatical inconsistencies.</w:t>
      </w:r>
    </w:p>
    <w:p w:rsidR="002811F3" w:rsidRPr="006973C5" w:rsidRDefault="002811F3" w:rsidP="00EA336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rStyle w:val="normaltextrun"/>
          <w:b/>
          <w:sz w:val="22"/>
        </w:rPr>
      </w:pPr>
      <w:r w:rsidRPr="006973C5">
        <w:rPr>
          <w:rStyle w:val="normaltextrun"/>
          <w:b/>
          <w:sz w:val="22"/>
        </w:rPr>
        <w:t xml:space="preserve">Be careful </w:t>
      </w:r>
      <w:r w:rsidRPr="006973C5">
        <w:rPr>
          <w:rStyle w:val="normaltextrun"/>
          <w:sz w:val="22"/>
        </w:rPr>
        <w:t>when talking about what</w:t>
      </w:r>
      <w:r w:rsidRPr="006973C5">
        <w:rPr>
          <w:rStyle w:val="normaltextrun"/>
          <w:b/>
          <w:sz w:val="22"/>
        </w:rPr>
        <w:t xml:space="preserve"> the reader </w:t>
      </w:r>
      <w:r>
        <w:rPr>
          <w:rStyle w:val="normaltextrun"/>
          <w:b/>
          <w:sz w:val="22"/>
        </w:rPr>
        <w:t xml:space="preserve">feels </w:t>
      </w:r>
      <w:r w:rsidRPr="006973C5">
        <w:rPr>
          <w:rStyle w:val="normaltextrun"/>
          <w:b/>
          <w:sz w:val="22"/>
        </w:rPr>
        <w:t xml:space="preserve">understands from a text. </w:t>
      </w:r>
      <w:r w:rsidRPr="006973C5">
        <w:rPr>
          <w:rStyle w:val="normaltextrun"/>
          <w:sz w:val="22"/>
        </w:rPr>
        <w:t>You cannot know what all readers feel</w:t>
      </w:r>
      <w:r>
        <w:rPr>
          <w:rStyle w:val="normaltextrun"/>
          <w:sz w:val="22"/>
        </w:rPr>
        <w:t xml:space="preserve"> so “we can see that” </w:t>
      </w:r>
      <w:r w:rsidR="00EA3362">
        <w:rPr>
          <w:rStyle w:val="normaltextrun"/>
          <w:sz w:val="22"/>
        </w:rPr>
        <w:t xml:space="preserve">or “the reader therefore feels” are </w:t>
      </w:r>
      <w:r>
        <w:rPr>
          <w:rStyle w:val="normaltextrun"/>
          <w:sz w:val="22"/>
        </w:rPr>
        <w:t>problematic</w:t>
      </w:r>
      <w:r w:rsidR="00EA3362">
        <w:rPr>
          <w:rStyle w:val="normaltextrun"/>
          <w:sz w:val="22"/>
        </w:rPr>
        <w:t xml:space="preserve"> phrases</w:t>
      </w:r>
      <w:r w:rsidRPr="006973C5">
        <w:rPr>
          <w:rStyle w:val="normaltextrun"/>
          <w:sz w:val="22"/>
        </w:rPr>
        <w:t xml:space="preserve">. You might engage with a nuanced consideration of the “implied reader”, but so too, you might rephrase. Same with </w:t>
      </w:r>
      <w:r w:rsidRPr="00BE0E70">
        <w:rPr>
          <w:rStyle w:val="normaltextrun"/>
          <w:b/>
          <w:sz w:val="22"/>
        </w:rPr>
        <w:t>a</w:t>
      </w:r>
      <w:r w:rsidRPr="006973C5">
        <w:rPr>
          <w:rStyle w:val="normaltextrun"/>
          <w:b/>
          <w:sz w:val="22"/>
        </w:rPr>
        <w:t xml:space="preserve">uthorial intention </w:t>
      </w:r>
      <w:r w:rsidRPr="006973C5">
        <w:rPr>
          <w:rStyle w:val="normaltextrun"/>
          <w:sz w:val="22"/>
        </w:rPr>
        <w:t>– unless you have evidence, and even then you should distinguish between intention and reception.</w:t>
      </w:r>
    </w:p>
    <w:p w:rsidR="002811F3" w:rsidRDefault="002811F3" w:rsidP="002811F3">
      <w:pPr>
        <w:jc w:val="both"/>
        <w:rPr>
          <w:rStyle w:val="normaltextrun"/>
          <w:b/>
        </w:rPr>
      </w:pPr>
    </w:p>
    <w:p w:rsidR="002811F3" w:rsidRDefault="007E4416" w:rsidP="002811F3">
      <w:pPr>
        <w:jc w:val="both"/>
        <w:rPr>
          <w:rStyle w:val="normaltextrun"/>
          <w:b/>
        </w:rPr>
      </w:pPr>
      <w:r w:rsidRPr="003173A5">
        <w:rPr>
          <w:noProof/>
          <w:lang w:val="en-GB"/>
        </w:rPr>
        <mc:AlternateContent>
          <mc:Choice Requires="wps">
            <w:drawing>
              <wp:anchor distT="0" distB="0" distL="114300" distR="114300" simplePos="0" relativeHeight="251661312" behindDoc="1" locked="0" layoutInCell="1" allowOverlap="1" wp14:anchorId="59FFF689" wp14:editId="4BA1CD52">
                <wp:simplePos x="0" y="0"/>
                <wp:positionH relativeFrom="column">
                  <wp:posOffset>-227570</wp:posOffset>
                </wp:positionH>
                <wp:positionV relativeFrom="paragraph">
                  <wp:posOffset>78944</wp:posOffset>
                </wp:positionV>
                <wp:extent cx="6410325" cy="2001328"/>
                <wp:effectExtent l="0" t="0" r="28575" b="18415"/>
                <wp:wrapNone/>
                <wp:docPr id="4" name="Rectangle 4"/>
                <wp:cNvGraphicFramePr/>
                <a:graphic xmlns:a="http://schemas.openxmlformats.org/drawingml/2006/main">
                  <a:graphicData uri="http://schemas.microsoft.com/office/word/2010/wordprocessingShape">
                    <wps:wsp>
                      <wps:cNvSpPr/>
                      <wps:spPr>
                        <a:xfrm>
                          <a:off x="0" y="0"/>
                          <a:ext cx="6410325" cy="2001328"/>
                        </a:xfrm>
                        <a:prstGeom prst="rect">
                          <a:avLst/>
                        </a:prstGeom>
                        <a:solidFill>
                          <a:schemeClr val="accent3">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5C99" id="Rectangle 4" o:spid="_x0000_s1026" style="position:absolute;margin-left:-17.9pt;margin-top:6.2pt;width:504.75pt;height:1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" fillcolor="#ededed [662]" strokecolor="#c45911 [2405]" strokeweight="1pt"/>
            </w:pict>
          </mc:Fallback>
        </mc:AlternateContent>
      </w:r>
      <w:r w:rsidR="002811F3">
        <w:rPr>
          <w:rStyle w:val="normaltextrun"/>
          <w:b/>
        </w:rPr>
        <w:br/>
        <w:t>Pre-submission checklist</w:t>
      </w:r>
    </w:p>
    <w:p w:rsidR="002811F3" w:rsidRDefault="002811F3" w:rsidP="002811F3">
      <w:pPr>
        <w:jc w:val="both"/>
        <w:rPr>
          <w:rStyle w:val="normaltextrun"/>
          <w:b/>
        </w:rPr>
      </w:pPr>
    </w:p>
    <w:p w:rsidR="002947E2" w:rsidRPr="005453DF" w:rsidRDefault="002811F3" w:rsidP="00EA336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rStyle w:val="normaltextrun"/>
          <w:sz w:val="22"/>
          <w:szCs w:val="22"/>
        </w:rPr>
      </w:pPr>
      <w:r w:rsidRPr="005453DF">
        <w:rPr>
          <w:rStyle w:val="normaltextrun"/>
          <w:sz w:val="22"/>
          <w:szCs w:val="22"/>
        </w:rPr>
        <w:t xml:space="preserve">Refer to “essay checklist” </w:t>
      </w:r>
      <w:r w:rsidR="005453DF">
        <w:rPr>
          <w:rStyle w:val="normaltextrun"/>
          <w:sz w:val="22"/>
          <w:szCs w:val="22"/>
        </w:rPr>
        <w:t xml:space="preserve">on the next page </w:t>
      </w:r>
      <w:r w:rsidRPr="005453DF">
        <w:rPr>
          <w:rStyle w:val="normaltextrun"/>
          <w:sz w:val="22"/>
          <w:szCs w:val="22"/>
        </w:rPr>
        <w:t>and Academic Essay guidelines previously disseminated.</w:t>
      </w:r>
    </w:p>
    <w:p w:rsidR="005453DF" w:rsidRPr="005453DF" w:rsidRDefault="002947E2" w:rsidP="00EA336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sz w:val="22"/>
          <w:szCs w:val="22"/>
        </w:rPr>
      </w:pPr>
      <w:r w:rsidRPr="005453DF">
        <w:rPr>
          <w:sz w:val="22"/>
          <w:szCs w:val="22"/>
        </w:rPr>
        <w:t>Please make sure that you are aware of the</w:t>
      </w:r>
      <w:r w:rsidRPr="005453DF">
        <w:rPr>
          <w:b/>
          <w:bCs/>
          <w:sz w:val="22"/>
          <w:szCs w:val="22"/>
        </w:rPr>
        <w:t xml:space="preserve"> department guidelines for the presentation of essays</w:t>
      </w:r>
      <w:r w:rsidRPr="005453DF">
        <w:rPr>
          <w:sz w:val="22"/>
          <w:szCs w:val="22"/>
        </w:rPr>
        <w:t xml:space="preserve"> and of the </w:t>
      </w:r>
      <w:r w:rsidRPr="005453DF">
        <w:rPr>
          <w:b/>
          <w:bCs/>
          <w:sz w:val="22"/>
          <w:szCs w:val="22"/>
        </w:rPr>
        <w:t>regulations on plagiarism</w:t>
      </w:r>
      <w:r w:rsidRPr="005453DF">
        <w:rPr>
          <w:sz w:val="22"/>
          <w:szCs w:val="22"/>
        </w:rPr>
        <w:t xml:space="preserve">. </w:t>
      </w:r>
    </w:p>
    <w:p w:rsidR="002947E2" w:rsidRPr="005453DF" w:rsidRDefault="005453DF" w:rsidP="00EA336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rPr>
          <w:rStyle w:val="normaltextrun"/>
          <w:sz w:val="22"/>
        </w:rPr>
      </w:pPr>
      <w:r w:rsidRPr="005453DF">
        <w:rPr>
          <w:b/>
          <w:bCs/>
          <w:sz w:val="22"/>
          <w:szCs w:val="22"/>
        </w:rPr>
        <w:t>Use</w:t>
      </w:r>
      <w:r w:rsidR="002947E2" w:rsidRPr="005453DF">
        <w:rPr>
          <w:b/>
          <w:bCs/>
          <w:sz w:val="22"/>
          <w:szCs w:val="22"/>
        </w:rPr>
        <w:t xml:space="preserve"> MLA formatting</w:t>
      </w:r>
      <w:r w:rsidRPr="005453DF">
        <w:rPr>
          <w:rFonts w:eastAsia="Times New Roman"/>
          <w:sz w:val="22"/>
          <w:szCs w:val="22"/>
        </w:rPr>
        <w:t xml:space="preserve"> style, which is </w:t>
      </w:r>
      <w:r w:rsidRPr="005453DF">
        <w:rPr>
          <w:rFonts w:eastAsia="Times New Roman"/>
          <w:sz w:val="22"/>
          <w:szCs w:val="22"/>
        </w:rPr>
        <w:t>an in-text citation system</w:t>
      </w:r>
      <w:r w:rsidR="002947E2" w:rsidRPr="005453DF">
        <w:rPr>
          <w:b/>
          <w:bCs/>
          <w:sz w:val="22"/>
          <w:szCs w:val="22"/>
        </w:rPr>
        <w:t xml:space="preserve"> </w:t>
      </w:r>
      <w:r w:rsidR="002947E2" w:rsidRPr="005453DF">
        <w:rPr>
          <w:sz w:val="22"/>
          <w:szCs w:val="22"/>
        </w:rPr>
        <w:t>(see module webpages for links) or MHRA</w:t>
      </w:r>
      <w:r w:rsidR="002947E2" w:rsidRPr="005453DF">
        <w:rPr>
          <w:b/>
          <w:bCs/>
          <w:sz w:val="22"/>
          <w:szCs w:val="22"/>
        </w:rPr>
        <w:t>.</w:t>
      </w:r>
      <w:r w:rsidR="002947E2" w:rsidRPr="005453DF">
        <w:rPr>
          <w:rFonts w:eastAsia="Times New Roman"/>
          <w:sz w:val="22"/>
          <w:szCs w:val="22"/>
        </w:rPr>
        <w:t xml:space="preserve"> links to the style guides, submission guidelines, and the marking criteria</w:t>
      </w:r>
      <w:r w:rsidRPr="005453DF">
        <w:rPr>
          <w:rFonts w:eastAsia="Times New Roman"/>
          <w:sz w:val="22"/>
          <w:szCs w:val="22"/>
        </w:rPr>
        <w:t xml:space="preserve">, are on the EN334 module page </w:t>
      </w:r>
      <w:r w:rsidR="002947E2" w:rsidRPr="005453DF">
        <w:rPr>
          <w:rFonts w:eastAsia="Times New Roman"/>
          <w:sz w:val="22"/>
          <w:szCs w:val="22"/>
        </w:rPr>
        <w:t xml:space="preserve"> </w:t>
      </w:r>
    </w:p>
    <w:p w:rsidR="002811F3" w:rsidRPr="006973C5" w:rsidRDefault="002811F3" w:rsidP="00EA336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09" w:hanging="357"/>
        <w:contextualSpacing w:val="0"/>
        <w:jc w:val="both"/>
        <w:rPr>
          <w:rStyle w:val="normaltextrun"/>
          <w:b/>
          <w:sz w:val="22"/>
        </w:rPr>
      </w:pPr>
      <w:r>
        <w:rPr>
          <w:rStyle w:val="normaltextrun"/>
          <w:b/>
          <w:sz w:val="22"/>
        </w:rPr>
        <w:t>Save</w:t>
      </w:r>
      <w:r w:rsidRPr="006973C5">
        <w:rPr>
          <w:rStyle w:val="normaltextrun"/>
          <w:b/>
          <w:sz w:val="22"/>
        </w:rPr>
        <w:t xml:space="preserve"> final version </w:t>
      </w:r>
      <w:r w:rsidRPr="005A100D">
        <w:rPr>
          <w:rStyle w:val="normaltextrun"/>
          <w:sz w:val="22"/>
        </w:rPr>
        <w:t>of your document</w:t>
      </w:r>
      <w:r>
        <w:rPr>
          <w:rStyle w:val="normaltextrun"/>
          <w:b/>
          <w:sz w:val="22"/>
        </w:rPr>
        <w:t xml:space="preserve"> </w:t>
      </w:r>
      <w:r w:rsidRPr="006973C5">
        <w:rPr>
          <w:rStyle w:val="normaltextrun"/>
          <w:sz w:val="22"/>
        </w:rPr>
        <w:t>as “student ID EN</w:t>
      </w:r>
      <w:r>
        <w:rPr>
          <w:rStyle w:val="normaltextrun"/>
          <w:sz w:val="22"/>
        </w:rPr>
        <w:t>334</w:t>
      </w:r>
      <w:r w:rsidRPr="006973C5">
        <w:rPr>
          <w:rStyle w:val="normaltextrun"/>
          <w:sz w:val="22"/>
        </w:rPr>
        <w:t xml:space="preserve"> (2)” e.g. 1234567 EN</w:t>
      </w:r>
      <w:r>
        <w:rPr>
          <w:rStyle w:val="normaltextrun"/>
          <w:sz w:val="22"/>
        </w:rPr>
        <w:t>334</w:t>
      </w:r>
      <w:r w:rsidRPr="006973C5">
        <w:rPr>
          <w:rStyle w:val="normaltextrun"/>
          <w:sz w:val="22"/>
        </w:rPr>
        <w:t xml:space="preserve"> (2)</w:t>
      </w:r>
    </w:p>
    <w:p w:rsidR="002811F3" w:rsidRDefault="002811F3" w:rsidP="00EA336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709" w:hanging="357"/>
        <w:contextualSpacing w:val="0"/>
        <w:jc w:val="both"/>
        <w:rPr>
          <w:rStyle w:val="normaltextrun"/>
          <w:b/>
          <w:sz w:val="22"/>
        </w:rPr>
      </w:pPr>
      <w:r w:rsidRPr="006973C5">
        <w:rPr>
          <w:rStyle w:val="normaltextrun"/>
          <w:b/>
          <w:sz w:val="22"/>
        </w:rPr>
        <w:t xml:space="preserve">Save as a word document </w:t>
      </w:r>
      <w:r w:rsidRPr="006973C5">
        <w:rPr>
          <w:rStyle w:val="normaltextrun"/>
          <w:b/>
          <w:sz w:val="22"/>
          <w:u w:val="single"/>
        </w:rPr>
        <w:t>NOT a pdf</w:t>
      </w:r>
      <w:r w:rsidRPr="006973C5">
        <w:rPr>
          <w:rStyle w:val="normaltextrun"/>
          <w:b/>
          <w:sz w:val="22"/>
        </w:rPr>
        <w:t>.</w:t>
      </w:r>
    </w:p>
    <w:p w:rsidR="007E4416" w:rsidRDefault="007E4416" w:rsidP="007E4416">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b/>
          <w:sz w:val="22"/>
        </w:rPr>
      </w:pPr>
    </w:p>
    <w:p w:rsidR="007E4416" w:rsidRDefault="007E4416" w:rsidP="007E4416">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b/>
          <w:sz w:val="22"/>
        </w:rPr>
      </w:pPr>
    </w:p>
    <w:p w:rsidR="007E4416" w:rsidRDefault="007E4416" w:rsidP="007E4416">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b/>
          <w:sz w:val="22"/>
        </w:rPr>
      </w:pPr>
    </w:p>
    <w:p w:rsidR="007E4416" w:rsidRDefault="007E4416" w:rsidP="007E4416">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b/>
          <w:sz w:val="22"/>
        </w:rPr>
      </w:pPr>
    </w:p>
    <w:p w:rsidR="00EA3362" w:rsidRDefault="00EA3362" w:rsidP="002811F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contextualSpacing w:val="0"/>
        <w:jc w:val="both"/>
        <w:rPr>
          <w:rStyle w:val="normaltextrun"/>
          <w:b/>
          <w:sz w:val="22"/>
        </w:rPr>
      </w:pPr>
    </w:p>
    <w:bookmarkEnd w:id="0"/>
    <w:p w:rsidR="00A932B2" w:rsidRPr="0027447E" w:rsidRDefault="0027447E" w:rsidP="002811F3">
      <w:pPr>
        <w:jc w:val="both"/>
        <w:rPr>
          <w:rStyle w:val="NoneA"/>
          <w:rFonts w:eastAsia="Palatino" w:cs="Times New Roman"/>
          <w:b/>
          <w:color w:val="auto"/>
        </w:rPr>
      </w:pPr>
      <w:r w:rsidRPr="0027447E">
        <w:rPr>
          <w:rStyle w:val="NoneA"/>
          <w:rFonts w:eastAsia="Palatino" w:cs="Times New Roman"/>
          <w:b/>
          <w:color w:val="auto"/>
        </w:rPr>
        <w:t>CHECKLIST – use this before submitting your final piece.</w:t>
      </w:r>
    </w:p>
    <w:p w:rsidR="0027447E" w:rsidRDefault="0027447E" w:rsidP="0027447E">
      <w:pPr>
        <w:rPr>
          <w:rFonts w:eastAsia="Times New Roman"/>
        </w:rPr>
      </w:pPr>
    </w:p>
    <w:tbl>
      <w:tblPr>
        <w:tblStyle w:val="TableGrid"/>
        <w:tblW w:w="9493" w:type="dxa"/>
        <w:tblLook w:val="04A0" w:firstRow="1" w:lastRow="0" w:firstColumn="1" w:lastColumn="0" w:noHBand="0" w:noVBand="1"/>
      </w:tblPr>
      <w:tblGrid>
        <w:gridCol w:w="779"/>
        <w:gridCol w:w="8714"/>
      </w:tblGrid>
      <w:tr w:rsidR="0027447E" w:rsidTr="0027447E">
        <w:tc>
          <w:tcPr>
            <w:tcW w:w="779" w:type="dxa"/>
            <w:shd w:val="clear" w:color="auto" w:fill="DEEAF6" w:themeFill="accent1" w:themeFillTint="33"/>
          </w:tcPr>
          <w:p w:rsidR="0027447E" w:rsidRPr="0027447E" w:rsidRDefault="0027447E" w:rsidP="004903F4">
            <w:pPr>
              <w:rPr>
                <w:b/>
                <w:sz w:val="22"/>
              </w:rPr>
            </w:pPr>
            <w:r w:rsidRPr="0027447E">
              <w:rPr>
                <w:b/>
                <w:sz w:val="22"/>
              </w:rPr>
              <w:t>TICK</w:t>
            </w:r>
          </w:p>
        </w:tc>
        <w:tc>
          <w:tcPr>
            <w:tcW w:w="8714" w:type="dxa"/>
            <w:shd w:val="clear" w:color="auto" w:fill="DEEAF6" w:themeFill="accent1" w:themeFillTint="33"/>
          </w:tcPr>
          <w:p w:rsidR="0027447E" w:rsidRPr="0027447E" w:rsidRDefault="0027447E" w:rsidP="004903F4">
            <w:pPr>
              <w:rPr>
                <w:b/>
                <w:sz w:val="22"/>
              </w:rPr>
            </w:pPr>
            <w:r w:rsidRPr="0027447E">
              <w:rPr>
                <w:b/>
                <w:sz w:val="22"/>
              </w:rPr>
              <w:t>CONTENT</w:t>
            </w:r>
            <w:r>
              <w:rPr>
                <w:b/>
                <w:sz w:val="22"/>
              </w:rPr>
              <w:t xml:space="preserve"> (not all will necessarily apply)</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27447E">
            <w:pPr>
              <w:rPr>
                <w:sz w:val="22"/>
              </w:rPr>
            </w:pPr>
            <w:r w:rsidRPr="0027447E">
              <w:rPr>
                <w:sz w:val="22"/>
              </w:rPr>
              <w:t>Have I shown how my argument links (overall or throughout) to the ideals of Nation &amp; Empire</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EA3362">
            <w:pPr>
              <w:rPr>
                <w:sz w:val="22"/>
              </w:rPr>
            </w:pPr>
            <w:r w:rsidRPr="0027447E">
              <w:rPr>
                <w:sz w:val="22"/>
              </w:rPr>
              <w:t xml:space="preserve">Consulted the </w:t>
            </w:r>
            <w:r w:rsidRPr="0027447E">
              <w:rPr>
                <w:b/>
                <w:sz w:val="22"/>
              </w:rPr>
              <w:t xml:space="preserve">key terms and problems </w:t>
            </w:r>
            <w:r w:rsidRPr="0027447E">
              <w:rPr>
                <w:sz w:val="22"/>
              </w:rPr>
              <w:t>to see if they help strengthen my argument</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Have I </w:t>
            </w:r>
            <w:proofErr w:type="spellStart"/>
            <w:r w:rsidRPr="0027447E">
              <w:rPr>
                <w:sz w:val="22"/>
              </w:rPr>
              <w:t>contextualised</w:t>
            </w:r>
            <w:proofErr w:type="spellEnd"/>
            <w:r w:rsidRPr="0027447E">
              <w:rPr>
                <w:sz w:val="22"/>
              </w:rPr>
              <w:t xml:space="preserve"> (provided historical grounding and backing)</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EA3362">
            <w:pPr>
              <w:rPr>
                <w:sz w:val="22"/>
              </w:rPr>
            </w:pPr>
            <w:r w:rsidRPr="0027447E">
              <w:rPr>
                <w:sz w:val="22"/>
              </w:rPr>
              <w:t xml:space="preserve">I have </w:t>
            </w:r>
            <w:r w:rsidRPr="0027447E">
              <w:rPr>
                <w:b/>
                <w:sz w:val="22"/>
              </w:rPr>
              <w:t xml:space="preserve">NOT </w:t>
            </w:r>
            <w:r w:rsidRPr="0027447E">
              <w:rPr>
                <w:sz w:val="22"/>
              </w:rPr>
              <w:t>included my own title</w:t>
            </w:r>
            <w:r>
              <w:rPr>
                <w:sz w:val="22"/>
              </w:rPr>
              <w:t xml:space="preserve"> (unless pre-agreed)</w:t>
            </w:r>
            <w:r w:rsidR="00EA3362">
              <w:rPr>
                <w:sz w:val="22"/>
              </w:rPr>
              <w:t>;</w:t>
            </w:r>
            <w:r w:rsidRPr="0027447E">
              <w:rPr>
                <w:rFonts w:eastAsia="Times New Roman"/>
                <w:sz w:val="22"/>
              </w:rPr>
              <w:t xml:space="preserve"> </w:t>
            </w:r>
            <w:r w:rsidRPr="0027447E">
              <w:rPr>
                <w:rFonts w:eastAsia="Times New Roman"/>
                <w:b/>
                <w:sz w:val="22"/>
              </w:rPr>
              <w:t>introduction</w:t>
            </w:r>
            <w:r w:rsidRPr="0027447E">
              <w:rPr>
                <w:rFonts w:eastAsia="Times New Roman"/>
                <w:sz w:val="22"/>
              </w:rPr>
              <w:t xml:space="preserve"> includes a thesis statement, or a statement of intent to clarify how I am approaching the question.</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27447E">
            <w:pPr>
              <w:rPr>
                <w:sz w:val="22"/>
              </w:rPr>
            </w:pPr>
            <w:r w:rsidRPr="0027447E">
              <w:rPr>
                <w:sz w:val="22"/>
              </w:rPr>
              <w:t>I have checked that my points relate back to the question/my thesis (either implicitly or explicitly)</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27447E">
            <w:pPr>
              <w:rPr>
                <w:sz w:val="22"/>
              </w:rPr>
            </w:pPr>
            <w:r w:rsidRPr="0027447E">
              <w:rPr>
                <w:sz w:val="22"/>
              </w:rPr>
              <w:t xml:space="preserve">I have searched for </w:t>
            </w:r>
            <w:proofErr w:type="gramStart"/>
            <w:r w:rsidRPr="0027447E">
              <w:rPr>
                <w:sz w:val="22"/>
              </w:rPr>
              <w:t>“we” and “</w:t>
            </w:r>
            <w:r>
              <w:rPr>
                <w:sz w:val="22"/>
              </w:rPr>
              <w:t xml:space="preserve">the </w:t>
            </w:r>
            <w:r w:rsidRPr="0027447E">
              <w:rPr>
                <w:sz w:val="22"/>
              </w:rPr>
              <w:t>reader”</w:t>
            </w:r>
            <w:proofErr w:type="gramEnd"/>
            <w:r w:rsidRPr="0027447E">
              <w:rPr>
                <w:sz w:val="22"/>
              </w:rPr>
              <w:t>, and considered how to rephrase.</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My </w:t>
            </w:r>
            <w:r w:rsidRPr="0027447E">
              <w:rPr>
                <w:b/>
                <w:sz w:val="22"/>
              </w:rPr>
              <w:t>conclusion</w:t>
            </w:r>
            <w:r w:rsidRPr="0027447E">
              <w:rPr>
                <w:sz w:val="22"/>
              </w:rPr>
              <w:t xml:space="preserve"> explicitly relates back to the question/ thesis statement.</w:t>
            </w:r>
          </w:p>
        </w:tc>
      </w:tr>
      <w:tr w:rsidR="00EA3362" w:rsidTr="0027447E">
        <w:tc>
          <w:tcPr>
            <w:tcW w:w="779" w:type="dxa"/>
          </w:tcPr>
          <w:p w:rsidR="00EA3362" w:rsidRPr="0027447E" w:rsidRDefault="00EA3362" w:rsidP="004903F4">
            <w:pPr>
              <w:rPr>
                <w:sz w:val="22"/>
              </w:rPr>
            </w:pPr>
          </w:p>
        </w:tc>
        <w:tc>
          <w:tcPr>
            <w:tcW w:w="8714" w:type="dxa"/>
          </w:tcPr>
          <w:p w:rsidR="00EA3362" w:rsidRDefault="00EA3362" w:rsidP="00EA3362">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sz w:val="22"/>
              </w:rPr>
            </w:pPr>
            <w:proofErr w:type="gramStart"/>
            <w:r w:rsidRPr="00EA3362">
              <w:rPr>
                <w:rStyle w:val="normaltextrun"/>
                <w:b/>
                <w:sz w:val="22"/>
              </w:rPr>
              <w:t>nineteenth</w:t>
            </w:r>
            <w:proofErr w:type="gramEnd"/>
            <w:r w:rsidRPr="00EA3362">
              <w:rPr>
                <w:rStyle w:val="normaltextrun"/>
                <w:b/>
                <w:sz w:val="22"/>
              </w:rPr>
              <w:t xml:space="preserve"> century </w:t>
            </w:r>
            <w:r w:rsidRPr="00EA3362">
              <w:rPr>
                <w:rStyle w:val="normaltextrun"/>
                <w:sz w:val="22"/>
              </w:rPr>
              <w:t xml:space="preserve">not C19th. </w:t>
            </w:r>
            <w:r w:rsidRPr="00EA3362">
              <w:rPr>
                <w:rStyle w:val="normaltextrun"/>
                <w:sz w:val="22"/>
                <w:u w:val="single"/>
              </w:rPr>
              <w:t>But</w:t>
            </w:r>
            <w:r>
              <w:rPr>
                <w:rStyle w:val="normaltextrun"/>
                <w:sz w:val="22"/>
              </w:rPr>
              <w:t xml:space="preserve"> 1920 not nineteen twenty.</w:t>
            </w:r>
          </w:p>
          <w:p w:rsidR="00EA3362" w:rsidRPr="00EA3362" w:rsidRDefault="00EA3362" w:rsidP="00EA3362">
            <w:pPr>
              <w:pBdr>
                <w:top w:val="none" w:sz="0" w:space="0" w:color="auto"/>
                <w:left w:val="none" w:sz="0" w:space="0" w:color="auto"/>
                <w:bottom w:val="none" w:sz="0" w:space="0" w:color="auto"/>
                <w:right w:val="none" w:sz="0" w:space="0" w:color="auto"/>
                <w:between w:val="none" w:sz="0" w:space="0" w:color="auto"/>
                <w:bar w:val="none" w:sz="0" w:color="auto"/>
              </w:pBdr>
              <w:jc w:val="both"/>
              <w:rPr>
                <w:b/>
                <w:sz w:val="22"/>
              </w:rPr>
            </w:pPr>
            <w:r>
              <w:rPr>
                <w:rStyle w:val="normaltextrun"/>
                <w:b/>
                <w:sz w:val="22"/>
              </w:rPr>
              <w:t>Checked my use of hyphens</w:t>
            </w:r>
            <w:r w:rsidRPr="00EA3362">
              <w:rPr>
                <w:rStyle w:val="normaltextrun"/>
                <w:sz w:val="22"/>
              </w:rPr>
              <w:t>. E.g</w:t>
            </w:r>
            <w:r>
              <w:rPr>
                <w:rStyle w:val="normaltextrun"/>
                <w:b/>
                <w:sz w:val="22"/>
              </w:rPr>
              <w:t xml:space="preserve">. </w:t>
            </w:r>
            <w:r w:rsidRPr="00EA3362">
              <w:rPr>
                <w:rStyle w:val="normaltextrun"/>
                <w:sz w:val="22"/>
              </w:rPr>
              <w:t>“twentieth century”, but “twentiet</w:t>
            </w:r>
            <w:r w:rsidRPr="00EA3362">
              <w:rPr>
                <w:rStyle w:val="normaltextrun"/>
                <w:sz w:val="22"/>
                <w:highlight w:val="yellow"/>
              </w:rPr>
              <w:t>h-c</w:t>
            </w:r>
            <w:r w:rsidRPr="00EA3362">
              <w:rPr>
                <w:rStyle w:val="normaltextrun"/>
                <w:sz w:val="22"/>
              </w:rPr>
              <w:t>entury literature”.</w:t>
            </w:r>
          </w:p>
        </w:tc>
      </w:tr>
      <w:tr w:rsidR="00EA3362" w:rsidTr="0027447E">
        <w:tc>
          <w:tcPr>
            <w:tcW w:w="779" w:type="dxa"/>
          </w:tcPr>
          <w:p w:rsidR="00EA3362" w:rsidRPr="0027447E" w:rsidRDefault="00EA3362" w:rsidP="004903F4">
            <w:pPr>
              <w:rPr>
                <w:sz w:val="22"/>
              </w:rPr>
            </w:pPr>
          </w:p>
        </w:tc>
        <w:tc>
          <w:tcPr>
            <w:tcW w:w="8714" w:type="dxa"/>
          </w:tcPr>
          <w:p w:rsidR="00EA3362" w:rsidRPr="0027447E" w:rsidRDefault="00EA3362" w:rsidP="00EA3362">
            <w:p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EA3362">
              <w:rPr>
                <w:rStyle w:val="normaltextrun"/>
                <w:b/>
                <w:sz w:val="22"/>
              </w:rPr>
              <w:t>Avoid</w:t>
            </w:r>
            <w:r w:rsidRPr="00EA3362">
              <w:rPr>
                <w:rStyle w:val="normaltextrun"/>
                <w:b/>
                <w:sz w:val="22"/>
              </w:rPr>
              <w:t>ed</w:t>
            </w:r>
            <w:r w:rsidRPr="00EA3362">
              <w:rPr>
                <w:rStyle w:val="normaltextrun"/>
                <w:b/>
                <w:sz w:val="22"/>
              </w:rPr>
              <w:t xml:space="preserve"> contractions </w:t>
            </w:r>
            <w:proofErr w:type="gramStart"/>
            <w:r w:rsidRPr="00EA3362">
              <w:rPr>
                <w:rStyle w:val="normaltextrun"/>
                <w:sz w:val="22"/>
              </w:rPr>
              <w:t>don’t</w:t>
            </w:r>
            <w:proofErr w:type="gramEnd"/>
            <w:r w:rsidRPr="00EA3362">
              <w:rPr>
                <w:rStyle w:val="normaltextrun"/>
                <w:sz w:val="22"/>
              </w:rPr>
              <w:t xml:space="preserve"> = do not, isn’t = is not, it’s = it is, etc</w:t>
            </w:r>
            <w:r>
              <w:rPr>
                <w:rStyle w:val="normaltextrun"/>
                <w:sz w:val="22"/>
              </w:rPr>
              <w:t xml:space="preserve">. </w:t>
            </w:r>
            <w:proofErr w:type="gramStart"/>
            <w:r>
              <w:rPr>
                <w:rStyle w:val="normaltextrun"/>
                <w:sz w:val="22"/>
              </w:rPr>
              <w:t>And</w:t>
            </w:r>
            <w:proofErr w:type="gramEnd"/>
            <w:r>
              <w:rPr>
                <w:rStyle w:val="normaltextrun"/>
                <w:sz w:val="22"/>
              </w:rPr>
              <w:t xml:space="preserve"> avoided </w:t>
            </w:r>
            <w:r>
              <w:rPr>
                <w:rStyle w:val="normaltextrun"/>
                <w:b/>
                <w:sz w:val="22"/>
              </w:rPr>
              <w:t>colloquialisms, idioms, informal phrases.</w:t>
            </w:r>
          </w:p>
        </w:tc>
      </w:tr>
      <w:tr w:rsidR="0027447E" w:rsidTr="0027447E">
        <w:tc>
          <w:tcPr>
            <w:tcW w:w="779" w:type="dxa"/>
            <w:shd w:val="clear" w:color="auto" w:fill="DEEAF6" w:themeFill="accent1" w:themeFillTint="33"/>
          </w:tcPr>
          <w:p w:rsidR="0027447E" w:rsidRPr="0027447E" w:rsidRDefault="0027447E" w:rsidP="004903F4">
            <w:pPr>
              <w:rPr>
                <w:sz w:val="22"/>
              </w:rPr>
            </w:pPr>
            <w:r w:rsidRPr="0027447E">
              <w:rPr>
                <w:b/>
                <w:sz w:val="22"/>
              </w:rPr>
              <w:t>TICK</w:t>
            </w:r>
          </w:p>
        </w:tc>
        <w:tc>
          <w:tcPr>
            <w:tcW w:w="8714" w:type="dxa"/>
            <w:shd w:val="clear" w:color="auto" w:fill="DEEAF6" w:themeFill="accent1" w:themeFillTint="33"/>
          </w:tcPr>
          <w:p w:rsidR="0027447E" w:rsidRPr="0027447E" w:rsidRDefault="0027447E" w:rsidP="004903F4">
            <w:pPr>
              <w:rPr>
                <w:b/>
                <w:sz w:val="22"/>
              </w:rPr>
            </w:pPr>
            <w:r w:rsidRPr="0027447E">
              <w:rPr>
                <w:b/>
                <w:sz w:val="22"/>
              </w:rPr>
              <w:t>PRESENTATION</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27447E">
            <w:pPr>
              <w:rPr>
                <w:sz w:val="22"/>
              </w:rPr>
            </w:pPr>
            <w:r w:rsidRPr="0027447E">
              <w:rPr>
                <w:sz w:val="22"/>
              </w:rPr>
              <w:t xml:space="preserve">My </w:t>
            </w:r>
            <w:r w:rsidRPr="0027447E">
              <w:rPr>
                <w:b/>
                <w:sz w:val="22"/>
              </w:rPr>
              <w:t>id number</w:t>
            </w:r>
            <w:r w:rsidRPr="0027447E">
              <w:rPr>
                <w:sz w:val="22"/>
              </w:rPr>
              <w:t xml:space="preserve"> and </w:t>
            </w:r>
            <w:r w:rsidRPr="0027447E">
              <w:rPr>
                <w:b/>
                <w:sz w:val="22"/>
              </w:rPr>
              <w:t>module number</w:t>
            </w:r>
            <w:r w:rsidRPr="0027447E">
              <w:rPr>
                <w:sz w:val="22"/>
              </w:rPr>
              <w:t xml:space="preserve"> in the HEADER or FOOTER </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b/>
                <w:sz w:val="22"/>
              </w:rPr>
            </w:pPr>
            <w:r w:rsidRPr="0027447E">
              <w:rPr>
                <w:sz w:val="22"/>
              </w:rPr>
              <w:t xml:space="preserve">I have included </w:t>
            </w:r>
            <w:r w:rsidRPr="0027447E">
              <w:rPr>
                <w:b/>
                <w:sz w:val="22"/>
              </w:rPr>
              <w:t>page-numbers</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Single-spaced</w:t>
            </w:r>
            <w:r w:rsidRPr="0027447E">
              <w:rPr>
                <w:sz w:val="22"/>
              </w:rPr>
              <w:t xml:space="preserve"> the title (and perhaps underlined it, or put it in bold)</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Double-spaced</w:t>
            </w:r>
            <w:r w:rsidRPr="0027447E">
              <w:rPr>
                <w:sz w:val="22"/>
              </w:rPr>
              <w:t xml:space="preserve"> the main essay</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Font is size 12</w:t>
            </w:r>
            <w:r w:rsidRPr="0027447E">
              <w:rPr>
                <w:sz w:val="22"/>
              </w:rPr>
              <w:t xml:space="preserve"> and legible (Times New Roman, perhaps)</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No indent</w:t>
            </w:r>
            <w:r w:rsidRPr="0027447E">
              <w:rPr>
                <w:sz w:val="22"/>
              </w:rPr>
              <w:t xml:space="preserve"> in first line of first paragraph.</w:t>
            </w:r>
            <w:r>
              <w:rPr>
                <w:sz w:val="22"/>
              </w:rPr>
              <w:t xml:space="preserve"> </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No gaps</w:t>
            </w:r>
            <w:r w:rsidRPr="0027447E">
              <w:rPr>
                <w:sz w:val="22"/>
              </w:rPr>
              <w:t xml:space="preserve"> between paragraphs</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Indent</w:t>
            </w:r>
            <w:r w:rsidRPr="0027447E">
              <w:rPr>
                <w:sz w:val="22"/>
              </w:rPr>
              <w:t xml:space="preserve"> (using tab key) the first line of all other paragraphs.</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b/>
                <w:sz w:val="22"/>
              </w:rPr>
              <w:t>Quotes 40 words</w:t>
            </w:r>
            <w:r w:rsidRPr="0027447E">
              <w:rPr>
                <w:sz w:val="22"/>
              </w:rPr>
              <w:t xml:space="preserve"> or over have been separated, </w:t>
            </w:r>
            <w:proofErr w:type="gramStart"/>
            <w:r w:rsidRPr="0027447E">
              <w:rPr>
                <w:sz w:val="22"/>
              </w:rPr>
              <w:t>fully-indented</w:t>
            </w:r>
            <w:proofErr w:type="gramEnd"/>
            <w:r w:rsidRPr="0027447E">
              <w:rPr>
                <w:sz w:val="22"/>
              </w:rPr>
              <w:t xml:space="preserve"> and </w:t>
            </w:r>
            <w:r>
              <w:rPr>
                <w:sz w:val="22"/>
              </w:rPr>
              <w:t xml:space="preserve">double or </w:t>
            </w:r>
            <w:r w:rsidRPr="0027447E">
              <w:rPr>
                <w:sz w:val="22"/>
              </w:rPr>
              <w:t xml:space="preserve">single-spaced, with a gap before and after. They should not have quote marks, unless there is a quote or speech within the quote. </w:t>
            </w:r>
            <w:proofErr w:type="spellStart"/>
            <w:r w:rsidRPr="0027447E">
              <w:rPr>
                <w:sz w:val="22"/>
              </w:rPr>
              <w:t>E.g</w:t>
            </w:r>
            <w:proofErr w:type="spellEnd"/>
            <w:r w:rsidRPr="0027447E">
              <w:rPr>
                <w:sz w:val="22"/>
              </w:rPr>
              <w:t>:</w:t>
            </w:r>
          </w:p>
          <w:p w:rsidR="0027447E" w:rsidRPr="0027447E" w:rsidRDefault="0027447E" w:rsidP="004903F4">
            <w:pPr>
              <w:rPr>
                <w:sz w:val="22"/>
              </w:rPr>
            </w:pPr>
          </w:p>
          <w:p w:rsidR="0027447E" w:rsidRDefault="0027447E" w:rsidP="0027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rPr>
            </w:pPr>
            <w:r>
              <w:rPr>
                <w:rFonts w:eastAsia="Times New Roman" w:cs="Times New Roman"/>
                <w:sz w:val="20"/>
              </w:rPr>
              <w:t xml:space="preserve">     </w:t>
            </w:r>
            <w:r w:rsidRPr="00396B88">
              <w:rPr>
                <w:rFonts w:eastAsia="Times New Roman" w:cs="Times New Roman"/>
                <w:sz w:val="20"/>
              </w:rPr>
              <w:t xml:space="preserve">The morning was windy and cloudy, and the rapid alternations of shadow and sunlight over the waste </w:t>
            </w:r>
            <w:r>
              <w:rPr>
                <w:rFonts w:eastAsia="Times New Roman" w:cs="Times New Roman"/>
                <w:sz w:val="20"/>
              </w:rPr>
              <w:t xml:space="preserve"> </w:t>
            </w:r>
            <w:r>
              <w:rPr>
                <w:rFonts w:eastAsia="Times New Roman" w:cs="Times New Roman"/>
                <w:sz w:val="20"/>
              </w:rPr>
              <w:br/>
              <w:t xml:space="preserve">     </w:t>
            </w:r>
            <w:r w:rsidRPr="00396B88">
              <w:rPr>
                <w:rFonts w:eastAsia="Times New Roman" w:cs="Times New Roman"/>
                <w:sz w:val="20"/>
              </w:rPr>
              <w:t>of the lake made the view look doubly wild, weird, and gloomy.</w:t>
            </w:r>
            <w:r>
              <w:rPr>
                <w:rFonts w:eastAsia="Times New Roman" w:cs="Times New Roman"/>
                <w:sz w:val="20"/>
              </w:rPr>
              <w:t xml:space="preserve"> ‘</w:t>
            </w:r>
            <w:r w:rsidRPr="00396B88">
              <w:rPr>
                <w:rFonts w:eastAsia="Times New Roman" w:cs="Times New Roman"/>
                <w:sz w:val="20"/>
              </w:rPr>
              <w:t>Some people call that picturesque,</w:t>
            </w:r>
            <w:r>
              <w:rPr>
                <w:rFonts w:eastAsia="Times New Roman" w:cs="Times New Roman"/>
                <w:sz w:val="20"/>
              </w:rPr>
              <w:t>’</w:t>
            </w:r>
            <w:r w:rsidRPr="00396B88">
              <w:rPr>
                <w:rFonts w:eastAsia="Times New Roman" w:cs="Times New Roman"/>
                <w:sz w:val="20"/>
              </w:rPr>
              <w:t xml:space="preserve"> </w:t>
            </w:r>
            <w:r>
              <w:rPr>
                <w:rFonts w:eastAsia="Times New Roman" w:cs="Times New Roman"/>
                <w:sz w:val="20"/>
              </w:rPr>
              <w:t xml:space="preserve">   </w:t>
            </w:r>
            <w:r>
              <w:rPr>
                <w:rFonts w:eastAsia="Times New Roman" w:cs="Times New Roman"/>
                <w:sz w:val="20"/>
              </w:rPr>
              <w:br/>
              <w:t xml:space="preserve">      </w:t>
            </w:r>
            <w:r w:rsidRPr="00396B88">
              <w:rPr>
                <w:rFonts w:eastAsia="Times New Roman" w:cs="Times New Roman"/>
                <w:sz w:val="20"/>
              </w:rPr>
              <w:t xml:space="preserve">said Sir Percival, pointing over the wide prospect with his half-finished </w:t>
            </w:r>
            <w:proofErr w:type="gramStart"/>
            <w:r w:rsidRPr="00396B88">
              <w:rPr>
                <w:rFonts w:eastAsia="Times New Roman" w:cs="Times New Roman"/>
                <w:sz w:val="20"/>
              </w:rPr>
              <w:t>walking-stick</w:t>
            </w:r>
            <w:proofErr w:type="gramEnd"/>
            <w:r>
              <w:rPr>
                <w:rFonts w:eastAsia="Times New Roman" w:cs="Times New Roman"/>
                <w:sz w:val="20"/>
              </w:rPr>
              <w:t>. (162)</w:t>
            </w:r>
          </w:p>
          <w:p w:rsidR="0027447E" w:rsidRPr="0027447E" w:rsidRDefault="0027447E" w:rsidP="0027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All other </w:t>
            </w:r>
            <w:r w:rsidRPr="0027447E">
              <w:rPr>
                <w:b/>
                <w:sz w:val="22"/>
              </w:rPr>
              <w:t xml:space="preserve">quotes </w:t>
            </w:r>
            <w:proofErr w:type="gramStart"/>
            <w:r w:rsidRPr="0027447E">
              <w:rPr>
                <w:sz w:val="22"/>
              </w:rPr>
              <w:t>are encased</w:t>
            </w:r>
            <w:proofErr w:type="gramEnd"/>
            <w:r w:rsidRPr="0027447E">
              <w:rPr>
                <w:sz w:val="22"/>
              </w:rPr>
              <w:t xml:space="preserve"> in DOUBLE marks and a quote within a quote in single marks. (</w:t>
            </w:r>
            <w:proofErr w:type="gramStart"/>
            <w:r w:rsidRPr="0027447E">
              <w:rPr>
                <w:sz w:val="22"/>
              </w:rPr>
              <w:t>other</w:t>
            </w:r>
            <w:proofErr w:type="gramEnd"/>
            <w:r w:rsidRPr="0027447E">
              <w:rPr>
                <w:sz w:val="22"/>
              </w:rPr>
              <w:t xml:space="preserve"> way around if MHRA). </w:t>
            </w:r>
            <w:proofErr w:type="gramStart"/>
            <w:r w:rsidRPr="0027447E">
              <w:rPr>
                <w:sz w:val="22"/>
              </w:rPr>
              <w:t>e.g.</w:t>
            </w:r>
            <w:proofErr w:type="gramEnd"/>
            <w:r w:rsidRPr="0027447E">
              <w:rPr>
                <w:sz w:val="22"/>
              </w:rPr>
              <w:t xml:space="preserve"> “This is a ‘quote’</w:t>
            </w:r>
            <w:r>
              <w:rPr>
                <w:sz w:val="22"/>
              </w:rPr>
              <w:t xml:space="preserve"> from the text</w:t>
            </w:r>
            <w:r w:rsidRPr="0027447E">
              <w:rPr>
                <w:sz w:val="22"/>
              </w:rPr>
              <w:t>” (Me 95).</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I have included </w:t>
            </w:r>
            <w:r w:rsidRPr="0027447E">
              <w:rPr>
                <w:b/>
                <w:sz w:val="22"/>
              </w:rPr>
              <w:t>publication dates</w:t>
            </w:r>
            <w:r w:rsidRPr="0027447E">
              <w:rPr>
                <w:sz w:val="22"/>
              </w:rPr>
              <w:t xml:space="preserve"> of texts and critical works in brackets after they </w:t>
            </w:r>
            <w:proofErr w:type="gramStart"/>
            <w:r w:rsidRPr="0027447E">
              <w:rPr>
                <w:sz w:val="22"/>
              </w:rPr>
              <w:t>are first mentioned</w:t>
            </w:r>
            <w:proofErr w:type="gramEnd"/>
            <w:r>
              <w:rPr>
                <w:sz w:val="22"/>
              </w:rPr>
              <w:t xml:space="preserve"> in the body of the essay</w:t>
            </w:r>
            <w:r w:rsidRPr="0027447E">
              <w:rPr>
                <w:sz w:val="22"/>
              </w:rPr>
              <w:t xml:space="preserve">. </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Checked my </w:t>
            </w:r>
            <w:proofErr w:type="spellStart"/>
            <w:r w:rsidRPr="0027447E">
              <w:rPr>
                <w:b/>
                <w:sz w:val="22"/>
              </w:rPr>
              <w:t>alphabetised</w:t>
            </w:r>
            <w:proofErr w:type="spellEnd"/>
            <w:r w:rsidRPr="0027447E">
              <w:rPr>
                <w:b/>
                <w:sz w:val="22"/>
              </w:rPr>
              <w:t xml:space="preserve"> </w:t>
            </w:r>
            <w:r w:rsidRPr="0027447E">
              <w:rPr>
                <w:sz w:val="22"/>
              </w:rPr>
              <w:t>bibliography against the MLA guidelines.</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I have double-spaced the bibliography</w:t>
            </w:r>
            <w:r>
              <w:rPr>
                <w:sz w:val="22"/>
              </w:rPr>
              <w:t>.</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I have included the </w:t>
            </w:r>
            <w:r w:rsidRPr="0027447E">
              <w:rPr>
                <w:b/>
                <w:sz w:val="22"/>
              </w:rPr>
              <w:t xml:space="preserve">word-count just before the </w:t>
            </w:r>
            <w:proofErr w:type="spellStart"/>
            <w:r w:rsidRPr="0027447E">
              <w:rPr>
                <w:b/>
                <w:sz w:val="22"/>
              </w:rPr>
              <w:t>biblio</w:t>
            </w:r>
            <w:proofErr w:type="spellEnd"/>
            <w:r w:rsidRPr="0027447E">
              <w:rPr>
                <w:b/>
                <w:sz w:val="22"/>
              </w:rPr>
              <w:t xml:space="preserve"> </w:t>
            </w:r>
            <w:r w:rsidRPr="0027447E">
              <w:rPr>
                <w:sz w:val="22"/>
              </w:rPr>
              <w:t>at the end of my essay</w:t>
            </w:r>
          </w:p>
        </w:tc>
      </w:tr>
      <w:tr w:rsidR="0027447E" w:rsidTr="0027447E">
        <w:tc>
          <w:tcPr>
            <w:tcW w:w="779" w:type="dxa"/>
            <w:shd w:val="clear" w:color="auto" w:fill="DEEAF6" w:themeFill="accent1" w:themeFillTint="33"/>
          </w:tcPr>
          <w:p w:rsidR="0027447E" w:rsidRPr="0027447E" w:rsidRDefault="0027447E" w:rsidP="004903F4">
            <w:pPr>
              <w:rPr>
                <w:b/>
                <w:sz w:val="22"/>
              </w:rPr>
            </w:pPr>
            <w:r w:rsidRPr="0027447E">
              <w:rPr>
                <w:b/>
                <w:sz w:val="22"/>
              </w:rPr>
              <w:t>TICK</w:t>
            </w:r>
          </w:p>
        </w:tc>
        <w:tc>
          <w:tcPr>
            <w:tcW w:w="8714" w:type="dxa"/>
            <w:shd w:val="clear" w:color="auto" w:fill="DEEAF6" w:themeFill="accent1" w:themeFillTint="33"/>
          </w:tcPr>
          <w:p w:rsidR="0027447E" w:rsidRPr="0027447E" w:rsidRDefault="0027447E" w:rsidP="004903F4">
            <w:pPr>
              <w:rPr>
                <w:b/>
                <w:sz w:val="22"/>
              </w:rPr>
            </w:pPr>
            <w:r w:rsidRPr="0027447E">
              <w:rPr>
                <w:b/>
                <w:sz w:val="22"/>
              </w:rPr>
              <w:t>Revise and Edit</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 xml:space="preserve">I have printed the essay off, and edited in pen, </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Someone else has proof-read</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I have read the essay aloud, listening for inconsistencies and grammatical error</w:t>
            </w:r>
          </w:p>
        </w:tc>
      </w:tr>
      <w:tr w:rsidR="0027447E" w:rsidTr="0027447E">
        <w:tc>
          <w:tcPr>
            <w:tcW w:w="779" w:type="dxa"/>
          </w:tcPr>
          <w:p w:rsidR="0027447E" w:rsidRPr="0027447E" w:rsidRDefault="0027447E" w:rsidP="004903F4">
            <w:pPr>
              <w:rPr>
                <w:sz w:val="22"/>
              </w:rPr>
            </w:pPr>
          </w:p>
        </w:tc>
        <w:tc>
          <w:tcPr>
            <w:tcW w:w="8714" w:type="dxa"/>
          </w:tcPr>
          <w:p w:rsidR="0027447E" w:rsidRPr="0027447E" w:rsidRDefault="0027447E" w:rsidP="004903F4">
            <w:pPr>
              <w:rPr>
                <w:sz w:val="22"/>
              </w:rPr>
            </w:pPr>
            <w:r w:rsidRPr="0027447E">
              <w:rPr>
                <w:sz w:val="22"/>
              </w:rPr>
              <w:t>I have tried to use more sophisticated vocabulary and literary/critical terms</w:t>
            </w:r>
          </w:p>
        </w:tc>
      </w:tr>
      <w:tr w:rsidR="00EA3362" w:rsidTr="0027447E">
        <w:tc>
          <w:tcPr>
            <w:tcW w:w="779" w:type="dxa"/>
          </w:tcPr>
          <w:p w:rsidR="00EA3362" w:rsidRPr="0027447E" w:rsidRDefault="00EA3362" w:rsidP="00EA3362">
            <w:pPr>
              <w:rPr>
                <w:sz w:val="22"/>
              </w:rPr>
            </w:pPr>
          </w:p>
        </w:tc>
        <w:tc>
          <w:tcPr>
            <w:tcW w:w="8714" w:type="dxa"/>
          </w:tcPr>
          <w:p w:rsidR="00EA3362" w:rsidRPr="0027447E" w:rsidRDefault="00EA3362" w:rsidP="00EA3362">
            <w:pPr>
              <w:rPr>
                <w:sz w:val="22"/>
              </w:rPr>
            </w:pPr>
            <w:r w:rsidRPr="0027447E">
              <w:rPr>
                <w:sz w:val="22"/>
              </w:rPr>
              <w:t>Checked my name does not appear in the essay</w:t>
            </w:r>
          </w:p>
        </w:tc>
      </w:tr>
      <w:tr w:rsidR="00EA3362" w:rsidTr="0027447E">
        <w:tc>
          <w:tcPr>
            <w:tcW w:w="779" w:type="dxa"/>
          </w:tcPr>
          <w:p w:rsidR="00EA3362" w:rsidRPr="0027447E" w:rsidRDefault="00EA3362" w:rsidP="00EA3362">
            <w:pPr>
              <w:rPr>
                <w:sz w:val="22"/>
              </w:rPr>
            </w:pPr>
          </w:p>
        </w:tc>
        <w:tc>
          <w:tcPr>
            <w:tcW w:w="8714" w:type="dxa"/>
          </w:tcPr>
          <w:p w:rsidR="00EA3362" w:rsidRPr="0027447E" w:rsidRDefault="00EA3362" w:rsidP="00EA3362">
            <w:pPr>
              <w:rPr>
                <w:sz w:val="22"/>
              </w:rPr>
            </w:pPr>
            <w:r w:rsidRPr="0027447E">
              <w:rPr>
                <w:sz w:val="22"/>
              </w:rPr>
              <w:t xml:space="preserve">Checked </w:t>
            </w:r>
            <w:r>
              <w:rPr>
                <w:sz w:val="22"/>
              </w:rPr>
              <w:t xml:space="preserve">that </w:t>
            </w:r>
            <w:r w:rsidRPr="0027447E">
              <w:rPr>
                <w:sz w:val="22"/>
              </w:rPr>
              <w:t xml:space="preserve">when I </w:t>
            </w:r>
            <w:r w:rsidRPr="0027447E">
              <w:rPr>
                <w:b/>
                <w:sz w:val="22"/>
              </w:rPr>
              <w:t>“Save As”</w:t>
            </w:r>
            <w:r>
              <w:rPr>
                <w:sz w:val="22"/>
              </w:rPr>
              <w:t xml:space="preserve"> </w:t>
            </w:r>
            <w:r w:rsidRPr="0027447E">
              <w:rPr>
                <w:sz w:val="22"/>
              </w:rPr>
              <w:t xml:space="preserve">my name is not under “authors” </w:t>
            </w:r>
            <w:r>
              <w:rPr>
                <w:sz w:val="22"/>
              </w:rPr>
              <w:t>and changed it, if it is.</w:t>
            </w:r>
          </w:p>
        </w:tc>
      </w:tr>
      <w:tr w:rsidR="00EA3362" w:rsidTr="0027447E">
        <w:tc>
          <w:tcPr>
            <w:tcW w:w="779" w:type="dxa"/>
          </w:tcPr>
          <w:p w:rsidR="00EA3362" w:rsidRPr="0027447E" w:rsidRDefault="00EA3362" w:rsidP="00EA3362">
            <w:pPr>
              <w:rPr>
                <w:sz w:val="22"/>
              </w:rPr>
            </w:pPr>
          </w:p>
        </w:tc>
        <w:tc>
          <w:tcPr>
            <w:tcW w:w="8714" w:type="dxa"/>
          </w:tcPr>
          <w:p w:rsidR="00EA3362" w:rsidRPr="0027447E" w:rsidRDefault="00EA3362" w:rsidP="00EA3362">
            <w:pPr>
              <w:rPr>
                <w:b/>
                <w:sz w:val="22"/>
              </w:rPr>
            </w:pPr>
            <w:r>
              <w:rPr>
                <w:rStyle w:val="normaltextrun"/>
                <w:sz w:val="22"/>
              </w:rPr>
              <w:t>Saved the document as “S</w:t>
            </w:r>
            <w:r w:rsidRPr="006973C5">
              <w:rPr>
                <w:rStyle w:val="normaltextrun"/>
                <w:sz w:val="22"/>
              </w:rPr>
              <w:t>tudent ID EN</w:t>
            </w:r>
            <w:r>
              <w:rPr>
                <w:rStyle w:val="normaltextrun"/>
                <w:sz w:val="22"/>
              </w:rPr>
              <w:t>334</w:t>
            </w:r>
            <w:r w:rsidRPr="006973C5">
              <w:rPr>
                <w:rStyle w:val="normaltextrun"/>
                <w:sz w:val="22"/>
              </w:rPr>
              <w:t xml:space="preserve"> (2)”</w:t>
            </w:r>
            <w:r>
              <w:rPr>
                <w:rStyle w:val="normaltextrun"/>
                <w:sz w:val="22"/>
              </w:rPr>
              <w:t xml:space="preserve">          </w:t>
            </w:r>
            <w:proofErr w:type="spellStart"/>
            <w:r>
              <w:rPr>
                <w:rStyle w:val="normaltextrun"/>
                <w:sz w:val="22"/>
              </w:rPr>
              <w:t>e.g</w:t>
            </w:r>
            <w:proofErr w:type="spellEnd"/>
            <w:r>
              <w:rPr>
                <w:rStyle w:val="normaltextrun"/>
                <w:sz w:val="22"/>
              </w:rPr>
              <w:t xml:space="preserve"> 123456 EN334 (2)</w:t>
            </w:r>
          </w:p>
        </w:tc>
      </w:tr>
      <w:tr w:rsidR="00EA3362" w:rsidTr="0027447E">
        <w:tc>
          <w:tcPr>
            <w:tcW w:w="779" w:type="dxa"/>
          </w:tcPr>
          <w:p w:rsidR="00EA3362" w:rsidRPr="0027447E" w:rsidRDefault="00EA3362" w:rsidP="00EA3362">
            <w:pPr>
              <w:rPr>
                <w:sz w:val="22"/>
              </w:rPr>
            </w:pPr>
          </w:p>
        </w:tc>
        <w:tc>
          <w:tcPr>
            <w:tcW w:w="8714" w:type="dxa"/>
          </w:tcPr>
          <w:p w:rsidR="00EA3362" w:rsidRPr="0027447E" w:rsidRDefault="00EA3362" w:rsidP="00EA3362">
            <w:pPr>
              <w:rPr>
                <w:sz w:val="22"/>
              </w:rPr>
            </w:pPr>
            <w:r w:rsidRPr="0027447E">
              <w:rPr>
                <w:b/>
                <w:sz w:val="22"/>
              </w:rPr>
              <w:t xml:space="preserve">SAVED as a word document </w:t>
            </w:r>
            <w:r w:rsidRPr="0027447E">
              <w:rPr>
                <w:sz w:val="22"/>
              </w:rPr>
              <w:t>(not pdf)</w:t>
            </w:r>
            <w:r>
              <w:rPr>
                <w:sz w:val="22"/>
              </w:rPr>
              <w:t xml:space="preserve"> </w:t>
            </w:r>
          </w:p>
        </w:tc>
      </w:tr>
    </w:tbl>
    <w:p w:rsidR="002811F3" w:rsidRPr="008E7E1C" w:rsidRDefault="002811F3" w:rsidP="002811F3">
      <w:pPr>
        <w:pStyle w:val="PlainText"/>
        <w:numPr>
          <w:ilvl w:val="0"/>
          <w:numId w:val="2"/>
        </w:numPr>
        <w:ind w:left="0"/>
        <w:jc w:val="both"/>
        <w:rPr>
          <w:rFonts w:ascii="Times New Roman" w:eastAsia="Palatino" w:hAnsi="Times New Roman" w:cs="Times New Roman"/>
          <w:color w:val="auto"/>
        </w:rPr>
      </w:pPr>
      <w:r w:rsidRPr="008E7E1C">
        <w:rPr>
          <w:rFonts w:ascii="Times New Roman" w:hAnsi="Times New Roman" w:cs="Times New Roman"/>
          <w:color w:val="auto"/>
          <w:shd w:val="clear" w:color="auto" w:fill="FFFFFF"/>
        </w:rPr>
        <w:t xml:space="preserve">"You see, I had murdered them all myself.... I had </w:t>
      </w:r>
      <w:proofErr w:type="gramStart"/>
      <w:r w:rsidRPr="008E7E1C">
        <w:rPr>
          <w:rFonts w:ascii="Times New Roman" w:hAnsi="Times New Roman" w:cs="Times New Roman"/>
          <w:color w:val="auto"/>
          <w:shd w:val="clear" w:color="auto" w:fill="FFFFFF"/>
        </w:rPr>
        <w:t>planned out</w:t>
      </w:r>
      <w:proofErr w:type="gramEnd"/>
      <w:r w:rsidRPr="008E7E1C">
        <w:rPr>
          <w:rFonts w:ascii="Times New Roman" w:hAnsi="Times New Roman" w:cs="Times New Roman"/>
          <w:color w:val="auto"/>
          <w:shd w:val="clear" w:color="auto" w:fill="FFFFFF"/>
        </w:rPr>
        <w:t xml:space="preserve"> each of the crimes very carefully. I had thought out exactly how a thing like that </w:t>
      </w:r>
      <w:proofErr w:type="gramStart"/>
      <w:r w:rsidRPr="008E7E1C">
        <w:rPr>
          <w:rFonts w:ascii="Times New Roman" w:hAnsi="Times New Roman" w:cs="Times New Roman"/>
          <w:color w:val="auto"/>
          <w:shd w:val="clear" w:color="auto" w:fill="FFFFFF"/>
        </w:rPr>
        <w:t>could be done</w:t>
      </w:r>
      <w:proofErr w:type="gramEnd"/>
      <w:r w:rsidRPr="008E7E1C">
        <w:rPr>
          <w:rFonts w:ascii="Times New Roman" w:hAnsi="Times New Roman" w:cs="Times New Roman"/>
          <w:color w:val="auto"/>
          <w:shd w:val="clear" w:color="auto" w:fill="FFFFFF"/>
        </w:rPr>
        <w:t xml:space="preserve">, and in what style or state of mind a man could really do it. And when I was quite sure that I felt exactly like the murderer myself, of course I knew who he was." (‘The Secret of Father Brown’) </w:t>
      </w:r>
    </w:p>
    <w:p w:rsidR="002811F3" w:rsidRPr="008E7E1C" w:rsidRDefault="002811F3" w:rsidP="002811F3">
      <w:pPr>
        <w:pStyle w:val="PlainText"/>
        <w:jc w:val="both"/>
        <w:rPr>
          <w:rFonts w:ascii="Times New Roman" w:eastAsia="Palatino" w:hAnsi="Times New Roman" w:cs="Times New Roman"/>
          <w:color w:val="auto"/>
        </w:rPr>
      </w:pPr>
      <w:r w:rsidRPr="008E7E1C">
        <w:rPr>
          <w:rFonts w:ascii="Times New Roman" w:hAnsi="Times New Roman" w:cs="Times New Roman"/>
          <w:color w:val="auto"/>
          <w:shd w:val="clear" w:color="auto" w:fill="FFFFFF"/>
        </w:rPr>
        <w:t>Consider the blurred boundaries between detective and criminal, ‘law’ and ‘justice’, and ideas of right and wrong, and to what extent they uphold or destabilize ideals of Nationhood.</w:t>
      </w:r>
    </w:p>
    <w:p w:rsidR="002811F3" w:rsidRDefault="002811F3" w:rsidP="002811F3">
      <w:pPr>
        <w:pStyle w:val="ListParagraph"/>
        <w:ind w:left="0"/>
        <w:jc w:val="both"/>
        <w:rPr>
          <w:rFonts w:cs="Times New Roman"/>
          <w:color w:val="auto"/>
        </w:rPr>
      </w:pPr>
    </w:p>
    <w:p w:rsidR="002811F3" w:rsidRPr="008E7E1C" w:rsidRDefault="002811F3" w:rsidP="002811F3">
      <w:pPr>
        <w:pStyle w:val="ListParagraph"/>
        <w:ind w:left="0"/>
        <w:jc w:val="both"/>
        <w:rPr>
          <w:rFonts w:cs="Times New Roman"/>
          <w:color w:val="auto"/>
        </w:rPr>
      </w:pPr>
    </w:p>
    <w:p w:rsidR="002811F3" w:rsidRPr="008E7E1C" w:rsidRDefault="002811F3" w:rsidP="002811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ind w:left="0"/>
        <w:jc w:val="both"/>
        <w:rPr>
          <w:rFonts w:cs="Times New Roman"/>
          <w:color w:val="auto"/>
        </w:rPr>
      </w:pPr>
      <w:r w:rsidRPr="008E7E1C">
        <w:rPr>
          <w:rFonts w:cs="Times New Roman"/>
          <w:color w:val="auto"/>
        </w:rPr>
        <w:t xml:space="preserve">In his essay ‘The Simple Art of Murder’ (1950) the American crime writer Raymond Chandler suggests of English crime fiction in the early twentieth-century, that, </w:t>
      </w:r>
      <w:r w:rsidRPr="008E7E1C">
        <w:rPr>
          <w:rFonts w:cs="Times New Roman"/>
        </w:rPr>
        <w:t xml:space="preserve">“There is nothing new about these stories and nothing old.” Consider the intertextuality, the literary and social indebtedness of </w:t>
      </w:r>
      <w:r w:rsidR="003D7BEA">
        <w:rPr>
          <w:rFonts w:cs="Times New Roman"/>
        </w:rPr>
        <w:t>texts</w:t>
      </w:r>
      <w:r w:rsidRPr="008E7E1C">
        <w:rPr>
          <w:rFonts w:cs="Times New Roman"/>
        </w:rPr>
        <w:t xml:space="preserve"> from the second term.</w:t>
      </w:r>
    </w:p>
    <w:p w:rsidR="002811F3" w:rsidRDefault="002811F3" w:rsidP="002811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jc w:val="both"/>
        <w:rPr>
          <w:rFonts w:cs="Times New Roman"/>
          <w:color w:val="auto"/>
        </w:rPr>
      </w:pPr>
    </w:p>
    <w:p w:rsidR="002811F3" w:rsidRPr="008E7E1C" w:rsidRDefault="002811F3" w:rsidP="002811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jc w:val="both"/>
        <w:rPr>
          <w:rFonts w:cs="Times New Roman"/>
          <w:color w:val="auto"/>
        </w:rPr>
      </w:pPr>
    </w:p>
    <w:p w:rsidR="002811F3" w:rsidRPr="00136490" w:rsidRDefault="002811F3" w:rsidP="002811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ind w:left="0"/>
        <w:jc w:val="both"/>
        <w:rPr>
          <w:rStyle w:val="eop"/>
          <w:rFonts w:cs="Times New Roman"/>
          <w:color w:val="auto"/>
        </w:rPr>
      </w:pPr>
      <w:r w:rsidRPr="008E7E1C">
        <w:rPr>
          <w:rStyle w:val="eop"/>
          <w:rFonts w:cs="Times New Roman"/>
        </w:rPr>
        <w:t xml:space="preserve">“There is nothing </w:t>
      </w:r>
      <w:proofErr w:type="gramStart"/>
      <w:r w:rsidRPr="008E7E1C">
        <w:rPr>
          <w:rStyle w:val="eop"/>
          <w:rFonts w:cs="Times New Roman"/>
        </w:rPr>
        <w:t>so</w:t>
      </w:r>
      <w:proofErr w:type="gramEnd"/>
      <w:r w:rsidRPr="008E7E1C">
        <w:rPr>
          <w:rStyle w:val="eop"/>
          <w:rFonts w:cs="Times New Roman"/>
        </w:rPr>
        <w:t xml:space="preserve"> inhuman as the mask of the good servant” (</w:t>
      </w:r>
      <w:r w:rsidRPr="008E7E1C">
        <w:rPr>
          <w:rStyle w:val="eop"/>
          <w:rFonts w:cs="Times New Roman"/>
          <w:i/>
        </w:rPr>
        <w:t>The Murder at the Vicarage</w:t>
      </w:r>
      <w:r w:rsidRPr="008E7E1C">
        <w:rPr>
          <w:rStyle w:val="eop"/>
          <w:rFonts w:cs="Times New Roman"/>
        </w:rPr>
        <w:t xml:space="preserve">) </w:t>
      </w:r>
      <w:proofErr w:type="spellStart"/>
      <w:r w:rsidRPr="008E7E1C">
        <w:rPr>
          <w:rStyle w:val="eop"/>
          <w:rFonts w:cs="Times New Roman"/>
        </w:rPr>
        <w:t>Analyse</w:t>
      </w:r>
      <w:proofErr w:type="spellEnd"/>
      <w:r w:rsidRPr="008E7E1C">
        <w:rPr>
          <w:rStyle w:val="eop"/>
          <w:rFonts w:cs="Times New Roman"/>
        </w:rPr>
        <w:t xml:space="preserve"> the roles played by servants</w:t>
      </w:r>
      <w:r>
        <w:rPr>
          <w:rStyle w:val="eop"/>
          <w:rFonts w:cs="Times New Roman"/>
        </w:rPr>
        <w:t>, and/or</w:t>
      </w:r>
      <w:r w:rsidRPr="008E7E1C">
        <w:rPr>
          <w:rStyle w:val="eop"/>
          <w:rFonts w:cs="Times New Roman"/>
        </w:rPr>
        <w:t xml:space="preserve"> and the working classes, and consider how other characters refer to and interact with them.</w:t>
      </w:r>
    </w:p>
    <w:p w:rsidR="002811F3" w:rsidRDefault="002811F3" w:rsidP="002811F3">
      <w:pPr>
        <w:pStyle w:val="ListParagraph"/>
        <w:rPr>
          <w:rStyle w:val="eop"/>
          <w:rFonts w:cs="Times New Roman"/>
          <w:color w:val="auto"/>
        </w:rPr>
      </w:pPr>
    </w:p>
    <w:p w:rsidR="002811F3" w:rsidRPr="00136490" w:rsidRDefault="002811F3" w:rsidP="002811F3">
      <w:pPr>
        <w:pStyle w:val="ListParagraph"/>
        <w:rPr>
          <w:rStyle w:val="eop"/>
          <w:rFonts w:cs="Times New Roman"/>
          <w:color w:val="auto"/>
        </w:rPr>
      </w:pPr>
    </w:p>
    <w:p w:rsidR="002811F3" w:rsidRDefault="002811F3" w:rsidP="002811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jc w:val="both"/>
        <w:rPr>
          <w:rStyle w:val="eop"/>
          <w:rFonts w:cs="Times New Roman"/>
          <w:color w:val="auto"/>
        </w:rPr>
      </w:pPr>
      <w:r>
        <w:rPr>
          <w:rStyle w:val="eop"/>
          <w:rFonts w:cs="Times New Roman"/>
          <w:color w:val="auto"/>
        </w:rPr>
        <w:t>Consider the detective as ‘medium’ and the politics of confession.</w:t>
      </w:r>
    </w:p>
    <w:p w:rsidR="002811F3" w:rsidRDefault="002811F3" w:rsidP="002811F3">
      <w:pPr>
        <w:pStyle w:val="ListParagraph"/>
        <w:rPr>
          <w:rStyle w:val="eop"/>
          <w:rFonts w:cs="Times New Roman"/>
          <w:color w:val="auto"/>
        </w:rPr>
      </w:pPr>
    </w:p>
    <w:p w:rsidR="002811F3" w:rsidRPr="008764F1" w:rsidRDefault="002811F3" w:rsidP="002811F3">
      <w:pPr>
        <w:pStyle w:val="ListParagraph"/>
        <w:rPr>
          <w:rStyle w:val="eop"/>
          <w:rFonts w:cs="Times New Roman"/>
          <w:color w:val="auto"/>
        </w:rPr>
      </w:pPr>
    </w:p>
    <w:p w:rsidR="002811F3" w:rsidRDefault="002811F3" w:rsidP="002811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rPr>
          <w:rStyle w:val="eop"/>
          <w:rFonts w:cs="Times New Roman"/>
          <w:color w:val="auto"/>
        </w:rPr>
      </w:pPr>
      <w:r>
        <w:rPr>
          <w:rStyle w:val="eop"/>
          <w:rFonts w:cs="Times New Roman"/>
          <w:color w:val="auto"/>
        </w:rPr>
        <w:t>Examine the literary and social politics of the colonial subject/object as what Said</w:t>
      </w:r>
      <w:r w:rsidR="003D7BEA">
        <w:rPr>
          <w:rStyle w:val="eop"/>
          <w:rFonts w:cs="Times New Roman"/>
          <w:color w:val="auto"/>
        </w:rPr>
        <w:t xml:space="preserve"> calls “imperial possessions”. </w:t>
      </w:r>
    </w:p>
    <w:p w:rsidR="002811F3" w:rsidRPr="008E7E1C" w:rsidRDefault="002811F3" w:rsidP="002811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jc w:val="both"/>
        <w:rPr>
          <w:rFonts w:cs="Times New Roman"/>
          <w:color w:val="auto"/>
        </w:rPr>
      </w:pPr>
    </w:p>
    <w:p w:rsidR="002811F3" w:rsidRDefault="002811F3" w:rsidP="002811F3">
      <w:pPr>
        <w:pStyle w:val="PlainText"/>
        <w:numPr>
          <w:ilvl w:val="0"/>
          <w:numId w:val="2"/>
        </w:numPr>
        <w:ind w:left="0"/>
        <w:jc w:val="both"/>
        <w:rPr>
          <w:rFonts w:ascii="Times New Roman" w:eastAsia="Palatino" w:hAnsi="Times New Roman" w:cs="Times New Roman"/>
        </w:rPr>
      </w:pPr>
      <w:r w:rsidRPr="008E7E1C">
        <w:rPr>
          <w:rFonts w:ascii="Times New Roman" w:eastAsia="Palatino" w:hAnsi="Times New Roman" w:cs="Times New Roman"/>
        </w:rPr>
        <w:t xml:space="preserve">Examine how your chosen stories are haunted both textually and contextually by Imperialist and Nationalist ideals of the past, and how this </w:t>
      </w:r>
      <w:proofErr w:type="gramStart"/>
      <w:r w:rsidRPr="008E7E1C">
        <w:rPr>
          <w:rFonts w:ascii="Times New Roman" w:eastAsia="Palatino" w:hAnsi="Times New Roman" w:cs="Times New Roman"/>
        </w:rPr>
        <w:t>impacted on</w:t>
      </w:r>
      <w:proofErr w:type="gramEnd"/>
      <w:r w:rsidRPr="008E7E1C">
        <w:rPr>
          <w:rFonts w:ascii="Times New Roman" w:eastAsia="Palatino" w:hAnsi="Times New Roman" w:cs="Times New Roman"/>
        </w:rPr>
        <w:t xml:space="preserve"> the “present” of those stories, paying particular attention to the use of Gothic tropes and their transgressive potential.</w:t>
      </w:r>
    </w:p>
    <w:p w:rsidR="002811F3" w:rsidRDefault="002811F3" w:rsidP="002811F3">
      <w:pPr>
        <w:pStyle w:val="ListParagraph"/>
        <w:rPr>
          <w:rFonts w:eastAsia="Palatino" w:cs="Times New Roman"/>
        </w:rPr>
      </w:pPr>
    </w:p>
    <w:p w:rsidR="002811F3" w:rsidRDefault="002811F3" w:rsidP="002811F3">
      <w:pPr>
        <w:pStyle w:val="ListParagraph"/>
        <w:rPr>
          <w:rFonts w:eastAsia="Palatino" w:cs="Times New Roman"/>
        </w:rPr>
      </w:pPr>
    </w:p>
    <w:p w:rsidR="002811F3" w:rsidRPr="00D902C6" w:rsidRDefault="005D4DA4" w:rsidP="002811F3">
      <w:pPr>
        <w:pStyle w:val="PlainText"/>
        <w:numPr>
          <w:ilvl w:val="0"/>
          <w:numId w:val="2"/>
        </w:numPr>
        <w:ind w:left="0"/>
        <w:jc w:val="both"/>
        <w:rPr>
          <w:rFonts w:ascii="Times New Roman" w:eastAsia="Palatino" w:hAnsi="Times New Roman" w:cs="Times New Roman"/>
        </w:rPr>
      </w:pPr>
      <w:r>
        <w:rPr>
          <w:rFonts w:ascii="Times New Roman" w:eastAsia="Palatino" w:hAnsi="Times New Roman" w:cs="Times New Roman"/>
        </w:rPr>
        <w:t>C</w:t>
      </w:r>
      <w:r w:rsidR="002811F3">
        <w:rPr>
          <w:rFonts w:ascii="Times New Roman" w:eastAsia="Palatino" w:hAnsi="Times New Roman" w:cs="Times New Roman"/>
        </w:rPr>
        <w:t>onsider Michael Shanks’ suggestion that</w:t>
      </w:r>
      <w:r w:rsidR="002811F3" w:rsidRPr="00D902C6">
        <w:rPr>
          <w:rFonts w:ascii="Times New Roman" w:eastAsia="Palatino" w:hAnsi="Times New Roman" w:cs="Times New Roman"/>
        </w:rPr>
        <w:t xml:space="preserve"> the connection between detection and archaeology is more than a case of “piecing together a picture from fragments of evidence. The archaeological imagination is … constantly doubting, balancing report against material witness, questioning the forms of representation that allow us to inquire of the past … </w:t>
      </w:r>
      <w:r w:rsidR="002811F3" w:rsidRPr="00D902C6">
        <w:rPr>
          <w:rFonts w:ascii="Times New Roman" w:eastAsia="Palatino" w:hAnsi="Times New Roman" w:cs="Times New Roman"/>
          <w:i/>
        </w:rPr>
        <w:t xml:space="preserve">metaphysical </w:t>
      </w:r>
      <w:r w:rsidR="002811F3" w:rsidRPr="00D902C6">
        <w:rPr>
          <w:rFonts w:ascii="Times New Roman" w:eastAsia="Palatino" w:hAnsi="Times New Roman" w:cs="Times New Roman"/>
        </w:rPr>
        <w:t xml:space="preserve">because this detective work takes us into </w:t>
      </w:r>
      <w:r w:rsidR="002811F3" w:rsidRPr="00D902C6">
        <w:rPr>
          <w:rFonts w:ascii="Times New Roman" w:eastAsia="Palatino" w:hAnsi="Times New Roman" w:cs="Times New Roman"/>
          <w:i/>
        </w:rPr>
        <w:t xml:space="preserve">ontological </w:t>
      </w:r>
      <w:r w:rsidR="002811F3" w:rsidRPr="00D902C6">
        <w:rPr>
          <w:rFonts w:ascii="Times New Roman" w:eastAsia="Palatino" w:hAnsi="Times New Roman" w:cs="Times New Roman"/>
        </w:rPr>
        <w:t xml:space="preserve">questions of human being and identity, our human place in the very fabric of history.” </w:t>
      </w:r>
    </w:p>
    <w:p w:rsidR="002811F3" w:rsidRDefault="002811F3" w:rsidP="002811F3">
      <w:pPr>
        <w:pStyle w:val="PlainText"/>
        <w:rPr>
          <w:rFonts w:ascii="Times New Roman" w:eastAsia="Palatino" w:hAnsi="Times New Roman" w:cs="Times New Roman"/>
          <w:color w:val="auto"/>
        </w:rPr>
      </w:pPr>
    </w:p>
    <w:p w:rsidR="002811F3" w:rsidRPr="008E7E1C" w:rsidRDefault="002811F3" w:rsidP="002811F3">
      <w:pPr>
        <w:pStyle w:val="PlainText"/>
        <w:rPr>
          <w:rFonts w:ascii="Times New Roman" w:eastAsia="Palatino" w:hAnsi="Times New Roman" w:cs="Times New Roman"/>
          <w:color w:val="auto"/>
        </w:rPr>
      </w:pPr>
    </w:p>
    <w:p w:rsidR="002811F3" w:rsidRPr="005D4DA4" w:rsidRDefault="002811F3" w:rsidP="002811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0"/>
        <w:jc w:val="both"/>
        <w:rPr>
          <w:rFonts w:eastAsia="Palatino" w:cs="Times New Roman"/>
          <w:color w:val="auto"/>
        </w:rPr>
      </w:pPr>
      <w:r w:rsidRPr="008E7E1C">
        <w:rPr>
          <w:rFonts w:cs="Times New Roman"/>
          <w:color w:val="auto"/>
        </w:rPr>
        <w:t xml:space="preserve">Alison Light argues that there is a sense in which Christie participates in “a modernist spirit” and she </w:t>
      </w:r>
      <w:proofErr w:type="gramStart"/>
      <w:r w:rsidRPr="008E7E1C">
        <w:rPr>
          <w:rFonts w:cs="Times New Roman"/>
          <w:color w:val="auto"/>
        </w:rPr>
        <w:t>can be characterized</w:t>
      </w:r>
      <w:proofErr w:type="gramEnd"/>
      <w:r w:rsidRPr="008E7E1C">
        <w:rPr>
          <w:rFonts w:cs="Times New Roman"/>
          <w:color w:val="auto"/>
        </w:rPr>
        <w:t xml:space="preserve"> as “an iconoclast whose monitoring of the plots of family life aims to upset the Victorian image of home, sweet home”. To what extent do your chosen authors resist or maintain the domestic idea</w:t>
      </w:r>
      <w:bookmarkStart w:id="1" w:name="_GoBack"/>
      <w:bookmarkEnd w:id="1"/>
      <w:r w:rsidRPr="008E7E1C">
        <w:rPr>
          <w:rFonts w:cs="Times New Roman"/>
          <w:color w:val="auto"/>
        </w:rPr>
        <w:t>l?</w:t>
      </w:r>
      <w:r w:rsidRPr="004B353B">
        <w:rPr>
          <w:rFonts w:eastAsia="Times New Roman" w:cs="Times New Roman"/>
          <w:color w:val="auto"/>
          <w:bdr w:val="none" w:sz="0" w:space="0" w:color="auto"/>
          <w:lang w:val="en-GB"/>
        </w:rPr>
        <w:t xml:space="preserve"> </w:t>
      </w:r>
    </w:p>
    <w:p w:rsidR="005D4DA4" w:rsidRPr="004B353B" w:rsidRDefault="005D4DA4" w:rsidP="005D4DA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0"/>
        <w:jc w:val="both"/>
        <w:rPr>
          <w:rFonts w:eastAsia="Palatino" w:cs="Times New Roman"/>
          <w:color w:val="auto"/>
        </w:rPr>
      </w:pPr>
    </w:p>
    <w:p w:rsidR="002811F3" w:rsidRPr="004B353B" w:rsidRDefault="002811F3" w:rsidP="00836D7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75"/>
        <w:ind w:left="0"/>
        <w:jc w:val="both"/>
        <w:rPr>
          <w:rFonts w:eastAsia="Palatino" w:cs="Times New Roman"/>
          <w:color w:val="auto"/>
        </w:rPr>
      </w:pPr>
      <w:r w:rsidRPr="004B353B">
        <w:rPr>
          <w:rFonts w:eastAsia="Times New Roman" w:cs="Times New Roman"/>
          <w:color w:val="auto"/>
          <w:bdr w:val="none" w:sz="0" w:space="0" w:color="auto"/>
          <w:lang w:val="en-GB"/>
        </w:rPr>
        <w:t>“</w:t>
      </w:r>
      <w:hyperlink r:id="rId7" w:history="1">
        <w:r w:rsidRPr="004B353B">
          <w:rPr>
            <w:rFonts w:eastAsia="Times New Roman" w:cs="Times New Roman"/>
            <w:color w:val="auto"/>
            <w:bdr w:val="none" w:sz="0" w:space="0" w:color="auto" w:frame="1"/>
            <w:lang w:val="en-GB"/>
          </w:rPr>
          <w:t xml:space="preserve">‘The </w:t>
        </w:r>
        <w:r w:rsidRPr="004B353B">
          <w:rPr>
            <w:rFonts w:eastAsia="Times New Roman" w:cs="Times New Roman"/>
            <w:i/>
            <w:color w:val="auto"/>
            <w:bdr w:val="none" w:sz="0" w:space="0" w:color="auto" w:frame="1"/>
            <w:lang w:val="en-GB"/>
          </w:rPr>
          <w:t xml:space="preserve">crime </w:t>
        </w:r>
        <w:proofErr w:type="spellStart"/>
        <w:r w:rsidRPr="004B353B">
          <w:rPr>
            <w:rFonts w:eastAsia="Times New Roman" w:cs="Times New Roman"/>
            <w:i/>
            <w:color w:val="auto"/>
            <w:bdr w:val="none" w:sz="0" w:space="0" w:color="auto" w:frame="1"/>
            <w:lang w:val="en-GB"/>
          </w:rPr>
          <w:t>passionel</w:t>
        </w:r>
        <w:proofErr w:type="spellEnd"/>
        <w:r w:rsidRPr="004B353B">
          <w:rPr>
            <w:rFonts w:eastAsia="Times New Roman" w:cs="Times New Roman"/>
            <w:i/>
            <w:color w:val="auto"/>
            <w:bdr w:val="none" w:sz="0" w:space="0" w:color="auto" w:frame="1"/>
            <w:lang w:val="en-GB"/>
          </w:rPr>
          <w:t>!</w:t>
        </w:r>
        <w:r w:rsidRPr="004B353B">
          <w:rPr>
            <w:rFonts w:eastAsia="Times New Roman" w:cs="Times New Roman"/>
            <w:color w:val="auto"/>
            <w:bdr w:val="none" w:sz="0" w:space="0" w:color="auto" w:frame="1"/>
            <w:lang w:val="en-GB"/>
          </w:rPr>
          <w:t xml:space="preserve">’ she exclaimed. ‘The primitive instinct— to kill! So closely allied to the </w:t>
        </w:r>
        <w:r w:rsidRPr="004B353B">
          <w:rPr>
            <w:rFonts w:eastAsia="Times New Roman" w:cs="Times New Roman"/>
            <w:bCs/>
            <w:color w:val="auto"/>
            <w:bdr w:val="none" w:sz="0" w:space="0" w:color="auto" w:frame="1"/>
            <w:lang w:val="en-GB"/>
          </w:rPr>
          <w:t>sex</w:t>
        </w:r>
        <w:r w:rsidRPr="004B353B">
          <w:rPr>
            <w:rFonts w:eastAsia="Times New Roman" w:cs="Times New Roman"/>
            <w:color w:val="auto"/>
            <w:bdr w:val="none" w:sz="0" w:space="0" w:color="auto" w:frame="1"/>
            <w:lang w:val="en-GB"/>
          </w:rPr>
          <w:t xml:space="preserve"> instinct</w:t>
        </w:r>
      </w:hyperlink>
      <w:r w:rsidRPr="004B353B">
        <w:rPr>
          <w:rFonts w:eastAsia="Times New Roman" w:cs="Times New Roman"/>
          <w:color w:val="auto"/>
          <w:bdr w:val="none" w:sz="0" w:space="0" w:color="auto"/>
          <w:lang w:val="en-GB"/>
        </w:rPr>
        <w:t>’” (</w:t>
      </w:r>
      <w:r w:rsidRPr="004B353B">
        <w:rPr>
          <w:rFonts w:eastAsia="Times New Roman" w:cs="Times New Roman"/>
          <w:i/>
          <w:color w:val="auto"/>
          <w:bdr w:val="none" w:sz="0" w:space="0" w:color="auto"/>
          <w:lang w:val="en-GB"/>
        </w:rPr>
        <w:t>Death on the Nile</w:t>
      </w:r>
      <w:r w:rsidRPr="004B353B">
        <w:rPr>
          <w:rFonts w:eastAsia="Times New Roman" w:cs="Times New Roman"/>
          <w:color w:val="auto"/>
          <w:bdr w:val="none" w:sz="0" w:space="0" w:color="auto"/>
          <w:lang w:val="en-GB"/>
        </w:rPr>
        <w:t>). Consider the threat of sexuality to the domestic ideal.</w:t>
      </w:r>
    </w:p>
    <w:p w:rsidR="002811F3" w:rsidRPr="008E7E1C" w:rsidRDefault="002811F3" w:rsidP="003D7BEA">
      <w:pPr>
        <w:pStyle w:val="PlainText"/>
        <w:ind w:hanging="253"/>
        <w:jc w:val="both"/>
        <w:rPr>
          <w:rFonts w:ascii="Times New Roman" w:eastAsia="Palatino" w:hAnsi="Times New Roman" w:cs="Times New Roman"/>
          <w:color w:val="auto"/>
        </w:rPr>
      </w:pPr>
    </w:p>
    <w:p w:rsidR="002811F3" w:rsidRPr="008E7E1C" w:rsidRDefault="002811F3" w:rsidP="003D7BEA">
      <w:pPr>
        <w:ind w:hanging="253"/>
        <w:rPr>
          <w:rFonts w:cs="Times New Roman"/>
          <w:color w:val="333333"/>
        </w:rPr>
      </w:pPr>
    </w:p>
    <w:p w:rsidR="002811F3" w:rsidRPr="009919CD" w:rsidRDefault="002811F3" w:rsidP="003D7BEA">
      <w:pPr>
        <w:pStyle w:val="PlainText"/>
        <w:numPr>
          <w:ilvl w:val="0"/>
          <w:numId w:val="9"/>
        </w:numPr>
        <w:ind w:left="0" w:hanging="253"/>
        <w:jc w:val="both"/>
        <w:rPr>
          <w:rFonts w:ascii="Times New Roman" w:eastAsia="Palatino" w:hAnsi="Times New Roman" w:cs="Times New Roman"/>
          <w:color w:val="auto"/>
        </w:rPr>
      </w:pPr>
      <w:r w:rsidRPr="008E7E1C">
        <w:rPr>
          <w:rFonts w:ascii="Times New Roman" w:hAnsi="Times New Roman" w:cs="Times New Roman"/>
          <w:color w:val="auto"/>
        </w:rPr>
        <w:t xml:space="preserve">Gill Plain suggests that, </w:t>
      </w:r>
      <w:proofErr w:type="gramStart"/>
      <w:r w:rsidRPr="008E7E1C">
        <w:rPr>
          <w:rFonts w:ascii="Times New Roman" w:hAnsi="Times New Roman" w:cs="Times New Roman"/>
          <w:color w:val="auto"/>
        </w:rPr>
        <w:t>in regard to</w:t>
      </w:r>
      <w:proofErr w:type="gramEnd"/>
      <w:r w:rsidRPr="008E7E1C">
        <w:rPr>
          <w:rFonts w:ascii="Times New Roman" w:hAnsi="Times New Roman" w:cs="Times New Roman"/>
          <w:color w:val="auto"/>
        </w:rPr>
        <w:t xml:space="preserve"> the victim, it is ‘a deep structural irony of the detective genre that the “body” is both crucial and yet often…consigned to the margins…safely translated into </w:t>
      </w:r>
      <w:r w:rsidRPr="009919CD">
        <w:rPr>
          <w:rFonts w:ascii="Times New Roman" w:hAnsi="Times New Roman" w:cs="Times New Roman"/>
          <w:color w:val="auto"/>
        </w:rPr>
        <w:t>symbol’. Consider the n</w:t>
      </w:r>
      <w:r w:rsidR="00872F10">
        <w:rPr>
          <w:rFonts w:ascii="Times New Roman" w:hAnsi="Times New Roman" w:cs="Times New Roman"/>
          <w:color w:val="auto"/>
        </w:rPr>
        <w:t>uances of the bodies of victims.</w:t>
      </w:r>
    </w:p>
    <w:p w:rsidR="002811F3" w:rsidRPr="009919CD" w:rsidRDefault="002811F3" w:rsidP="003D7BEA">
      <w:pPr>
        <w:pStyle w:val="ListParagraph"/>
        <w:ind w:left="0" w:hanging="253"/>
        <w:rPr>
          <w:rFonts w:eastAsia="Palatino" w:cs="Times New Roman"/>
          <w:color w:val="auto"/>
        </w:rPr>
      </w:pPr>
    </w:p>
    <w:p w:rsidR="002811F3" w:rsidRPr="009919CD" w:rsidRDefault="002811F3" w:rsidP="003D7BEA">
      <w:pPr>
        <w:pStyle w:val="PlainText"/>
        <w:ind w:hanging="253"/>
        <w:rPr>
          <w:rFonts w:ascii="Times New Roman" w:eastAsia="Palatino" w:hAnsi="Times New Roman" w:cs="Times New Roman"/>
        </w:rPr>
      </w:pPr>
    </w:p>
    <w:p w:rsidR="002811F3" w:rsidRPr="008E7E1C" w:rsidRDefault="002811F3" w:rsidP="003D7BEA">
      <w:pPr>
        <w:pStyle w:val="PlainText"/>
        <w:numPr>
          <w:ilvl w:val="0"/>
          <w:numId w:val="10"/>
        </w:numPr>
        <w:ind w:left="0" w:hanging="253"/>
        <w:jc w:val="both"/>
        <w:rPr>
          <w:rFonts w:ascii="Times New Roman" w:eastAsia="Palatino" w:hAnsi="Times New Roman" w:cs="Times New Roman"/>
        </w:rPr>
      </w:pPr>
      <w:r w:rsidRPr="009919CD">
        <w:rPr>
          <w:rFonts w:ascii="Times New Roman" w:hAnsi="Times New Roman" w:cs="Times New Roman"/>
        </w:rPr>
        <w:t>“In the aftermath of the war, heroic masculinity appeared both untenable and bankrupt as an ideal within</w:t>
      </w:r>
      <w:r w:rsidRPr="008E7E1C">
        <w:rPr>
          <w:rFonts w:ascii="Times New Roman" w:hAnsi="Times New Roman" w:cs="Times New Roman"/>
        </w:rPr>
        <w:t xml:space="preserve"> a domestic national context.” (Hilary Hinds, ‘Ordinary Disappointments’). </w:t>
      </w:r>
    </w:p>
    <w:p w:rsidR="002811F3" w:rsidRPr="008764F1" w:rsidRDefault="002811F3" w:rsidP="003D7BEA">
      <w:pPr>
        <w:pStyle w:val="PlainText"/>
        <w:ind w:hanging="253"/>
        <w:jc w:val="both"/>
        <w:rPr>
          <w:rFonts w:ascii="Times New Roman" w:eastAsia="Palatino" w:hAnsi="Times New Roman" w:cs="Times New Roman"/>
        </w:rPr>
      </w:pPr>
      <w:r w:rsidRPr="008E7E1C">
        <w:rPr>
          <w:rFonts w:ascii="Times New Roman" w:hAnsi="Times New Roman" w:cs="Times New Roman"/>
        </w:rPr>
        <w:t xml:space="preserve">Consider the intersection of masculinity and </w:t>
      </w:r>
      <w:r>
        <w:rPr>
          <w:rFonts w:ascii="Times New Roman" w:hAnsi="Times New Roman" w:cs="Times New Roman"/>
        </w:rPr>
        <w:t>the military.</w:t>
      </w:r>
    </w:p>
    <w:p w:rsidR="002811F3" w:rsidRPr="008E7E1C" w:rsidRDefault="002811F3" w:rsidP="003D7BEA">
      <w:pPr>
        <w:pStyle w:val="ListParagraph"/>
        <w:ind w:left="0" w:hanging="253"/>
        <w:rPr>
          <w:rFonts w:cs="Times New Roman"/>
        </w:rPr>
      </w:pPr>
    </w:p>
    <w:p w:rsidR="002811F3" w:rsidRPr="00136490" w:rsidRDefault="002811F3" w:rsidP="00836D7E">
      <w:pPr>
        <w:pStyle w:val="PlainText"/>
        <w:numPr>
          <w:ilvl w:val="0"/>
          <w:numId w:val="8"/>
        </w:numPr>
        <w:spacing w:before="240"/>
        <w:ind w:left="0" w:hanging="253"/>
        <w:rPr>
          <w:rFonts w:ascii="Times New Roman" w:eastAsia="Palatino" w:hAnsi="Times New Roman" w:cs="Times New Roman"/>
        </w:rPr>
      </w:pPr>
      <w:r>
        <w:rPr>
          <w:rFonts w:ascii="Times New Roman" w:hAnsi="Times New Roman" w:cs="Times New Roman"/>
        </w:rPr>
        <w:t>“</w:t>
      </w:r>
      <w:r w:rsidRPr="008E7E1C">
        <w:rPr>
          <w:rFonts w:ascii="Times New Roman" w:hAnsi="Times New Roman" w:cs="Times New Roman"/>
        </w:rPr>
        <w:t>Marsh’s work is replete with theatrical ge</w:t>
      </w:r>
      <w:r>
        <w:rPr>
          <w:rFonts w:ascii="Times New Roman" w:hAnsi="Times New Roman" w:cs="Times New Roman"/>
        </w:rPr>
        <w:t>stures, inflections and motifs.”</w:t>
      </w:r>
      <w:r w:rsidRPr="008E7E1C">
        <w:rPr>
          <w:rFonts w:ascii="Times New Roman" w:hAnsi="Times New Roman" w:cs="Times New Roman"/>
        </w:rPr>
        <w:t xml:space="preserve">(Bruce Harding, ‘The Twin Sisters in the Family of Fiction’) </w:t>
      </w:r>
      <w:r w:rsidRPr="008E7E1C">
        <w:rPr>
          <w:rFonts w:ascii="Times New Roman" w:hAnsi="Times New Roman" w:cs="Times New Roman"/>
        </w:rPr>
        <w:br/>
        <w:t>Discuss the importance of performativity, theatrical</w:t>
      </w:r>
      <w:r w:rsidR="00C34AA8">
        <w:rPr>
          <w:rFonts w:ascii="Times New Roman" w:hAnsi="Times New Roman" w:cs="Times New Roman"/>
        </w:rPr>
        <w:t>ity, and crime/detection as Art</w:t>
      </w:r>
      <w:r w:rsidRPr="008E7E1C">
        <w:rPr>
          <w:rFonts w:ascii="Times New Roman" w:hAnsi="Times New Roman" w:cs="Times New Roman"/>
        </w:rPr>
        <w:t>.</w:t>
      </w:r>
    </w:p>
    <w:p w:rsidR="002811F3" w:rsidRDefault="002811F3" w:rsidP="003D7BEA">
      <w:pPr>
        <w:pStyle w:val="PlainText"/>
        <w:ind w:hanging="253"/>
        <w:rPr>
          <w:rFonts w:ascii="Times New Roman" w:eastAsia="Palatino" w:hAnsi="Times New Roman" w:cs="Times New Roman"/>
        </w:rPr>
      </w:pPr>
    </w:p>
    <w:p w:rsidR="002811F3" w:rsidRPr="008E7E1C" w:rsidRDefault="002811F3" w:rsidP="00836D7E">
      <w:pPr>
        <w:pStyle w:val="PlainText"/>
        <w:numPr>
          <w:ilvl w:val="0"/>
          <w:numId w:val="6"/>
        </w:numPr>
        <w:spacing w:before="240"/>
        <w:ind w:hanging="253"/>
        <w:rPr>
          <w:rFonts w:ascii="Times New Roman" w:eastAsia="Palatino" w:hAnsi="Times New Roman" w:cs="Times New Roman"/>
        </w:rPr>
      </w:pPr>
      <w:r>
        <w:rPr>
          <w:rFonts w:ascii="Times New Roman" w:hAnsi="Times New Roman" w:cs="Times New Roman"/>
        </w:rPr>
        <w:t>“</w:t>
      </w:r>
      <w:r w:rsidRPr="008E7E1C">
        <w:rPr>
          <w:rFonts w:ascii="Times New Roman" w:hAnsi="Times New Roman" w:cs="Times New Roman"/>
        </w:rPr>
        <w:t>The late 1920s saw a dramatic upsurge in popular concern about the abuse of police powers in Britain, the end result of a longer-term trend.</w:t>
      </w:r>
      <w:r>
        <w:rPr>
          <w:rFonts w:ascii="Times New Roman" w:hAnsi="Times New Roman" w:cs="Times New Roman"/>
        </w:rPr>
        <w:t>”</w:t>
      </w:r>
      <w:r w:rsidRPr="008E7E1C">
        <w:rPr>
          <w:rFonts w:ascii="Times New Roman" w:hAnsi="Times New Roman" w:cs="Times New Roman"/>
        </w:rPr>
        <w:t xml:space="preserve"> (John Carter Wo</w:t>
      </w:r>
      <w:r w:rsidR="00EA3362">
        <w:rPr>
          <w:rFonts w:ascii="Times New Roman" w:hAnsi="Times New Roman" w:cs="Times New Roman"/>
        </w:rPr>
        <w:t xml:space="preserve">od, ‘The Third Degree’). </w:t>
      </w:r>
      <w:r w:rsidR="00EA3362">
        <w:rPr>
          <w:rFonts w:ascii="Times New Roman" w:hAnsi="Times New Roman" w:cs="Times New Roman"/>
        </w:rPr>
        <w:br/>
      </w:r>
      <w:proofErr w:type="spellStart"/>
      <w:r w:rsidR="00EA3362">
        <w:rPr>
          <w:rFonts w:ascii="Times New Roman" w:hAnsi="Times New Roman" w:cs="Times New Roman"/>
        </w:rPr>
        <w:t>Analys</w:t>
      </w:r>
      <w:r w:rsidRPr="008E7E1C">
        <w:rPr>
          <w:rFonts w:ascii="Times New Roman" w:hAnsi="Times New Roman" w:cs="Times New Roman"/>
        </w:rPr>
        <w:t>e</w:t>
      </w:r>
      <w:proofErr w:type="spellEnd"/>
      <w:r w:rsidRPr="008E7E1C">
        <w:rPr>
          <w:rFonts w:ascii="Times New Roman" w:hAnsi="Times New Roman" w:cs="Times New Roman"/>
        </w:rPr>
        <w:t xml:space="preserve"> </w:t>
      </w:r>
      <w:r w:rsidR="00EA3362">
        <w:rPr>
          <w:rFonts w:ascii="Times New Roman" w:hAnsi="Times New Roman" w:cs="Times New Roman"/>
        </w:rPr>
        <w:t xml:space="preserve">the representation of </w:t>
      </w:r>
      <w:r w:rsidRPr="008E7E1C">
        <w:rPr>
          <w:rFonts w:ascii="Times New Roman" w:hAnsi="Times New Roman" w:cs="Times New Roman"/>
        </w:rPr>
        <w:t xml:space="preserve">the police force in the </w:t>
      </w:r>
      <w:r w:rsidRPr="00EA3362">
        <w:rPr>
          <w:rFonts w:ascii="Times New Roman" w:hAnsi="Times New Roman" w:cs="Times New Roman"/>
          <w:u w:val="single"/>
        </w:rPr>
        <w:t>interwar</w:t>
      </w:r>
      <w:r w:rsidRPr="008E7E1C">
        <w:rPr>
          <w:rFonts w:ascii="Times New Roman" w:hAnsi="Times New Roman" w:cs="Times New Roman"/>
        </w:rPr>
        <w:t xml:space="preserve"> crime fiction</w:t>
      </w:r>
      <w:r w:rsidR="00C34AA8">
        <w:rPr>
          <w:rFonts w:ascii="Times New Roman" w:hAnsi="Times New Roman" w:cs="Times New Roman"/>
        </w:rPr>
        <w:t xml:space="preserve"> or in two different </w:t>
      </w:r>
      <w:r w:rsidR="00EA3362">
        <w:rPr>
          <w:rFonts w:ascii="Times New Roman" w:hAnsi="Times New Roman" w:cs="Times New Roman"/>
        </w:rPr>
        <w:t>periods</w:t>
      </w:r>
      <w:r w:rsidRPr="008E7E1C">
        <w:rPr>
          <w:rFonts w:ascii="Times New Roman" w:hAnsi="Times New Roman" w:cs="Times New Roman"/>
        </w:rPr>
        <w:t>.</w:t>
      </w:r>
    </w:p>
    <w:p w:rsidR="002811F3" w:rsidRPr="008E7E1C" w:rsidRDefault="002811F3" w:rsidP="003D7BEA">
      <w:pPr>
        <w:pStyle w:val="ListParagraph"/>
        <w:ind w:left="0" w:hanging="253"/>
        <w:rPr>
          <w:rFonts w:eastAsia="Palatino" w:cs="Times New Roman"/>
        </w:rPr>
      </w:pPr>
    </w:p>
    <w:p w:rsidR="002811F3" w:rsidRPr="008E7E1C" w:rsidRDefault="002811F3" w:rsidP="00836D7E">
      <w:pPr>
        <w:pStyle w:val="PlainText"/>
        <w:numPr>
          <w:ilvl w:val="0"/>
          <w:numId w:val="7"/>
        </w:numPr>
        <w:spacing w:before="240"/>
        <w:ind w:hanging="253"/>
        <w:rPr>
          <w:rFonts w:ascii="Times New Roman" w:eastAsia="Palatino" w:hAnsi="Times New Roman" w:cs="Times New Roman"/>
        </w:rPr>
      </w:pPr>
      <w:r>
        <w:rPr>
          <w:rFonts w:ascii="Times New Roman" w:eastAsia="Palatino" w:hAnsi="Times New Roman" w:cs="Times New Roman"/>
        </w:rPr>
        <w:t xml:space="preserve"> </w:t>
      </w:r>
      <w:r w:rsidRPr="008E7E1C">
        <w:rPr>
          <w:rFonts w:ascii="Times New Roman" w:eastAsia="Palatino" w:hAnsi="Times New Roman" w:cs="Times New Roman"/>
        </w:rPr>
        <w:t xml:space="preserve">In ‘The Slaughterhouse of Fiction’ (2000), Franco Moretti claims that it is the “clue” that determines both whether a text </w:t>
      </w:r>
      <w:r w:rsidRPr="008E7E1C">
        <w:rPr>
          <w:rFonts w:ascii="Times New Roman" w:eastAsia="Palatino" w:hAnsi="Times New Roman" w:cs="Times New Roman"/>
          <w:i/>
        </w:rPr>
        <w:t xml:space="preserve">is </w:t>
      </w:r>
      <w:r w:rsidRPr="008E7E1C">
        <w:rPr>
          <w:rFonts w:ascii="Times New Roman" w:eastAsia="Palatino" w:hAnsi="Times New Roman" w:cs="Times New Roman"/>
        </w:rPr>
        <w:t>detective fiction, and whether it is successful. Consider the changing (or static) role of “the clue”, paying attention to its formative and functional role.</w:t>
      </w:r>
    </w:p>
    <w:p w:rsidR="002811F3" w:rsidRPr="00D94A6C" w:rsidRDefault="002811F3" w:rsidP="002811F3">
      <w:pPr>
        <w:spacing w:line="480" w:lineRule="auto"/>
        <w:rPr>
          <w:rFonts w:asciiTheme="majorHAnsi" w:eastAsia="Palatino" w:hAnsiTheme="majorHAnsi" w:cstheme="majorHAnsi"/>
        </w:rPr>
      </w:pPr>
    </w:p>
    <w:p w:rsidR="002811F3" w:rsidRPr="00D94A6C" w:rsidRDefault="002811F3" w:rsidP="002811F3">
      <w:pPr>
        <w:pStyle w:val="PlainText"/>
        <w:spacing w:line="480" w:lineRule="auto"/>
        <w:rPr>
          <w:rFonts w:asciiTheme="majorHAnsi" w:eastAsia="Palatino" w:hAnsiTheme="majorHAnsi" w:cstheme="majorHAnsi"/>
        </w:rPr>
      </w:pPr>
    </w:p>
    <w:p w:rsidR="002811F3" w:rsidRPr="00D94A6C" w:rsidRDefault="002811F3" w:rsidP="002811F3">
      <w:pPr>
        <w:pStyle w:val="PlainText"/>
        <w:spacing w:line="480" w:lineRule="auto"/>
        <w:rPr>
          <w:rFonts w:asciiTheme="majorHAnsi" w:eastAsia="Palatino" w:hAnsiTheme="majorHAnsi" w:cstheme="majorHAnsi"/>
        </w:rPr>
      </w:pPr>
    </w:p>
    <w:p w:rsidR="002811F3" w:rsidRPr="00D94A6C" w:rsidRDefault="002811F3" w:rsidP="002811F3">
      <w:pPr>
        <w:pStyle w:val="PlainText"/>
        <w:spacing w:line="480" w:lineRule="auto"/>
        <w:rPr>
          <w:rFonts w:asciiTheme="majorHAnsi" w:eastAsia="Palatino" w:hAnsiTheme="majorHAnsi" w:cstheme="majorHAnsi"/>
        </w:rPr>
      </w:pPr>
    </w:p>
    <w:p w:rsidR="002811F3" w:rsidRPr="00D94A6C" w:rsidRDefault="002811F3" w:rsidP="002811F3">
      <w:pPr>
        <w:pStyle w:val="PlainText"/>
        <w:spacing w:line="480" w:lineRule="auto"/>
        <w:ind w:left="360"/>
        <w:rPr>
          <w:rFonts w:asciiTheme="majorHAnsi" w:hAnsiTheme="majorHAnsi" w:cstheme="majorHAnsi"/>
        </w:rPr>
      </w:pPr>
      <w:r w:rsidRPr="00D94A6C">
        <w:rPr>
          <w:rFonts w:asciiTheme="majorHAnsi" w:hAnsiTheme="majorHAnsi" w:cstheme="majorHAnsi"/>
        </w:rPr>
        <w:t xml:space="preserve"> </w:t>
      </w:r>
    </w:p>
    <w:p w:rsidR="009E78C2" w:rsidRDefault="009E78C2"/>
    <w:sectPr w:rsidR="009E78C2" w:rsidSect="00D94A6C">
      <w:headerReference w:type="default" r:id="rId8"/>
      <w:pgSz w:w="12240" w:h="15840"/>
      <w:pgMar w:top="1440" w:right="146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6D7A">
      <w:r>
        <w:separator/>
      </w:r>
    </w:p>
  </w:endnote>
  <w:endnote w:type="continuationSeparator" w:id="0">
    <w:p w:rsidR="00000000" w:rsidRDefault="0001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6D7A">
      <w:r>
        <w:separator/>
      </w:r>
    </w:p>
  </w:footnote>
  <w:footnote w:type="continuationSeparator" w:id="0">
    <w:p w:rsidR="00000000" w:rsidRDefault="0001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49" w:rsidRPr="007D6ABD" w:rsidRDefault="003D7BEA" w:rsidP="007D6ABD">
    <w:pPr>
      <w:pStyle w:val="HeaderFooter"/>
      <w:rPr>
        <w:sz w:val="20"/>
      </w:rPr>
    </w:pPr>
    <w:r w:rsidRPr="007D6ABD">
      <w:rPr>
        <w:rFonts w:asciiTheme="majorHAnsi" w:hAnsiTheme="majorHAnsi" w:cstheme="majorHAnsi"/>
        <w:b/>
        <w:sz w:val="20"/>
      </w:rPr>
      <w:t xml:space="preserve">EN334: </w:t>
    </w:r>
    <w:r w:rsidRPr="007D6ABD">
      <w:rPr>
        <w:rStyle w:val="NoneA"/>
        <w:rFonts w:asciiTheme="majorHAnsi" w:hAnsiTheme="majorHAnsi" w:cstheme="majorHAnsi"/>
        <w:b/>
        <w:sz w:val="20"/>
      </w:rPr>
      <w:t>Crime Fiction, Nation, and Empire, 1847-1947</w:t>
    </w:r>
    <w:r w:rsidRPr="007D6ABD">
      <w:rPr>
        <w:rStyle w:val="NoneA"/>
        <w:rFonts w:asciiTheme="majorHAnsi" w:hAnsiTheme="majorHAnsi" w:cstheme="majorHAnsi"/>
        <w:b/>
        <w:sz w:val="20"/>
      </w:rPr>
      <w:br/>
      <w:t>Assessed Essay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18"/>
    <w:multiLevelType w:val="hybridMultilevel"/>
    <w:tmpl w:val="1D3A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70443"/>
    <w:multiLevelType w:val="hybridMultilevel"/>
    <w:tmpl w:val="69EE5272"/>
    <w:lvl w:ilvl="0" w:tplc="4BC89D7C">
      <w:start w:val="1"/>
      <w:numFmt w:val="bullet"/>
      <w:lvlText w:val=""/>
      <w:lvlJc w:val="left"/>
      <w:pPr>
        <w:ind w:left="720" w:hanging="360"/>
      </w:pPr>
      <w:rPr>
        <w:rFonts w:ascii="Symbol" w:hAnsi="Symbol" w:hint="default"/>
      </w:rPr>
    </w:lvl>
    <w:lvl w:ilvl="1" w:tplc="2C6CAFB6">
      <w:start w:val="1"/>
      <w:numFmt w:val="bullet"/>
      <w:lvlText w:val="o"/>
      <w:lvlJc w:val="left"/>
      <w:pPr>
        <w:ind w:left="1440" w:hanging="360"/>
      </w:pPr>
      <w:rPr>
        <w:rFonts w:ascii="Courier New" w:hAnsi="Courier New" w:hint="default"/>
      </w:rPr>
    </w:lvl>
    <w:lvl w:ilvl="2" w:tplc="5860E026">
      <w:start w:val="1"/>
      <w:numFmt w:val="bullet"/>
      <w:lvlText w:val=""/>
      <w:lvlJc w:val="left"/>
      <w:pPr>
        <w:ind w:left="2160" w:hanging="360"/>
      </w:pPr>
      <w:rPr>
        <w:rFonts w:ascii="Wingdings" w:hAnsi="Wingdings" w:hint="default"/>
      </w:rPr>
    </w:lvl>
    <w:lvl w:ilvl="3" w:tplc="B9F439F0">
      <w:start w:val="1"/>
      <w:numFmt w:val="bullet"/>
      <w:lvlText w:val=""/>
      <w:lvlJc w:val="left"/>
      <w:pPr>
        <w:ind w:left="2880" w:hanging="360"/>
      </w:pPr>
      <w:rPr>
        <w:rFonts w:ascii="Symbol" w:hAnsi="Symbol" w:hint="default"/>
      </w:rPr>
    </w:lvl>
    <w:lvl w:ilvl="4" w:tplc="1C924EE2">
      <w:start w:val="1"/>
      <w:numFmt w:val="bullet"/>
      <w:lvlText w:val="o"/>
      <w:lvlJc w:val="left"/>
      <w:pPr>
        <w:ind w:left="3600" w:hanging="360"/>
      </w:pPr>
      <w:rPr>
        <w:rFonts w:ascii="Courier New" w:hAnsi="Courier New" w:hint="default"/>
      </w:rPr>
    </w:lvl>
    <w:lvl w:ilvl="5" w:tplc="944A4A24">
      <w:start w:val="1"/>
      <w:numFmt w:val="bullet"/>
      <w:lvlText w:val=""/>
      <w:lvlJc w:val="left"/>
      <w:pPr>
        <w:ind w:left="4320" w:hanging="360"/>
      </w:pPr>
      <w:rPr>
        <w:rFonts w:ascii="Wingdings" w:hAnsi="Wingdings" w:hint="default"/>
      </w:rPr>
    </w:lvl>
    <w:lvl w:ilvl="6" w:tplc="DE3E76FE">
      <w:start w:val="1"/>
      <w:numFmt w:val="bullet"/>
      <w:lvlText w:val=""/>
      <w:lvlJc w:val="left"/>
      <w:pPr>
        <w:ind w:left="5040" w:hanging="360"/>
      </w:pPr>
      <w:rPr>
        <w:rFonts w:ascii="Symbol" w:hAnsi="Symbol" w:hint="default"/>
      </w:rPr>
    </w:lvl>
    <w:lvl w:ilvl="7" w:tplc="5752602E">
      <w:start w:val="1"/>
      <w:numFmt w:val="bullet"/>
      <w:lvlText w:val="o"/>
      <w:lvlJc w:val="left"/>
      <w:pPr>
        <w:ind w:left="5760" w:hanging="360"/>
      </w:pPr>
      <w:rPr>
        <w:rFonts w:ascii="Courier New" w:hAnsi="Courier New" w:hint="default"/>
      </w:rPr>
    </w:lvl>
    <w:lvl w:ilvl="8" w:tplc="4E545CAA">
      <w:start w:val="1"/>
      <w:numFmt w:val="bullet"/>
      <w:lvlText w:val=""/>
      <w:lvlJc w:val="left"/>
      <w:pPr>
        <w:ind w:left="6480" w:hanging="360"/>
      </w:pPr>
      <w:rPr>
        <w:rFonts w:ascii="Wingdings" w:hAnsi="Wingdings" w:hint="default"/>
      </w:rPr>
    </w:lvl>
  </w:abstractNum>
  <w:abstractNum w:abstractNumId="2" w15:restartNumberingAfterBreak="0">
    <w:nsid w:val="4A4B7219"/>
    <w:multiLevelType w:val="hybridMultilevel"/>
    <w:tmpl w:val="FEA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52557"/>
    <w:multiLevelType w:val="hybridMultilevel"/>
    <w:tmpl w:val="479A6D90"/>
    <w:styleLink w:val="Numbered"/>
    <w:lvl w:ilvl="0" w:tplc="96A0F5D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3843D2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974972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F506EB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B040DC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FA3FC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EFA87A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2CAC36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A5233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A52E50"/>
    <w:multiLevelType w:val="hybridMultilevel"/>
    <w:tmpl w:val="479A6D90"/>
    <w:numStyleLink w:val="Numbered"/>
  </w:abstractNum>
  <w:num w:numId="1">
    <w:abstractNumId w:val="3"/>
  </w:num>
  <w:num w:numId="2">
    <w:abstractNumId w:val="4"/>
  </w:num>
  <w:num w:numId="3">
    <w:abstractNumId w:val="1"/>
  </w:num>
  <w:num w:numId="4">
    <w:abstractNumId w:val="2"/>
  </w:num>
  <w:num w:numId="5">
    <w:abstractNumId w:val="0"/>
  </w:num>
  <w:num w:numId="6">
    <w:abstractNumId w:val="4"/>
    <w:lvlOverride w:ilvl="0">
      <w:lvl w:ilvl="0" w:tplc="ED70843E">
        <w:start w:val="1"/>
        <w:numFmt w:val="decimal"/>
        <w:suff w:val="space"/>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1C4377C" w:tentative="1">
        <w:start w:val="1"/>
        <w:numFmt w:val="lowerLetter"/>
        <w:lvlText w:val="%2."/>
        <w:lvlJc w:val="left"/>
        <w:pPr>
          <w:ind w:left="1440" w:hanging="360"/>
        </w:pPr>
      </w:lvl>
    </w:lvlOverride>
    <w:lvlOverride w:ilvl="2">
      <w:lvl w:ilvl="2" w:tplc="1D8A7EDC" w:tentative="1">
        <w:start w:val="1"/>
        <w:numFmt w:val="lowerRoman"/>
        <w:lvlText w:val="%3."/>
        <w:lvlJc w:val="right"/>
        <w:pPr>
          <w:ind w:left="2160" w:hanging="180"/>
        </w:pPr>
      </w:lvl>
    </w:lvlOverride>
    <w:lvlOverride w:ilvl="3">
      <w:lvl w:ilvl="3" w:tplc="3F6A1DDC" w:tentative="1">
        <w:start w:val="1"/>
        <w:numFmt w:val="decimal"/>
        <w:lvlText w:val="%4."/>
        <w:lvlJc w:val="left"/>
        <w:pPr>
          <w:ind w:left="2880" w:hanging="360"/>
        </w:pPr>
      </w:lvl>
    </w:lvlOverride>
    <w:lvlOverride w:ilvl="4">
      <w:lvl w:ilvl="4" w:tplc="DC6CA840" w:tentative="1">
        <w:start w:val="1"/>
        <w:numFmt w:val="lowerLetter"/>
        <w:lvlText w:val="%5."/>
        <w:lvlJc w:val="left"/>
        <w:pPr>
          <w:ind w:left="3600" w:hanging="360"/>
        </w:pPr>
      </w:lvl>
    </w:lvlOverride>
    <w:lvlOverride w:ilvl="5">
      <w:lvl w:ilvl="5" w:tplc="4DA415D6" w:tentative="1">
        <w:start w:val="1"/>
        <w:numFmt w:val="lowerRoman"/>
        <w:lvlText w:val="%6."/>
        <w:lvlJc w:val="right"/>
        <w:pPr>
          <w:ind w:left="4320" w:hanging="180"/>
        </w:pPr>
      </w:lvl>
    </w:lvlOverride>
    <w:lvlOverride w:ilvl="6">
      <w:lvl w:ilvl="6" w:tplc="1648359C" w:tentative="1">
        <w:start w:val="1"/>
        <w:numFmt w:val="decimal"/>
        <w:lvlText w:val="%7."/>
        <w:lvlJc w:val="left"/>
        <w:pPr>
          <w:ind w:left="5040" w:hanging="360"/>
        </w:pPr>
      </w:lvl>
    </w:lvlOverride>
    <w:lvlOverride w:ilvl="7">
      <w:lvl w:ilvl="7" w:tplc="0FB059D4" w:tentative="1">
        <w:start w:val="1"/>
        <w:numFmt w:val="lowerLetter"/>
        <w:lvlText w:val="%8."/>
        <w:lvlJc w:val="left"/>
        <w:pPr>
          <w:ind w:left="5760" w:hanging="360"/>
        </w:pPr>
      </w:lvl>
    </w:lvlOverride>
    <w:lvlOverride w:ilvl="8">
      <w:lvl w:ilvl="8" w:tplc="B7720B3E" w:tentative="1">
        <w:start w:val="1"/>
        <w:numFmt w:val="lowerRoman"/>
        <w:lvlText w:val="%9."/>
        <w:lvlJc w:val="right"/>
        <w:pPr>
          <w:ind w:left="6480" w:hanging="180"/>
        </w:pPr>
      </w:lvl>
    </w:lvlOverride>
  </w:num>
  <w:num w:numId="7">
    <w:abstractNumId w:val="4"/>
    <w:lvlOverride w:ilvl="0">
      <w:lvl w:ilvl="0" w:tplc="ED70843E">
        <w:start w:val="1"/>
        <w:numFmt w:val="decimal"/>
        <w:suff w:val="nothing"/>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1C4377C" w:tentative="1">
        <w:start w:val="1"/>
        <w:numFmt w:val="lowerLetter"/>
        <w:lvlText w:val="%2."/>
        <w:lvlJc w:val="left"/>
        <w:pPr>
          <w:ind w:left="1440" w:hanging="360"/>
        </w:pPr>
      </w:lvl>
    </w:lvlOverride>
    <w:lvlOverride w:ilvl="2">
      <w:lvl w:ilvl="2" w:tplc="1D8A7EDC" w:tentative="1">
        <w:start w:val="1"/>
        <w:numFmt w:val="lowerRoman"/>
        <w:lvlText w:val="%3."/>
        <w:lvlJc w:val="right"/>
        <w:pPr>
          <w:ind w:left="2160" w:hanging="180"/>
        </w:pPr>
      </w:lvl>
    </w:lvlOverride>
    <w:lvlOverride w:ilvl="3">
      <w:lvl w:ilvl="3" w:tplc="3F6A1DDC" w:tentative="1">
        <w:start w:val="1"/>
        <w:numFmt w:val="decimal"/>
        <w:lvlText w:val="%4."/>
        <w:lvlJc w:val="left"/>
        <w:pPr>
          <w:ind w:left="2880" w:hanging="360"/>
        </w:pPr>
      </w:lvl>
    </w:lvlOverride>
    <w:lvlOverride w:ilvl="4">
      <w:lvl w:ilvl="4" w:tplc="DC6CA840" w:tentative="1">
        <w:start w:val="1"/>
        <w:numFmt w:val="lowerLetter"/>
        <w:lvlText w:val="%5."/>
        <w:lvlJc w:val="left"/>
        <w:pPr>
          <w:ind w:left="3600" w:hanging="360"/>
        </w:pPr>
      </w:lvl>
    </w:lvlOverride>
    <w:lvlOverride w:ilvl="5">
      <w:lvl w:ilvl="5" w:tplc="4DA415D6" w:tentative="1">
        <w:start w:val="1"/>
        <w:numFmt w:val="lowerRoman"/>
        <w:lvlText w:val="%6."/>
        <w:lvlJc w:val="right"/>
        <w:pPr>
          <w:ind w:left="4320" w:hanging="180"/>
        </w:pPr>
      </w:lvl>
    </w:lvlOverride>
    <w:lvlOverride w:ilvl="6">
      <w:lvl w:ilvl="6" w:tplc="1648359C" w:tentative="1">
        <w:start w:val="1"/>
        <w:numFmt w:val="decimal"/>
        <w:lvlText w:val="%7."/>
        <w:lvlJc w:val="left"/>
        <w:pPr>
          <w:ind w:left="5040" w:hanging="360"/>
        </w:pPr>
      </w:lvl>
    </w:lvlOverride>
    <w:lvlOverride w:ilvl="7">
      <w:lvl w:ilvl="7" w:tplc="0FB059D4" w:tentative="1">
        <w:start w:val="1"/>
        <w:numFmt w:val="lowerLetter"/>
        <w:lvlText w:val="%8."/>
        <w:lvlJc w:val="left"/>
        <w:pPr>
          <w:ind w:left="5760" w:hanging="360"/>
        </w:pPr>
      </w:lvl>
    </w:lvlOverride>
    <w:lvlOverride w:ilvl="8">
      <w:lvl w:ilvl="8" w:tplc="B7720B3E" w:tentative="1">
        <w:start w:val="1"/>
        <w:numFmt w:val="lowerRoman"/>
        <w:lvlText w:val="%9."/>
        <w:lvlJc w:val="right"/>
        <w:pPr>
          <w:ind w:left="6480" w:hanging="180"/>
        </w:pPr>
      </w:lvl>
    </w:lvlOverride>
  </w:num>
  <w:num w:numId="8">
    <w:abstractNumId w:val="4"/>
    <w:lvlOverride w:ilvl="0">
      <w:lvl w:ilvl="0" w:tplc="ED70843E">
        <w:start w:val="1"/>
        <w:numFmt w:val="decimal"/>
        <w:suff w:val="space"/>
        <w:lvlText w:val="%1."/>
        <w:lvlJc w:val="left"/>
        <w:pPr>
          <w:ind w:left="57" w:hanging="57"/>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1C4377C" w:tentative="1">
        <w:start w:val="1"/>
        <w:numFmt w:val="lowerLetter"/>
        <w:lvlText w:val="%2."/>
        <w:lvlJc w:val="left"/>
        <w:pPr>
          <w:ind w:left="1440" w:hanging="360"/>
        </w:pPr>
      </w:lvl>
    </w:lvlOverride>
    <w:lvlOverride w:ilvl="2">
      <w:lvl w:ilvl="2" w:tplc="1D8A7EDC" w:tentative="1">
        <w:start w:val="1"/>
        <w:numFmt w:val="lowerRoman"/>
        <w:lvlText w:val="%3."/>
        <w:lvlJc w:val="right"/>
        <w:pPr>
          <w:ind w:left="2160" w:hanging="180"/>
        </w:pPr>
      </w:lvl>
    </w:lvlOverride>
    <w:lvlOverride w:ilvl="3">
      <w:lvl w:ilvl="3" w:tplc="3F6A1DDC" w:tentative="1">
        <w:start w:val="1"/>
        <w:numFmt w:val="decimal"/>
        <w:lvlText w:val="%4."/>
        <w:lvlJc w:val="left"/>
        <w:pPr>
          <w:ind w:left="2880" w:hanging="360"/>
        </w:pPr>
      </w:lvl>
    </w:lvlOverride>
    <w:lvlOverride w:ilvl="4">
      <w:lvl w:ilvl="4" w:tplc="DC6CA840" w:tentative="1">
        <w:start w:val="1"/>
        <w:numFmt w:val="lowerLetter"/>
        <w:lvlText w:val="%5."/>
        <w:lvlJc w:val="left"/>
        <w:pPr>
          <w:ind w:left="3600" w:hanging="360"/>
        </w:pPr>
      </w:lvl>
    </w:lvlOverride>
    <w:lvlOverride w:ilvl="5">
      <w:lvl w:ilvl="5" w:tplc="4DA415D6" w:tentative="1">
        <w:start w:val="1"/>
        <w:numFmt w:val="lowerRoman"/>
        <w:lvlText w:val="%6."/>
        <w:lvlJc w:val="right"/>
        <w:pPr>
          <w:ind w:left="4320" w:hanging="180"/>
        </w:pPr>
      </w:lvl>
    </w:lvlOverride>
    <w:lvlOverride w:ilvl="6">
      <w:lvl w:ilvl="6" w:tplc="1648359C" w:tentative="1">
        <w:start w:val="1"/>
        <w:numFmt w:val="decimal"/>
        <w:lvlText w:val="%7."/>
        <w:lvlJc w:val="left"/>
        <w:pPr>
          <w:ind w:left="5040" w:hanging="360"/>
        </w:pPr>
      </w:lvl>
    </w:lvlOverride>
    <w:lvlOverride w:ilvl="7">
      <w:lvl w:ilvl="7" w:tplc="0FB059D4" w:tentative="1">
        <w:start w:val="1"/>
        <w:numFmt w:val="lowerLetter"/>
        <w:lvlText w:val="%8."/>
        <w:lvlJc w:val="left"/>
        <w:pPr>
          <w:ind w:left="5760" w:hanging="360"/>
        </w:pPr>
      </w:lvl>
    </w:lvlOverride>
    <w:lvlOverride w:ilvl="8">
      <w:lvl w:ilvl="8" w:tplc="B7720B3E" w:tentative="1">
        <w:start w:val="1"/>
        <w:numFmt w:val="lowerRoman"/>
        <w:lvlText w:val="%9."/>
        <w:lvlJc w:val="right"/>
        <w:pPr>
          <w:ind w:left="6480" w:hanging="180"/>
        </w:pPr>
      </w:lvl>
    </w:lvlOverride>
  </w:num>
  <w:num w:numId="9">
    <w:abstractNumId w:val="4"/>
    <w:lvlOverride w:ilvl="0">
      <w:lvl w:ilvl="0" w:tplc="ED70843E">
        <w:start w:val="1"/>
        <w:numFmt w:val="decimal"/>
        <w:suff w:val="space"/>
        <w:lvlText w:val="%1."/>
        <w:lvlJc w:val="left"/>
        <w:pPr>
          <w:ind w:left="113" w:hanging="113"/>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1C4377C" w:tentative="1">
        <w:start w:val="1"/>
        <w:numFmt w:val="lowerLetter"/>
        <w:lvlText w:val="%2."/>
        <w:lvlJc w:val="left"/>
        <w:pPr>
          <w:ind w:left="1440" w:hanging="360"/>
        </w:pPr>
      </w:lvl>
    </w:lvlOverride>
    <w:lvlOverride w:ilvl="2">
      <w:lvl w:ilvl="2" w:tplc="1D8A7EDC" w:tentative="1">
        <w:start w:val="1"/>
        <w:numFmt w:val="lowerRoman"/>
        <w:lvlText w:val="%3."/>
        <w:lvlJc w:val="right"/>
        <w:pPr>
          <w:ind w:left="2160" w:hanging="180"/>
        </w:pPr>
      </w:lvl>
    </w:lvlOverride>
    <w:lvlOverride w:ilvl="3">
      <w:lvl w:ilvl="3" w:tplc="3F6A1DDC" w:tentative="1">
        <w:start w:val="1"/>
        <w:numFmt w:val="decimal"/>
        <w:lvlText w:val="%4."/>
        <w:lvlJc w:val="left"/>
        <w:pPr>
          <w:ind w:left="2880" w:hanging="360"/>
        </w:pPr>
      </w:lvl>
    </w:lvlOverride>
    <w:lvlOverride w:ilvl="4">
      <w:lvl w:ilvl="4" w:tplc="DC6CA840" w:tentative="1">
        <w:start w:val="1"/>
        <w:numFmt w:val="lowerLetter"/>
        <w:lvlText w:val="%5."/>
        <w:lvlJc w:val="left"/>
        <w:pPr>
          <w:ind w:left="3600" w:hanging="360"/>
        </w:pPr>
      </w:lvl>
    </w:lvlOverride>
    <w:lvlOverride w:ilvl="5">
      <w:lvl w:ilvl="5" w:tplc="4DA415D6" w:tentative="1">
        <w:start w:val="1"/>
        <w:numFmt w:val="lowerRoman"/>
        <w:lvlText w:val="%6."/>
        <w:lvlJc w:val="right"/>
        <w:pPr>
          <w:ind w:left="4320" w:hanging="180"/>
        </w:pPr>
      </w:lvl>
    </w:lvlOverride>
    <w:lvlOverride w:ilvl="6">
      <w:lvl w:ilvl="6" w:tplc="1648359C" w:tentative="1">
        <w:start w:val="1"/>
        <w:numFmt w:val="decimal"/>
        <w:lvlText w:val="%7."/>
        <w:lvlJc w:val="left"/>
        <w:pPr>
          <w:ind w:left="5040" w:hanging="360"/>
        </w:pPr>
      </w:lvl>
    </w:lvlOverride>
    <w:lvlOverride w:ilvl="7">
      <w:lvl w:ilvl="7" w:tplc="0FB059D4" w:tentative="1">
        <w:start w:val="1"/>
        <w:numFmt w:val="lowerLetter"/>
        <w:lvlText w:val="%8."/>
        <w:lvlJc w:val="left"/>
        <w:pPr>
          <w:ind w:left="5760" w:hanging="360"/>
        </w:pPr>
      </w:lvl>
    </w:lvlOverride>
    <w:lvlOverride w:ilvl="8">
      <w:lvl w:ilvl="8" w:tplc="B7720B3E" w:tentative="1">
        <w:start w:val="1"/>
        <w:numFmt w:val="lowerRoman"/>
        <w:lvlText w:val="%9."/>
        <w:lvlJc w:val="right"/>
        <w:pPr>
          <w:ind w:left="6480" w:hanging="180"/>
        </w:pPr>
      </w:lvl>
    </w:lvlOverride>
  </w:num>
  <w:num w:numId="10">
    <w:abstractNumId w:val="4"/>
    <w:lvlOverride w:ilvl="0">
      <w:lvl w:ilvl="0" w:tplc="ED70843E">
        <w:start w:val="1"/>
        <w:numFmt w:val="decimal"/>
        <w:suff w:val="space"/>
        <w:lvlText w:val="%1."/>
        <w:lvlJc w:val="left"/>
        <w:pPr>
          <w:ind w:left="113" w:hanging="113"/>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1C4377C" w:tentative="1">
        <w:start w:val="1"/>
        <w:numFmt w:val="lowerLetter"/>
        <w:lvlText w:val="%2."/>
        <w:lvlJc w:val="left"/>
        <w:pPr>
          <w:ind w:left="1440" w:hanging="360"/>
        </w:pPr>
      </w:lvl>
    </w:lvlOverride>
    <w:lvlOverride w:ilvl="2">
      <w:lvl w:ilvl="2" w:tplc="1D8A7EDC" w:tentative="1">
        <w:start w:val="1"/>
        <w:numFmt w:val="lowerRoman"/>
        <w:lvlText w:val="%3."/>
        <w:lvlJc w:val="right"/>
        <w:pPr>
          <w:ind w:left="2160" w:hanging="180"/>
        </w:pPr>
      </w:lvl>
    </w:lvlOverride>
    <w:lvlOverride w:ilvl="3">
      <w:lvl w:ilvl="3" w:tplc="3F6A1DDC" w:tentative="1">
        <w:start w:val="1"/>
        <w:numFmt w:val="decimal"/>
        <w:lvlText w:val="%4."/>
        <w:lvlJc w:val="left"/>
        <w:pPr>
          <w:ind w:left="2880" w:hanging="360"/>
        </w:pPr>
      </w:lvl>
    </w:lvlOverride>
    <w:lvlOverride w:ilvl="4">
      <w:lvl w:ilvl="4" w:tplc="DC6CA840" w:tentative="1">
        <w:start w:val="1"/>
        <w:numFmt w:val="lowerLetter"/>
        <w:lvlText w:val="%5."/>
        <w:lvlJc w:val="left"/>
        <w:pPr>
          <w:ind w:left="3600" w:hanging="360"/>
        </w:pPr>
      </w:lvl>
    </w:lvlOverride>
    <w:lvlOverride w:ilvl="5">
      <w:lvl w:ilvl="5" w:tplc="4DA415D6" w:tentative="1">
        <w:start w:val="1"/>
        <w:numFmt w:val="lowerRoman"/>
        <w:lvlText w:val="%6."/>
        <w:lvlJc w:val="right"/>
        <w:pPr>
          <w:ind w:left="4320" w:hanging="180"/>
        </w:pPr>
      </w:lvl>
    </w:lvlOverride>
    <w:lvlOverride w:ilvl="6">
      <w:lvl w:ilvl="6" w:tplc="1648359C" w:tentative="1">
        <w:start w:val="1"/>
        <w:numFmt w:val="decimal"/>
        <w:lvlText w:val="%7."/>
        <w:lvlJc w:val="left"/>
        <w:pPr>
          <w:ind w:left="5040" w:hanging="360"/>
        </w:pPr>
      </w:lvl>
    </w:lvlOverride>
    <w:lvlOverride w:ilvl="7">
      <w:lvl w:ilvl="7" w:tplc="0FB059D4" w:tentative="1">
        <w:start w:val="1"/>
        <w:numFmt w:val="lowerLetter"/>
        <w:lvlText w:val="%8."/>
        <w:lvlJc w:val="left"/>
        <w:pPr>
          <w:ind w:left="5760" w:hanging="360"/>
        </w:pPr>
      </w:lvl>
    </w:lvlOverride>
    <w:lvlOverride w:ilvl="8">
      <w:lvl w:ilvl="8" w:tplc="B7720B3E"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3"/>
    <w:rsid w:val="00016D7A"/>
    <w:rsid w:val="0027447E"/>
    <w:rsid w:val="002811F3"/>
    <w:rsid w:val="002947E2"/>
    <w:rsid w:val="003D7BEA"/>
    <w:rsid w:val="005453DF"/>
    <w:rsid w:val="005D4DA4"/>
    <w:rsid w:val="007E4416"/>
    <w:rsid w:val="00836D7E"/>
    <w:rsid w:val="00872F10"/>
    <w:rsid w:val="009E78C2"/>
    <w:rsid w:val="00A932B2"/>
    <w:rsid w:val="00C34AA8"/>
    <w:rsid w:val="00EA3362"/>
    <w:rsid w:val="00ED753E"/>
    <w:rsid w:val="00F2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A1EB"/>
  <w15:chartTrackingRefBased/>
  <w15:docId w15:val="{1E90A3FE-F983-4005-A543-B15952C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1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811F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customStyle="1" w:styleId="NoneA">
    <w:name w:val="None A"/>
    <w:rsid w:val="002811F3"/>
    <w:rPr>
      <w:lang w:val="en-US"/>
    </w:rPr>
  </w:style>
  <w:style w:type="paragraph" w:styleId="PlainText">
    <w:name w:val="Plain Text"/>
    <w:link w:val="PlainTextChar"/>
    <w:rsid w:val="002811F3"/>
    <w:pPr>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n-US" w:eastAsia="en-GB"/>
    </w:rPr>
  </w:style>
  <w:style w:type="character" w:customStyle="1" w:styleId="PlainTextChar">
    <w:name w:val="Plain Text Char"/>
    <w:basedOn w:val="DefaultParagraphFont"/>
    <w:link w:val="PlainText"/>
    <w:rsid w:val="002811F3"/>
    <w:rPr>
      <w:rFonts w:ascii="Courier" w:eastAsia="Arial Unicode MS" w:hAnsi="Courier" w:cs="Arial Unicode MS"/>
      <w:color w:val="000000"/>
      <w:sz w:val="24"/>
      <w:szCs w:val="24"/>
      <w:u w:color="000000"/>
      <w:bdr w:val="nil"/>
      <w:lang w:val="en-US" w:eastAsia="en-GB"/>
    </w:rPr>
  </w:style>
  <w:style w:type="numbering" w:customStyle="1" w:styleId="Numbered">
    <w:name w:val="Numbered"/>
    <w:rsid w:val="002811F3"/>
    <w:pPr>
      <w:numPr>
        <w:numId w:val="1"/>
      </w:numPr>
    </w:pPr>
  </w:style>
  <w:style w:type="paragraph" w:styleId="ListParagraph">
    <w:name w:val="List Paragraph"/>
    <w:basedOn w:val="Normal"/>
    <w:uiPriority w:val="34"/>
    <w:qFormat/>
    <w:rsid w:val="002811F3"/>
    <w:pPr>
      <w:ind w:left="720"/>
      <w:contextualSpacing/>
    </w:pPr>
  </w:style>
  <w:style w:type="paragraph" w:customStyle="1" w:styleId="ColorfulList-Accent11">
    <w:name w:val="Colorful List - Accent 11"/>
    <w:basedOn w:val="Normal"/>
    <w:uiPriority w:val="72"/>
    <w:rsid w:val="002811F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lang w:val="en-GB"/>
    </w:rPr>
  </w:style>
  <w:style w:type="character" w:customStyle="1" w:styleId="normaltextrun">
    <w:name w:val="normaltextrun"/>
    <w:rsid w:val="002811F3"/>
  </w:style>
  <w:style w:type="character" w:customStyle="1" w:styleId="eop">
    <w:name w:val="eop"/>
    <w:basedOn w:val="DefaultParagraphFont"/>
    <w:rsid w:val="002811F3"/>
  </w:style>
  <w:style w:type="character" w:styleId="Hyperlink">
    <w:name w:val="Hyperlink"/>
    <w:basedOn w:val="DefaultParagraphFont"/>
    <w:uiPriority w:val="99"/>
    <w:semiHidden/>
    <w:unhideWhenUsed/>
    <w:rsid w:val="002947E2"/>
    <w:rPr>
      <w:color w:val="0000FF"/>
      <w:u w:val="single"/>
    </w:rPr>
  </w:style>
  <w:style w:type="table" w:styleId="TableGrid">
    <w:name w:val="Table Grid"/>
    <w:basedOn w:val="TableNormal"/>
    <w:uiPriority w:val="39"/>
    <w:rsid w:val="0027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62"/>
    <w:rPr>
      <w:rFonts w:ascii="Segoe UI" w:eastAsia="Arial Unicode MS" w:hAnsi="Segoe UI"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E4ECB9F5</Template>
  <TotalTime>56</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Baker</dc:creator>
  <cp:keywords/>
  <dc:description/>
  <cp:lastModifiedBy>Baker, Jen</cp:lastModifiedBy>
  <cp:revision>11</cp:revision>
  <cp:lastPrinted>2018-01-25T08:43:00Z</cp:lastPrinted>
  <dcterms:created xsi:type="dcterms:W3CDTF">2018-01-25T07:48:00Z</dcterms:created>
  <dcterms:modified xsi:type="dcterms:W3CDTF">2018-01-25T08:47:00Z</dcterms:modified>
</cp:coreProperties>
</file>