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A1D2" w14:textId="77777777" w:rsidR="003A59C6" w:rsidRDefault="00293C8E">
      <w:pPr>
        <w:rPr>
          <w:b/>
          <w:i/>
          <w:color w:val="000000"/>
          <w:sz w:val="28"/>
        </w:rPr>
      </w:pPr>
      <w:r w:rsidRPr="00293C8E">
        <w:rPr>
          <w:b/>
          <w:color w:val="000000"/>
          <w:sz w:val="28"/>
        </w:rPr>
        <w:t xml:space="preserve">Sources and Discussion points, </w:t>
      </w:r>
      <w:r w:rsidRPr="00293C8E">
        <w:rPr>
          <w:b/>
          <w:i/>
          <w:color w:val="000000"/>
          <w:sz w:val="28"/>
        </w:rPr>
        <w:t>The Moonstone</w:t>
      </w:r>
    </w:p>
    <w:p w14:paraId="29892676" w14:textId="77777777" w:rsidR="0046594B" w:rsidRDefault="0046594B">
      <w:pPr>
        <w:rPr>
          <w:b/>
          <w:i/>
          <w:color w:val="000000"/>
          <w:sz w:val="28"/>
        </w:rPr>
      </w:pPr>
    </w:p>
    <w:p w14:paraId="091FE5C1" w14:textId="17810EF5" w:rsidR="0046594B" w:rsidRPr="00A50E84" w:rsidRDefault="0046594B" w:rsidP="0027544D">
      <w:pPr>
        <w:shd w:val="clear" w:color="auto" w:fill="E2EFD9" w:themeFill="accent6" w:themeFillTint="33"/>
        <w:jc w:val="both"/>
        <w:rPr>
          <w:rFonts w:ascii="Lato" w:hAnsi="Lato"/>
          <w:i/>
          <w:iCs/>
          <w:sz w:val="22"/>
          <w:szCs w:val="22"/>
        </w:rPr>
      </w:pPr>
      <w:r w:rsidRPr="00A50E84">
        <w:rPr>
          <w:rFonts w:ascii="Lato" w:hAnsi="Lato"/>
          <w:i/>
          <w:iCs/>
          <w:sz w:val="22"/>
          <w:szCs w:val="22"/>
        </w:rPr>
        <w:t>If you do this prep early in Summer, do ensure to go back to the document after doing week 1 reading etc.</w:t>
      </w:r>
    </w:p>
    <w:p w14:paraId="27BDDC0E" w14:textId="77777777" w:rsidR="0046594B" w:rsidRPr="00A50E84" w:rsidRDefault="0046594B" w:rsidP="005C6224">
      <w:pPr>
        <w:shd w:val="clear" w:color="auto" w:fill="E2EFD9" w:themeFill="accent6" w:themeFillTint="33"/>
        <w:jc w:val="both"/>
        <w:rPr>
          <w:rFonts w:ascii="Lato" w:hAnsi="Lato"/>
          <w:i/>
          <w:iCs/>
          <w:sz w:val="22"/>
          <w:szCs w:val="22"/>
        </w:rPr>
      </w:pPr>
    </w:p>
    <w:p w14:paraId="2AA5065C" w14:textId="77777777" w:rsidR="005C6224" w:rsidRPr="00A50E84" w:rsidRDefault="0046594B" w:rsidP="005C6224">
      <w:pPr>
        <w:shd w:val="clear" w:color="auto" w:fill="E2EFD9" w:themeFill="accent6" w:themeFillTint="33"/>
        <w:rPr>
          <w:rFonts w:ascii="Lato" w:hAnsi="Lato"/>
          <w:b/>
          <w:bCs/>
          <w:i/>
          <w:iCs/>
          <w:color w:val="0070C0"/>
          <w:sz w:val="22"/>
          <w:szCs w:val="22"/>
        </w:rPr>
      </w:pPr>
      <w:r w:rsidRPr="00A50E84">
        <w:rPr>
          <w:rFonts w:ascii="Lato" w:hAnsi="Lato"/>
          <w:b/>
          <w:bCs/>
          <w:i/>
          <w:iCs/>
          <w:sz w:val="22"/>
          <w:szCs w:val="22"/>
        </w:rPr>
        <w:t>Download this document to your computer</w:t>
      </w:r>
      <w:r w:rsidRPr="00A50E84">
        <w:rPr>
          <w:rFonts w:ascii="Lato" w:hAnsi="Lato"/>
          <w:i/>
          <w:iCs/>
          <w:sz w:val="22"/>
          <w:szCs w:val="22"/>
        </w:rPr>
        <w:t>, and it is a good idea to have this printed with notes or up on your laptop during class.</w:t>
      </w:r>
      <w:r w:rsidRPr="00A50E84">
        <w:rPr>
          <w:rFonts w:ascii="Lato" w:hAnsi="Lato"/>
          <w:b/>
          <w:bCs/>
          <w:i/>
          <w:iCs/>
          <w:color w:val="0070C0"/>
          <w:sz w:val="22"/>
          <w:szCs w:val="22"/>
        </w:rPr>
        <w:t xml:space="preserve"> </w:t>
      </w:r>
    </w:p>
    <w:p w14:paraId="3299CD27" w14:textId="77777777" w:rsidR="005C6224" w:rsidRPr="00A50E84" w:rsidRDefault="005C6224" w:rsidP="005C6224">
      <w:pPr>
        <w:shd w:val="clear" w:color="auto" w:fill="E2EFD9" w:themeFill="accent6" w:themeFillTint="33"/>
        <w:rPr>
          <w:rFonts w:ascii="Lato" w:hAnsi="Lato"/>
          <w:b/>
          <w:bCs/>
          <w:i/>
          <w:iCs/>
          <w:color w:val="0070C0"/>
          <w:sz w:val="22"/>
          <w:szCs w:val="22"/>
        </w:rPr>
      </w:pPr>
    </w:p>
    <w:p w14:paraId="41E97B91" w14:textId="10F386A9" w:rsidR="005C6224" w:rsidRPr="00A50E84" w:rsidRDefault="005C6224" w:rsidP="005C6224">
      <w:pPr>
        <w:shd w:val="clear" w:color="auto" w:fill="E2EFD9" w:themeFill="accent6" w:themeFillTint="33"/>
        <w:rPr>
          <w:b/>
          <w:color w:val="000000"/>
          <w:szCs w:val="22"/>
        </w:rPr>
      </w:pPr>
      <w:r w:rsidRPr="00A50E84">
        <w:rPr>
          <w:rFonts w:ascii="Lato" w:hAnsi="Lato"/>
          <w:i/>
          <w:iCs/>
          <w:color w:val="0070C0"/>
          <w:sz w:val="22"/>
          <w:szCs w:val="22"/>
        </w:rPr>
        <w:t xml:space="preserve">NB: </w:t>
      </w:r>
      <w:r w:rsidRPr="00A50E84">
        <w:rPr>
          <w:rFonts w:ascii="Lato" w:hAnsi="Lato"/>
          <w:b/>
          <w:color w:val="000000"/>
          <w:sz w:val="22"/>
          <w:szCs w:val="22"/>
          <w:shd w:val="clear" w:color="auto" w:fill="E2EFD9" w:themeFill="accent6" w:themeFillTint="33"/>
        </w:rPr>
        <w:t>There will also be set secondary reading outlined on the syllabus page</w:t>
      </w:r>
    </w:p>
    <w:p w14:paraId="39AFCEBE" w14:textId="353640F8" w:rsidR="0046594B" w:rsidRPr="00A50E84" w:rsidRDefault="0046594B" w:rsidP="0027544D">
      <w:pPr>
        <w:shd w:val="clear" w:color="auto" w:fill="E2EFD9" w:themeFill="accent6" w:themeFillTint="33"/>
        <w:rPr>
          <w:rFonts w:ascii="Lato" w:hAnsi="Lato"/>
          <w:b/>
          <w:bCs/>
          <w:i/>
          <w:iCs/>
          <w:color w:val="0070C0"/>
          <w:sz w:val="22"/>
          <w:szCs w:val="22"/>
        </w:rPr>
      </w:pPr>
    </w:p>
    <w:p w14:paraId="25486ABE" w14:textId="62B73607" w:rsidR="001D0470" w:rsidRPr="00A50E84" w:rsidRDefault="001D0470" w:rsidP="0027544D">
      <w:pPr>
        <w:shd w:val="clear" w:color="auto" w:fill="DEEAF6" w:themeFill="accent5" w:themeFillTint="33"/>
        <w:rPr>
          <w:rFonts w:ascii="Lato" w:hAnsi="Lato"/>
          <w:b/>
          <w:bCs/>
          <w:i/>
          <w:iCs/>
          <w:color w:val="0070C0"/>
          <w:sz w:val="22"/>
          <w:szCs w:val="22"/>
        </w:rPr>
      </w:pPr>
      <w:r w:rsidRPr="00A50E84">
        <w:rPr>
          <w:rFonts w:ascii="Lato" w:hAnsi="Lato"/>
          <w:b/>
          <w:bCs/>
          <w:i/>
          <w:iCs/>
          <w:color w:val="0070C0"/>
          <w:sz w:val="22"/>
          <w:szCs w:val="22"/>
        </w:rPr>
        <w:t>Feel free watch the accompanying lecture</w:t>
      </w:r>
      <w:r w:rsidR="00965BB5" w:rsidRPr="00A50E84">
        <w:rPr>
          <w:rFonts w:ascii="Lato" w:hAnsi="Lato"/>
          <w:b/>
          <w:bCs/>
          <w:i/>
          <w:iCs/>
          <w:color w:val="0070C0"/>
          <w:sz w:val="22"/>
          <w:szCs w:val="22"/>
        </w:rPr>
        <w:t xml:space="preserve"> </w:t>
      </w:r>
      <w:r w:rsidR="00965BB5" w:rsidRPr="00A50E84">
        <w:rPr>
          <w:rFonts w:ascii="Lato" w:hAnsi="Lato"/>
          <w:b/>
          <w:bCs/>
          <w:color w:val="0070C0"/>
          <w:sz w:val="22"/>
          <w:szCs w:val="22"/>
        </w:rPr>
        <w:t>(</w:t>
      </w:r>
      <w:hyperlink r:id="rId8" w:history="1">
        <w:r w:rsidR="00965BB5" w:rsidRPr="00A50E84">
          <w:rPr>
            <w:rStyle w:val="Hyperlink"/>
            <w:rFonts w:ascii="Lato" w:hAnsi="Lato"/>
            <w:b/>
            <w:bCs/>
            <w:sz w:val="22"/>
            <w:szCs w:val="22"/>
          </w:rPr>
          <w:t>Part 1</w:t>
        </w:r>
      </w:hyperlink>
      <w:r w:rsidR="00965BB5" w:rsidRPr="00A50E84">
        <w:rPr>
          <w:rFonts w:ascii="Lato" w:hAnsi="Lato"/>
          <w:b/>
          <w:bCs/>
          <w:color w:val="0070C0"/>
          <w:sz w:val="22"/>
          <w:szCs w:val="22"/>
        </w:rPr>
        <w:t xml:space="preserve"> and </w:t>
      </w:r>
      <w:hyperlink r:id="rId9" w:history="1">
        <w:r w:rsidR="00965BB5" w:rsidRPr="00A50E84">
          <w:rPr>
            <w:rStyle w:val="Hyperlink"/>
            <w:rFonts w:ascii="Lato" w:hAnsi="Lato"/>
            <w:b/>
            <w:bCs/>
            <w:sz w:val="22"/>
            <w:szCs w:val="22"/>
          </w:rPr>
          <w:t>Part 2</w:t>
        </w:r>
      </w:hyperlink>
      <w:r w:rsidR="00965BB5" w:rsidRPr="00A50E84">
        <w:rPr>
          <w:rFonts w:ascii="Lato" w:hAnsi="Lato"/>
          <w:b/>
          <w:bCs/>
          <w:color w:val="0070C0"/>
          <w:sz w:val="22"/>
          <w:szCs w:val="22"/>
        </w:rPr>
        <w:t>)</w:t>
      </w:r>
      <w:r w:rsidRPr="00A50E84">
        <w:rPr>
          <w:rFonts w:ascii="Lato" w:hAnsi="Lato"/>
          <w:b/>
          <w:bCs/>
          <w:i/>
          <w:iCs/>
          <w:color w:val="0070C0"/>
          <w:sz w:val="22"/>
          <w:szCs w:val="22"/>
        </w:rPr>
        <w:t xml:space="preserve"> on available on stream via the module webpage but please note it dates from 2020-21</w:t>
      </w:r>
      <w:r w:rsidR="00965BB5" w:rsidRPr="00A50E84">
        <w:rPr>
          <w:rFonts w:ascii="Lato" w:hAnsi="Lato"/>
          <w:b/>
          <w:bCs/>
          <w:i/>
          <w:iCs/>
          <w:color w:val="0070C0"/>
          <w:sz w:val="22"/>
          <w:szCs w:val="22"/>
        </w:rPr>
        <w:t xml:space="preserve"> and some references may not be pertinent</w:t>
      </w:r>
      <w:r w:rsidRPr="00A50E84">
        <w:rPr>
          <w:rFonts w:ascii="Lato" w:hAnsi="Lato"/>
          <w:b/>
          <w:bCs/>
          <w:i/>
          <w:iCs/>
          <w:color w:val="0070C0"/>
          <w:sz w:val="22"/>
          <w:szCs w:val="22"/>
        </w:rPr>
        <w:t>.</w:t>
      </w:r>
    </w:p>
    <w:p w14:paraId="306F2601" w14:textId="77777777" w:rsidR="0046594B" w:rsidRPr="00A50E84" w:rsidRDefault="0046594B">
      <w:pPr>
        <w:rPr>
          <w:b/>
          <w:color w:val="000000"/>
          <w:szCs w:val="22"/>
        </w:rPr>
      </w:pPr>
    </w:p>
    <w:p w14:paraId="51BDAE55" w14:textId="3A970095" w:rsidR="005C6224" w:rsidRPr="00A50E84" w:rsidRDefault="005C6224" w:rsidP="005C6224">
      <w:pPr>
        <w:pStyle w:val="Body"/>
        <w:shd w:val="clear" w:color="auto" w:fill="FBE4D5" w:themeFill="accent2" w:themeFillTint="33"/>
        <w:tabs>
          <w:tab w:val="left" w:pos="5827"/>
        </w:tabs>
        <w:spacing w:after="0"/>
        <w:jc w:val="both"/>
        <w:rPr>
          <w:rFonts w:ascii="Lato" w:hAnsi="Lato" w:cs="Times New Roman"/>
          <w:sz w:val="22"/>
          <w:szCs w:val="22"/>
        </w:rPr>
      </w:pPr>
      <w:r w:rsidRPr="00A50E84">
        <w:rPr>
          <w:rFonts w:ascii="Lato" w:hAnsi="Lato" w:cs="Times New Roman"/>
          <w:b/>
          <w:bCs/>
          <w:sz w:val="22"/>
          <w:szCs w:val="22"/>
        </w:rPr>
        <w:t xml:space="preserve">Ensure to </w:t>
      </w:r>
      <w:r w:rsidRPr="00A50E84">
        <w:rPr>
          <w:rFonts w:ascii="Lato" w:hAnsi="Lato" w:cs="Times New Roman"/>
          <w:b/>
          <w:bCs/>
          <w:sz w:val="22"/>
          <w:szCs w:val="22"/>
          <w:u w:val="single"/>
        </w:rPr>
        <w:t>find examples</w:t>
      </w:r>
      <w:r w:rsidRPr="00A50E84">
        <w:rPr>
          <w:rFonts w:ascii="Lato" w:hAnsi="Lato" w:cs="Times New Roman"/>
          <w:b/>
          <w:bCs/>
          <w:sz w:val="22"/>
          <w:szCs w:val="22"/>
        </w:rPr>
        <w:t xml:space="preserve"> </w:t>
      </w:r>
      <w:r w:rsidRPr="00A50E84">
        <w:rPr>
          <w:rFonts w:ascii="Lato" w:hAnsi="Lato" w:cs="Times New Roman"/>
          <w:sz w:val="22"/>
          <w:szCs w:val="22"/>
        </w:rPr>
        <w:t xml:space="preserve">(and note the volume, page/chapter number) for the questions/points below to help with class discussion. </w:t>
      </w:r>
    </w:p>
    <w:p w14:paraId="292B2C4E" w14:textId="77777777" w:rsidR="005C6224" w:rsidRPr="00A50E84" w:rsidRDefault="005C6224" w:rsidP="005C6224">
      <w:pPr>
        <w:pStyle w:val="Body"/>
        <w:shd w:val="clear" w:color="auto" w:fill="FBE4D5" w:themeFill="accent2" w:themeFillTint="33"/>
        <w:tabs>
          <w:tab w:val="left" w:pos="5827"/>
        </w:tabs>
        <w:spacing w:after="0"/>
        <w:jc w:val="both"/>
        <w:rPr>
          <w:rFonts w:ascii="Lato" w:hAnsi="Lato" w:cs="Times New Roman"/>
          <w:sz w:val="22"/>
          <w:szCs w:val="22"/>
        </w:rPr>
      </w:pPr>
    </w:p>
    <w:p w14:paraId="076F3E82" w14:textId="391FF787" w:rsidR="005C6224" w:rsidRPr="00A50E84" w:rsidRDefault="005C6224" w:rsidP="00A50E84">
      <w:pPr>
        <w:pStyle w:val="Body"/>
        <w:shd w:val="clear" w:color="auto" w:fill="FBE4D5" w:themeFill="accent2" w:themeFillTint="33"/>
        <w:tabs>
          <w:tab w:val="left" w:pos="5827"/>
        </w:tabs>
        <w:spacing w:after="0"/>
        <w:jc w:val="both"/>
        <w:rPr>
          <w:rFonts w:ascii="Lato" w:hAnsi="Lato" w:cs="Times New Roman"/>
          <w:sz w:val="22"/>
          <w:szCs w:val="22"/>
          <w:u w:val="single"/>
        </w:rPr>
      </w:pPr>
      <w:r w:rsidRPr="00A50E84">
        <w:rPr>
          <w:rFonts w:ascii="Lato" w:hAnsi="Lato" w:cs="Times New Roman"/>
          <w:b/>
          <w:bCs/>
          <w:sz w:val="22"/>
          <w:szCs w:val="22"/>
        </w:rPr>
        <w:t>NOTE:</w:t>
      </w:r>
      <w:r w:rsidRPr="00A50E84">
        <w:rPr>
          <w:rFonts w:ascii="Lato" w:hAnsi="Lato" w:cs="Times New Roman"/>
          <w:sz w:val="22"/>
          <w:szCs w:val="22"/>
        </w:rPr>
        <w:t xml:space="preserve"> Discussion of the text will be split into two parts (</w:t>
      </w:r>
      <w:r w:rsidR="00A50E84" w:rsidRPr="00A50E84">
        <w:rPr>
          <w:rFonts w:ascii="Lato" w:hAnsi="Lato" w:cs="Times New Roman"/>
          <w:sz w:val="22"/>
          <w:szCs w:val="22"/>
        </w:rPr>
        <w:t>“First Period”</w:t>
      </w:r>
      <w:r w:rsidRPr="00A50E84">
        <w:rPr>
          <w:rFonts w:ascii="Lato" w:hAnsi="Lato" w:cs="Times New Roman"/>
          <w:sz w:val="22"/>
          <w:szCs w:val="22"/>
        </w:rPr>
        <w:t xml:space="preserve"> in first session, </w:t>
      </w:r>
      <w:r w:rsidR="00A50E84" w:rsidRPr="00A50E84">
        <w:rPr>
          <w:rFonts w:ascii="Lato" w:hAnsi="Lato" w:cs="Times New Roman"/>
          <w:sz w:val="22"/>
          <w:szCs w:val="22"/>
        </w:rPr>
        <w:t>“Second Period” to the end</w:t>
      </w:r>
      <w:r w:rsidRPr="00A50E84">
        <w:rPr>
          <w:rFonts w:ascii="Lato" w:hAnsi="Lato" w:cs="Times New Roman"/>
          <w:sz w:val="22"/>
          <w:szCs w:val="22"/>
        </w:rPr>
        <w:t xml:space="preserve"> in second</w:t>
      </w:r>
      <w:r w:rsidR="00A50E84" w:rsidRPr="00A50E84">
        <w:rPr>
          <w:rFonts w:ascii="Lato" w:hAnsi="Lato" w:cs="Times New Roman"/>
          <w:sz w:val="22"/>
          <w:szCs w:val="22"/>
        </w:rPr>
        <w:t xml:space="preserve"> session</w:t>
      </w:r>
      <w:r w:rsidRPr="00A50E84">
        <w:rPr>
          <w:rFonts w:ascii="Lato" w:hAnsi="Lato" w:cs="Times New Roman"/>
          <w:sz w:val="22"/>
          <w:szCs w:val="22"/>
        </w:rPr>
        <w:t>), so try and keep a summary of plot so as not to spoil it for those who haven’t had a chance to read ahead.</w:t>
      </w:r>
    </w:p>
    <w:p w14:paraId="585AA1D3" w14:textId="77777777" w:rsidR="007E5170" w:rsidRPr="00DD4F82" w:rsidRDefault="007E5170" w:rsidP="00255614">
      <w:pPr>
        <w:rPr>
          <w:bCs/>
          <w:color w:val="000000"/>
        </w:rPr>
      </w:pPr>
    </w:p>
    <w:p w14:paraId="585AA1D4" w14:textId="77777777" w:rsidR="00CB168A" w:rsidRPr="00DD4F82" w:rsidRDefault="00383F36" w:rsidP="00CB168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Cs/>
        </w:rPr>
      </w:pPr>
      <w:r w:rsidRPr="00DD4F82">
        <w:rPr>
          <w:bCs/>
        </w:rPr>
        <w:t xml:space="preserve">Consider how the </w:t>
      </w:r>
      <w:r w:rsidRPr="00DD4F82">
        <w:rPr>
          <w:b/>
        </w:rPr>
        <w:t>structure of the novel</w:t>
      </w:r>
      <w:r w:rsidRPr="00DD4F82">
        <w:rPr>
          <w:bCs/>
        </w:rPr>
        <w:t xml:space="preserve"> lends itself to creating suspense</w:t>
      </w:r>
    </w:p>
    <w:p w14:paraId="585AA1D5" w14:textId="77777777" w:rsidR="00CB168A" w:rsidRPr="00DD4F82" w:rsidRDefault="00CB168A" w:rsidP="00CB168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Cs/>
        </w:rPr>
      </w:pPr>
    </w:p>
    <w:p w14:paraId="585AA1D6" w14:textId="3F44F288" w:rsidR="009F5EA1" w:rsidRPr="00DD4F82" w:rsidRDefault="00CB168A" w:rsidP="009F5EA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Cs/>
        </w:rPr>
      </w:pPr>
      <w:r w:rsidRPr="00DD4F82">
        <w:rPr>
          <w:b/>
        </w:rPr>
        <w:t>Consider the effect of different narrators</w:t>
      </w:r>
      <w:r w:rsidR="00DD4F82">
        <w:rPr>
          <w:b/>
        </w:rPr>
        <w:t xml:space="preserve"> on the plot and the genre</w:t>
      </w:r>
      <w:r w:rsidRPr="00DD4F82">
        <w:rPr>
          <w:bCs/>
        </w:rPr>
        <w:t xml:space="preserve"> </w:t>
      </w:r>
      <w:r w:rsidR="00DD4F82" w:rsidRPr="00DD4F82">
        <w:rPr>
          <w:bCs/>
        </w:rPr>
        <w:t xml:space="preserve">– choose one or two narrators other than Gabriel </w:t>
      </w:r>
      <w:r w:rsidRPr="00DD4F82">
        <w:rPr>
          <w:bCs/>
        </w:rPr>
        <w:t>and find examples that demonstrate how they function in producing those effects.</w:t>
      </w:r>
    </w:p>
    <w:p w14:paraId="585AA1D7" w14:textId="77777777" w:rsidR="009F5EA1" w:rsidRPr="00DD4F82" w:rsidRDefault="009F5EA1" w:rsidP="009F5EA1">
      <w:pPr>
        <w:pStyle w:val="ListParagraph"/>
        <w:rPr>
          <w:bCs/>
          <w:color w:val="000000"/>
        </w:rPr>
      </w:pPr>
    </w:p>
    <w:p w14:paraId="7B9BEE68" w14:textId="77777777" w:rsidR="003975D5" w:rsidRDefault="003975D5" w:rsidP="003975D5">
      <w:pPr>
        <w:pStyle w:val="ListParagraph"/>
        <w:numPr>
          <w:ilvl w:val="0"/>
          <w:numId w:val="3"/>
        </w:numPr>
        <w:ind w:left="284"/>
        <w:rPr>
          <w:b/>
          <w:color w:val="000000"/>
        </w:rPr>
      </w:pPr>
      <w:r w:rsidRPr="003975D5">
        <w:rPr>
          <w:bCs/>
          <w:color w:val="000000"/>
        </w:rPr>
        <w:t>Identify and examine descriptions of Cuff that construct</w:t>
      </w:r>
      <w:r w:rsidRPr="00255614">
        <w:rPr>
          <w:b/>
          <w:color w:val="000000"/>
        </w:rPr>
        <w:t xml:space="preserve"> an image of “the detective”. </w:t>
      </w:r>
      <w:r w:rsidRPr="003975D5">
        <w:rPr>
          <w:bCs/>
          <w:color w:val="000000"/>
        </w:rPr>
        <w:t>What is the overall suggestion about detectives?</w:t>
      </w:r>
    </w:p>
    <w:p w14:paraId="6ADE2180" w14:textId="77777777" w:rsidR="003975D5" w:rsidRPr="003975D5" w:rsidRDefault="003975D5" w:rsidP="003975D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Cs/>
        </w:rPr>
      </w:pPr>
    </w:p>
    <w:p w14:paraId="585AA1D8" w14:textId="7E42FC83" w:rsidR="009F5EA1" w:rsidRPr="00DD4F82" w:rsidRDefault="009F5EA1" w:rsidP="009F5EA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Cs/>
        </w:rPr>
      </w:pPr>
      <w:r w:rsidRPr="00DD4F82">
        <w:rPr>
          <w:b/>
          <w:color w:val="000000"/>
        </w:rPr>
        <w:t>Who else partakes in detecting?</w:t>
      </w:r>
      <w:r w:rsidRPr="00DD4F82">
        <w:rPr>
          <w:bCs/>
          <w:color w:val="000000"/>
        </w:rPr>
        <w:t xml:space="preserve"> What are their motivations, how do they imitate the official detective?</w:t>
      </w:r>
    </w:p>
    <w:p w14:paraId="585AA1D9" w14:textId="77777777" w:rsidR="00CB168A" w:rsidRPr="00DD4F82" w:rsidRDefault="00CB168A" w:rsidP="00CB168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Cs/>
        </w:rPr>
      </w:pPr>
    </w:p>
    <w:p w14:paraId="585AA1DA" w14:textId="0D35B902" w:rsidR="003A59C6" w:rsidRPr="00A67FE3" w:rsidRDefault="001F6534" w:rsidP="00CB168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Cs/>
        </w:rPr>
      </w:pPr>
      <w:r w:rsidRPr="00DD4F82">
        <w:rPr>
          <w:b/>
          <w:color w:val="000000"/>
        </w:rPr>
        <w:t>Possessions/Dispossessions</w:t>
      </w:r>
      <w:r w:rsidR="00720B68" w:rsidRPr="00DD4F82">
        <w:rPr>
          <w:b/>
          <w:color w:val="000000"/>
        </w:rPr>
        <w:t xml:space="preserve"> –</w:t>
      </w:r>
      <w:r w:rsidR="00720B68" w:rsidRPr="00DD4F82">
        <w:rPr>
          <w:bCs/>
          <w:color w:val="000000"/>
        </w:rPr>
        <w:t xml:space="preserve"> consider the opening narratives in relation to the</w:t>
      </w:r>
      <w:r w:rsidR="004864E2">
        <w:rPr>
          <w:bCs/>
          <w:color w:val="000000"/>
        </w:rPr>
        <w:t xml:space="preserve"> </w:t>
      </w:r>
      <w:r w:rsidR="00720B68" w:rsidRPr="00DD4F82">
        <w:rPr>
          <w:bCs/>
          <w:color w:val="000000"/>
        </w:rPr>
        <w:t>primary sources</w:t>
      </w:r>
      <w:r w:rsidR="004864E2">
        <w:rPr>
          <w:bCs/>
          <w:color w:val="000000"/>
        </w:rPr>
        <w:t xml:space="preserve"> on the module webpage for this week</w:t>
      </w:r>
      <w:r w:rsidR="00720B68" w:rsidRPr="00DD4F82">
        <w:rPr>
          <w:bCs/>
          <w:color w:val="000000"/>
        </w:rPr>
        <w:t>; the different ways of presenting the events in the present, as something of the past,</w:t>
      </w:r>
      <w:r w:rsidR="00DD4F82" w:rsidRPr="00DD4F82">
        <w:rPr>
          <w:bCs/>
          <w:color w:val="000000"/>
        </w:rPr>
        <w:t xml:space="preserve"> in fact/fiction.</w:t>
      </w:r>
    </w:p>
    <w:p w14:paraId="6A913495" w14:textId="77777777" w:rsidR="00A67FE3" w:rsidRPr="00A67FE3" w:rsidRDefault="00A67FE3" w:rsidP="00A67FE3">
      <w:pPr>
        <w:pStyle w:val="ListParagraph"/>
        <w:rPr>
          <w:bCs/>
        </w:rPr>
      </w:pPr>
    </w:p>
    <w:p w14:paraId="610727DD" w14:textId="7BD97FC1" w:rsidR="00A67FE3" w:rsidRPr="00DD4F82" w:rsidRDefault="00A67FE3" w:rsidP="00CB168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Cs/>
        </w:rPr>
      </w:pPr>
      <w:r>
        <w:rPr>
          <w:bCs/>
        </w:rPr>
        <w:t xml:space="preserve">Examine the </w:t>
      </w:r>
      <w:r w:rsidRPr="00A67FE3">
        <w:rPr>
          <w:b/>
        </w:rPr>
        <w:t>representation of the three Indian men</w:t>
      </w:r>
      <w:r>
        <w:rPr>
          <w:bCs/>
        </w:rPr>
        <w:t xml:space="preserve"> throughout the text. What is the narrative position toward them?</w:t>
      </w:r>
    </w:p>
    <w:p w14:paraId="585AA1DB" w14:textId="77777777" w:rsidR="003A59C6" w:rsidRPr="00293C8E" w:rsidRDefault="00A50E84" w:rsidP="006E05D6">
      <w:pPr>
        <w:rPr>
          <w:color w:val="000000"/>
        </w:rPr>
      </w:pPr>
    </w:p>
    <w:p w14:paraId="585AA21B" w14:textId="1BDE8F6C" w:rsidR="006E05D6" w:rsidRDefault="0066333E" w:rsidP="00A50E84">
      <w:pPr>
        <w:pStyle w:val="ListParagraph"/>
        <w:numPr>
          <w:ilvl w:val="0"/>
          <w:numId w:val="3"/>
        </w:numPr>
        <w:ind w:left="284"/>
      </w:pPr>
      <w:r w:rsidRPr="0066333E">
        <w:rPr>
          <w:b/>
          <w:lang w:val="en-US"/>
        </w:rPr>
        <w:t xml:space="preserve">Medical Humanities </w:t>
      </w:r>
      <w:r>
        <w:rPr>
          <w:b/>
          <w:lang w:val="en-US"/>
        </w:rPr>
        <w:br/>
      </w:r>
      <w:r w:rsidRPr="0066333E">
        <w:rPr>
          <w:b/>
          <w:lang w:val="en-US"/>
        </w:rPr>
        <w:t>a)</w:t>
      </w:r>
      <w:r>
        <w:rPr>
          <w:bCs/>
          <w:lang w:val="en-US"/>
        </w:rPr>
        <w:t xml:space="preserve"> C</w:t>
      </w:r>
      <w:r w:rsidRPr="0066333E">
        <w:rPr>
          <w:bCs/>
          <w:lang w:val="en-US"/>
        </w:rPr>
        <w:t>onsider the representation of drug-use and its relationships to all forms of Othering in the novel.</w:t>
      </w:r>
      <w:r w:rsidR="0032239A">
        <w:rPr>
          <w:bCs/>
          <w:lang w:val="en-US"/>
        </w:rPr>
        <w:br/>
        <w:t>b) how does the influence of drug align with ideas of memory/</w:t>
      </w:r>
      <w:r w:rsidR="00924B4D">
        <w:rPr>
          <w:bCs/>
          <w:lang w:val="en-US"/>
        </w:rPr>
        <w:t xml:space="preserve">remembering, and the fallibility of the narrative. </w:t>
      </w:r>
      <w:r w:rsidR="00924B4D">
        <w:rPr>
          <w:bCs/>
          <w:lang w:val="en-US"/>
        </w:rPr>
        <w:br/>
        <w:t xml:space="preserve">c) </w:t>
      </w:r>
      <w:r w:rsidR="003975D5">
        <w:rPr>
          <w:bCs/>
          <w:lang w:val="en-US"/>
        </w:rPr>
        <w:t xml:space="preserve">What forms </w:t>
      </w:r>
      <w:r w:rsidR="00A50E84">
        <w:rPr>
          <w:bCs/>
          <w:lang w:val="en-US"/>
        </w:rPr>
        <w:t>o</w:t>
      </w:r>
      <w:r w:rsidR="003975D5">
        <w:rPr>
          <w:bCs/>
          <w:lang w:val="en-US"/>
        </w:rPr>
        <w:t>f “insanity” are prevalent in this novel?</w:t>
      </w:r>
    </w:p>
    <w:sectPr w:rsidR="006E05D6" w:rsidSect="006E05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ED6"/>
    <w:multiLevelType w:val="hybridMultilevel"/>
    <w:tmpl w:val="688A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1836"/>
    <w:multiLevelType w:val="hybridMultilevel"/>
    <w:tmpl w:val="F49E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0B3"/>
    <w:multiLevelType w:val="hybridMultilevel"/>
    <w:tmpl w:val="F98052A6"/>
    <w:lvl w:ilvl="0" w:tplc="0B28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2629"/>
    <w:multiLevelType w:val="hybridMultilevel"/>
    <w:tmpl w:val="507E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30E7"/>
    <w:multiLevelType w:val="hybridMultilevel"/>
    <w:tmpl w:val="C4883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44073">
    <w:abstractNumId w:val="0"/>
  </w:num>
  <w:num w:numId="2" w16cid:durableId="1491941296">
    <w:abstractNumId w:val="1"/>
  </w:num>
  <w:num w:numId="3" w16cid:durableId="383259469">
    <w:abstractNumId w:val="2"/>
  </w:num>
  <w:num w:numId="4" w16cid:durableId="1833909900">
    <w:abstractNumId w:val="4"/>
  </w:num>
  <w:num w:numId="5" w16cid:durableId="202559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4C"/>
    <w:rsid w:val="00140515"/>
    <w:rsid w:val="00150E31"/>
    <w:rsid w:val="001C417B"/>
    <w:rsid w:val="001D0470"/>
    <w:rsid w:val="001F6534"/>
    <w:rsid w:val="00203CC2"/>
    <w:rsid w:val="00255614"/>
    <w:rsid w:val="0027544D"/>
    <w:rsid w:val="00293C8E"/>
    <w:rsid w:val="0032239A"/>
    <w:rsid w:val="003769D1"/>
    <w:rsid w:val="00383F36"/>
    <w:rsid w:val="003975D5"/>
    <w:rsid w:val="003D6880"/>
    <w:rsid w:val="0040334C"/>
    <w:rsid w:val="0046594B"/>
    <w:rsid w:val="004864E2"/>
    <w:rsid w:val="005C6224"/>
    <w:rsid w:val="0066333E"/>
    <w:rsid w:val="006E05D6"/>
    <w:rsid w:val="00720B68"/>
    <w:rsid w:val="007E5170"/>
    <w:rsid w:val="008601B1"/>
    <w:rsid w:val="008F4A09"/>
    <w:rsid w:val="0090364D"/>
    <w:rsid w:val="00924B4D"/>
    <w:rsid w:val="00965BB5"/>
    <w:rsid w:val="0098342B"/>
    <w:rsid w:val="009F5EA1"/>
    <w:rsid w:val="009F7C22"/>
    <w:rsid w:val="00A50E84"/>
    <w:rsid w:val="00A67FE3"/>
    <w:rsid w:val="00B360AB"/>
    <w:rsid w:val="00B95D32"/>
    <w:rsid w:val="00BD4F98"/>
    <w:rsid w:val="00CB168A"/>
    <w:rsid w:val="00CD4569"/>
    <w:rsid w:val="00D534A5"/>
    <w:rsid w:val="00DB6841"/>
    <w:rsid w:val="00DD2F99"/>
    <w:rsid w:val="00DD4F82"/>
    <w:rsid w:val="00EA0502"/>
    <w:rsid w:val="00EF56FA"/>
    <w:rsid w:val="00F97A2A"/>
    <w:rsid w:val="00FC3D03"/>
    <w:rsid w:val="2B0564D5"/>
    <w:rsid w:val="37BFE160"/>
    <w:rsid w:val="4115F0D0"/>
    <w:rsid w:val="69E77F5B"/>
    <w:rsid w:val="75C508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AA1D2"/>
  <w15:chartTrackingRefBased/>
  <w15:docId w15:val="{5722F0C0-92E9-411F-BA69-3870F689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BB5"/>
    <w:rPr>
      <w:color w:val="605E5C"/>
      <w:shd w:val="clear" w:color="auto" w:fill="E1DFDD"/>
    </w:rPr>
  </w:style>
  <w:style w:type="paragraph" w:customStyle="1" w:styleId="Body">
    <w:name w:val="Body"/>
    <w:rsid w:val="005C622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7e87e7f2-795d-48cb-b2e5-83add3ff26c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microsoftstream.com/video/fa00f946-e140-43e6-b3a3-c926b6998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4F8C65EA5948BF6FB60559ADE403" ma:contentTypeVersion="4" ma:contentTypeDescription="Create a new document." ma:contentTypeScope="" ma:versionID="417403a06a7863696216967feebaa021">
  <xsd:schema xmlns:xsd="http://www.w3.org/2001/XMLSchema" xmlns:xs="http://www.w3.org/2001/XMLSchema" xmlns:p="http://schemas.microsoft.com/office/2006/metadata/properties" xmlns:ns2="deacc905-010e-440c-8547-cbe0080c6528" targetNamespace="http://schemas.microsoft.com/office/2006/metadata/properties" ma:root="true" ma:fieldsID="bcc2e2ac5ed517fa45364ae605232351" ns2:_="">
    <xsd:import namespace="deacc905-010e-440c-8547-cbe0080c6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c905-010e-440c-8547-cbe0080c6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6EEFC-7BCA-4234-934B-042CAA8CE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cc905-010e-440c-8547-cbe0080c6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159A-8037-4F54-89D8-8C3B2755A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59F2F-864E-436B-AE86-62F80E1D8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1921</Characters>
  <Application>Microsoft Office Word</Application>
  <DocSecurity>0</DocSecurity>
  <Lines>16</Lines>
  <Paragraphs>4</Paragraphs>
  <ScaleCrop>false</ScaleCrop>
  <Company>Warwick University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Moonstone seminar</dc:title>
  <dc:subject/>
  <dc:creator>Pablo Mukherjee</dc:creator>
  <cp:keywords/>
  <cp:lastModifiedBy>Baker, Jen</cp:lastModifiedBy>
  <cp:revision>29</cp:revision>
  <cp:lastPrinted>2017-10-18T10:39:00Z</cp:lastPrinted>
  <dcterms:created xsi:type="dcterms:W3CDTF">2017-10-18T10:42:00Z</dcterms:created>
  <dcterms:modified xsi:type="dcterms:W3CDTF">2022-07-04T11:27:00Z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0x01010030424F8C65EA5948BF6FB60559ADE403</vt:lpwstr>
  </property>
</Properties>
</file>