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CAA0D5" w14:textId="77777777" w:rsidR="00B06DA4" w:rsidRDefault="00B06DA4" w:rsidP="00B06DA4">
      <w:pPr>
        <w:pStyle w:val="NormalWeb"/>
        <w:spacing w:before="0" w:beforeAutospacing="0" w:after="0" w:afterAutospacing="0" w:line="480" w:lineRule="auto"/>
      </w:pPr>
      <w:r>
        <w:rPr>
          <w:rFonts w:ascii="Arial" w:hAnsi="Arial" w:cs="Arial"/>
          <w:b/>
          <w:bCs/>
          <w:i/>
          <w:iCs/>
          <w:color w:val="000000"/>
        </w:rPr>
        <w:t>Hours Were the Birds</w:t>
      </w:r>
      <w:r>
        <w:rPr>
          <w:rFonts w:ascii="Arial" w:hAnsi="Arial" w:cs="Arial"/>
          <w:b/>
          <w:bCs/>
          <w:color w:val="000000"/>
        </w:rPr>
        <w:t xml:space="preserve"> by Adrianne </w:t>
      </w:r>
      <w:proofErr w:type="spellStart"/>
      <w:r>
        <w:rPr>
          <w:rFonts w:ascii="Arial" w:hAnsi="Arial" w:cs="Arial"/>
          <w:b/>
          <w:bCs/>
          <w:color w:val="000000"/>
        </w:rPr>
        <w:t>Lenker</w:t>
      </w:r>
      <w:proofErr w:type="spellEnd"/>
    </w:p>
    <w:p w14:paraId="6288F267" w14:textId="77777777" w:rsidR="00B06DA4" w:rsidRDefault="00B06DA4" w:rsidP="00B06DA4"/>
    <w:p w14:paraId="3AC85054"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In Adrianne </w:t>
      </w:r>
      <w:proofErr w:type="spellStart"/>
      <w:r>
        <w:rPr>
          <w:rFonts w:ascii="Arial" w:hAnsi="Arial" w:cs="Arial"/>
          <w:color w:val="000000"/>
        </w:rPr>
        <w:t>Lenker’s</w:t>
      </w:r>
      <w:proofErr w:type="spellEnd"/>
      <w:r>
        <w:rPr>
          <w:rFonts w:ascii="Arial" w:hAnsi="Arial" w:cs="Arial"/>
          <w:color w:val="000000"/>
        </w:rPr>
        <w:t xml:space="preserve"> song </w:t>
      </w:r>
      <w:r>
        <w:rPr>
          <w:rFonts w:ascii="Arial" w:hAnsi="Arial" w:cs="Arial"/>
          <w:i/>
          <w:iCs/>
          <w:color w:val="000000"/>
        </w:rPr>
        <w:t>Hours Were the Birds</w:t>
      </w:r>
      <w:r>
        <w:rPr>
          <w:rFonts w:ascii="Arial" w:hAnsi="Arial" w:cs="Arial"/>
          <w:color w:val="000000"/>
        </w:rPr>
        <w:t xml:space="preserve">, the narrator compares two different bodies of water, the river and the lake, to explore the connection between time, migration, and life. The narrator sings that she has ‘tarnish[ed] like these metal cars / That drive along the rivers of the tar’ (Adrianne </w:t>
      </w:r>
      <w:proofErr w:type="spellStart"/>
      <w:r>
        <w:rPr>
          <w:rFonts w:ascii="Arial" w:hAnsi="Arial" w:cs="Arial"/>
          <w:color w:val="000000"/>
        </w:rPr>
        <w:t>Lenker</w:t>
      </w:r>
      <w:proofErr w:type="spellEnd"/>
      <w:r>
        <w:rPr>
          <w:rFonts w:ascii="Arial" w:hAnsi="Arial" w:cs="Arial"/>
          <w:color w:val="000000"/>
        </w:rPr>
        <w:t xml:space="preserve"> 0:36-0:45). The road as a ‘river of the tar’ is an emblem of time moving forwards. Interestingly, in this metaphor the force compelling the cars forwards is ambiguous, as the singer blurs the line between movement caused by the car and the force of the ‘river.’ Especially given the blending of the natural and man-made in the description ‘rivers of the tar,’ it is as if the narrator is demonstrating how the ‘natural’ progression of time, as symbolised by the river, combines with our own individual forces to push us forwards in time, as a </w:t>
      </w:r>
      <w:r w:rsidR="00DE5F1A">
        <w:rPr>
          <w:rFonts w:ascii="Arial" w:hAnsi="Arial" w:cs="Arial"/>
          <w:color w:val="000000"/>
        </w:rPr>
        <w:t>co-dependent</w:t>
      </w:r>
      <w:r>
        <w:rPr>
          <w:rFonts w:ascii="Arial" w:hAnsi="Arial" w:cs="Arial"/>
          <w:color w:val="000000"/>
        </w:rPr>
        <w:t xml:space="preserve"> relationship. Consequently, this forward movement is presented as at least partly a choice.</w:t>
      </w:r>
    </w:p>
    <w:p w14:paraId="31BE8A79"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By contrast, in a later verse she reflects on her past as a lake, singing</w:t>
      </w:r>
    </w:p>
    <w:p w14:paraId="75D30345" w14:textId="77777777" w:rsidR="00B06DA4" w:rsidRDefault="00B06DA4" w:rsidP="00B06DA4"/>
    <w:p w14:paraId="3B315A90" w14:textId="77777777" w:rsidR="00B06DA4" w:rsidRDefault="00B06DA4" w:rsidP="00B06DA4">
      <w:pPr>
        <w:pStyle w:val="NormalWeb"/>
        <w:spacing w:before="0" w:beforeAutospacing="0" w:after="0" w:afterAutospacing="0" w:line="480" w:lineRule="auto"/>
        <w:ind w:left="720"/>
      </w:pPr>
      <w:r>
        <w:rPr>
          <w:rFonts w:ascii="Arial" w:hAnsi="Arial" w:cs="Arial"/>
          <w:color w:val="000000"/>
        </w:rPr>
        <w:t>I'm going back to the lake</w:t>
      </w:r>
    </w:p>
    <w:p w14:paraId="6F6C20C0" w14:textId="77777777" w:rsidR="00B06DA4" w:rsidRDefault="00B06DA4" w:rsidP="00B06DA4">
      <w:pPr>
        <w:pStyle w:val="NormalWeb"/>
        <w:spacing w:before="0" w:beforeAutospacing="0" w:after="0" w:afterAutospacing="0" w:line="480" w:lineRule="auto"/>
        <w:ind w:left="720"/>
      </w:pPr>
      <w:r>
        <w:rPr>
          <w:rFonts w:ascii="Arial" w:hAnsi="Arial" w:cs="Arial"/>
          <w:color w:val="000000"/>
        </w:rPr>
        <w:t xml:space="preserve">This time of </w:t>
      </w:r>
      <w:proofErr w:type="gramStart"/>
      <w:r>
        <w:rPr>
          <w:rFonts w:ascii="Arial" w:hAnsi="Arial" w:cs="Arial"/>
          <w:color w:val="000000"/>
        </w:rPr>
        <w:t>year</w:t>
      </w:r>
      <w:proofErr w:type="gramEnd"/>
      <w:r>
        <w:rPr>
          <w:rFonts w:ascii="Arial" w:hAnsi="Arial" w:cs="Arial"/>
          <w:color w:val="000000"/>
        </w:rPr>
        <w:t xml:space="preserve"> it's frozen through</w:t>
      </w:r>
    </w:p>
    <w:p w14:paraId="223148CF" w14:textId="77777777" w:rsidR="00B06DA4" w:rsidRDefault="00B06DA4" w:rsidP="00B06DA4">
      <w:pPr>
        <w:pStyle w:val="NormalWeb"/>
        <w:spacing w:before="0" w:beforeAutospacing="0" w:after="0" w:afterAutospacing="0" w:line="480" w:lineRule="auto"/>
        <w:ind w:firstLine="720"/>
      </w:pPr>
      <w:proofErr w:type="spellStart"/>
      <w:r>
        <w:rPr>
          <w:rFonts w:ascii="Arial" w:hAnsi="Arial" w:cs="Arial"/>
          <w:color w:val="000000"/>
        </w:rPr>
        <w:t>Ain't</w:t>
      </w:r>
      <w:proofErr w:type="spellEnd"/>
      <w:r>
        <w:rPr>
          <w:rFonts w:ascii="Arial" w:hAnsi="Arial" w:cs="Arial"/>
          <w:color w:val="000000"/>
        </w:rPr>
        <w:t xml:space="preserve"> nothing </w:t>
      </w:r>
      <w:proofErr w:type="spellStart"/>
      <w:r>
        <w:rPr>
          <w:rFonts w:ascii="Arial" w:hAnsi="Arial" w:cs="Arial"/>
          <w:color w:val="000000"/>
        </w:rPr>
        <w:t>gonna</w:t>
      </w:r>
      <w:proofErr w:type="spellEnd"/>
      <w:r>
        <w:rPr>
          <w:rFonts w:ascii="Arial" w:hAnsi="Arial" w:cs="Arial"/>
          <w:color w:val="000000"/>
        </w:rPr>
        <w:t xml:space="preserve"> break</w:t>
      </w:r>
    </w:p>
    <w:p w14:paraId="57C2E5C5"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Well I'll take you there and show you where</w:t>
      </w:r>
    </w:p>
    <w:p w14:paraId="6AF595B9"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I used to spend my time</w:t>
      </w:r>
    </w:p>
    <w:p w14:paraId="6A7DCE45"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Before </w:t>
      </w:r>
      <w:proofErr w:type="spellStart"/>
      <w:r>
        <w:rPr>
          <w:rFonts w:ascii="Arial" w:hAnsi="Arial" w:cs="Arial"/>
          <w:color w:val="000000"/>
        </w:rPr>
        <w:t>workin</w:t>
      </w:r>
      <w:proofErr w:type="spellEnd"/>
      <w:r>
        <w:rPr>
          <w:rFonts w:ascii="Arial" w:hAnsi="Arial" w:cs="Arial"/>
          <w:color w:val="000000"/>
        </w:rPr>
        <w:t xml:space="preserve">', before </w:t>
      </w:r>
      <w:proofErr w:type="spellStart"/>
      <w:r>
        <w:rPr>
          <w:rFonts w:ascii="Arial" w:hAnsi="Arial" w:cs="Arial"/>
          <w:color w:val="000000"/>
        </w:rPr>
        <w:t>leavin</w:t>
      </w:r>
      <w:proofErr w:type="spellEnd"/>
      <w:r>
        <w:rPr>
          <w:rFonts w:ascii="Arial" w:hAnsi="Arial" w:cs="Arial"/>
          <w:color w:val="000000"/>
        </w:rPr>
        <w:t xml:space="preserve">’, before wine. (Adrianne </w:t>
      </w:r>
      <w:proofErr w:type="spellStart"/>
      <w:r>
        <w:rPr>
          <w:rFonts w:ascii="Arial" w:hAnsi="Arial" w:cs="Arial"/>
          <w:color w:val="000000"/>
        </w:rPr>
        <w:t>Lenker</w:t>
      </w:r>
      <w:proofErr w:type="spellEnd"/>
      <w:r>
        <w:rPr>
          <w:rFonts w:ascii="Arial" w:hAnsi="Arial" w:cs="Arial"/>
          <w:color w:val="000000"/>
        </w:rPr>
        <w:t xml:space="preserve"> 2:02-2:25)</w:t>
      </w:r>
    </w:p>
    <w:p w14:paraId="775F14D7" w14:textId="77777777" w:rsidR="00B06DA4" w:rsidRDefault="00B06DA4" w:rsidP="00B06DA4"/>
    <w:p w14:paraId="15AF6BE7" w14:textId="77777777" w:rsidR="00B06DA4" w:rsidRDefault="00B06DA4" w:rsidP="00B06DA4">
      <w:pPr>
        <w:pStyle w:val="NormalWeb"/>
        <w:spacing w:before="0" w:beforeAutospacing="0" w:after="0" w:afterAutospacing="0" w:line="480" w:lineRule="auto"/>
      </w:pPr>
      <w:r>
        <w:rPr>
          <w:rFonts w:ascii="Arial" w:hAnsi="Arial" w:cs="Arial"/>
          <w:color w:val="000000"/>
        </w:rPr>
        <w:lastRenderedPageBreak/>
        <w:t>The lake is a still body of water, a symbolic place of her childhood ‘before’ growing up. Time is therefore linked with the spatial, and the past remains somewhere the singer can go ‘back’ to. Nonetheless, there has been a change. The lake has become ‘frozen,’ indicating that the singer cannot return to her past as a fluid space that she can live in, only as a static place of memory; there is no way the singer can ‘break’ into it and return. </w:t>
      </w:r>
    </w:p>
    <w:p w14:paraId="05CB30B3"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Indeed, the narrator sings ‘Must've been a </w:t>
      </w:r>
      <w:r w:rsidR="00E21F35">
        <w:rPr>
          <w:rFonts w:ascii="Arial" w:hAnsi="Arial" w:cs="Arial"/>
          <w:color w:val="000000"/>
        </w:rPr>
        <w:t>traveller</w:t>
      </w:r>
      <w:r>
        <w:rPr>
          <w:rFonts w:ascii="Arial" w:hAnsi="Arial" w:cs="Arial"/>
          <w:color w:val="000000"/>
        </w:rPr>
        <w:t xml:space="preserve"> inside of the womb / Never had a place with a living room / You said a house is a tomb’ (Adrianna </w:t>
      </w:r>
      <w:proofErr w:type="spellStart"/>
      <w:r>
        <w:rPr>
          <w:rFonts w:ascii="Arial" w:hAnsi="Arial" w:cs="Arial"/>
          <w:color w:val="000000"/>
        </w:rPr>
        <w:t>Lenker</w:t>
      </w:r>
      <w:proofErr w:type="spellEnd"/>
      <w:r>
        <w:rPr>
          <w:rFonts w:ascii="Arial" w:hAnsi="Arial" w:cs="Arial"/>
          <w:color w:val="000000"/>
        </w:rPr>
        <w:t xml:space="preserve"> 1:27-1:36). With the rhyming of ‘womb’ and ‘tomb,’ she sets up the tension between life and travelling, and stillness and death. However, as explored with the river and lake metaphors, it is not as simple as being forced into linear movement. The narrator’s progression with time is shown as a choice, and this is a choice of life. The narrator sings ‘Life is easy come and it’s easy go too / Hours were the birds and I guess they flew’ (Adrianna </w:t>
      </w:r>
      <w:proofErr w:type="spellStart"/>
      <w:r>
        <w:rPr>
          <w:rFonts w:ascii="Arial" w:hAnsi="Arial" w:cs="Arial"/>
          <w:color w:val="000000"/>
        </w:rPr>
        <w:t>Lenker</w:t>
      </w:r>
      <w:proofErr w:type="spellEnd"/>
      <w:r>
        <w:rPr>
          <w:rFonts w:ascii="Arial" w:hAnsi="Arial" w:cs="Arial"/>
          <w:color w:val="000000"/>
        </w:rPr>
        <w:t xml:space="preserve"> 2:40-2:45). In this metaphor, the hours themselves are alive. As birds they are unstable, nonlinear, playful, symbols of freedom. Moreover, they migrate; they ‘flew’ away from her. In order to find them again, the narrator must travel on, must follow them, or be left with an empty sky devoid of time, life, and beauty. Living, for the narrator, can easily slip away, and in order to live she must follow or search for where the hours will thrive. Following them is always a choice, but for the narrator, it is the only way of living.</w:t>
      </w:r>
    </w:p>
    <w:p w14:paraId="5F17E3D8" w14:textId="77777777" w:rsidR="00B06DA4" w:rsidRDefault="00B06DA4" w:rsidP="00B06DA4"/>
    <w:p w14:paraId="328CC4BD" w14:textId="77777777" w:rsidR="00B06DA4" w:rsidRDefault="00B06DA4" w:rsidP="00B06DA4">
      <w:pPr>
        <w:pStyle w:val="NormalWeb"/>
        <w:spacing w:before="0" w:beforeAutospacing="0" w:after="0" w:afterAutospacing="0" w:line="480" w:lineRule="auto"/>
      </w:pPr>
      <w:r>
        <w:rPr>
          <w:rFonts w:ascii="Arial" w:hAnsi="Arial" w:cs="Arial"/>
          <w:b/>
          <w:bCs/>
          <w:color w:val="000000"/>
        </w:rPr>
        <w:t>The climate crisis and privileged time</w:t>
      </w:r>
    </w:p>
    <w:p w14:paraId="5D645662" w14:textId="77777777" w:rsidR="00B06DA4" w:rsidRDefault="00B06DA4" w:rsidP="00B06DA4"/>
    <w:p w14:paraId="6D52D1A1" w14:textId="77777777" w:rsidR="00B06DA4" w:rsidRDefault="00B06DA4" w:rsidP="00B06DA4">
      <w:pPr>
        <w:pStyle w:val="NormalWeb"/>
        <w:spacing w:before="0" w:beforeAutospacing="0" w:after="0" w:afterAutospacing="0" w:line="480" w:lineRule="auto"/>
      </w:pPr>
      <w:r>
        <w:rPr>
          <w:rFonts w:ascii="Arial" w:hAnsi="Arial" w:cs="Arial"/>
          <w:color w:val="000000"/>
        </w:rPr>
        <w:t xml:space="preserve">People often discuss how capitalism and modernity are causing time to ‘speed up’ as processes of production accelerate. However, these discussions mostly overlook the </w:t>
      </w:r>
      <w:r>
        <w:rPr>
          <w:rFonts w:ascii="Arial" w:hAnsi="Arial" w:cs="Arial"/>
          <w:color w:val="000000"/>
        </w:rPr>
        <w:lastRenderedPageBreak/>
        <w:t xml:space="preserve">disparity of how people experience time depending on their positions of privilege within a colonial-capitalist society. This disparity is stark within the context of the climate crisis. The British, and by extension western, media portrays the climate crisis as a struggle for white, middle-class westerners, as the cropping of the Ugandan climate activist Vanessa </w:t>
      </w:r>
      <w:proofErr w:type="spellStart"/>
      <w:r>
        <w:rPr>
          <w:rFonts w:ascii="Arial" w:hAnsi="Arial" w:cs="Arial"/>
          <w:color w:val="000000"/>
        </w:rPr>
        <w:t>Nakate</w:t>
      </w:r>
      <w:proofErr w:type="spellEnd"/>
      <w:r>
        <w:rPr>
          <w:rFonts w:ascii="Arial" w:hAnsi="Arial" w:cs="Arial"/>
          <w:color w:val="000000"/>
        </w:rPr>
        <w:t xml:space="preserve"> from an otherwise all-white photograph of young activists illustrates all too clearly (Frazer-Carroll; Evelyn). Primarily, this representation focuses on the futurity of the climate crisis, on protecting ‘our’ children and our children’s children from the catastrophic impacts of climate change. However, when we ignore how the climate crisis has been a part of humanity’s past and present, we ignore how climate change is connected to structures of colonialism, white supremacy and capitalism, and our vision of the ‘future’ becomes solely for white, upper and middle-class western children.</w:t>
      </w:r>
    </w:p>
    <w:p w14:paraId="1D40FA23"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Past, systemic injustices have bought white, middle and upper-class people in the global north the privilege of time at the expense of people in the global south and BAME communities in the global north, deferring climate change worries to a more temporally distant future. Carbon dioxide stays in the atmosphere for centuries, and historically Europe and the USA</w:t>
      </w:r>
      <w:r w:rsidR="00940F22">
        <w:rPr>
          <w:rFonts w:ascii="Arial" w:hAnsi="Arial" w:cs="Arial"/>
          <w:color w:val="000000"/>
        </w:rPr>
        <w:t xml:space="preserve"> have</w:t>
      </w:r>
      <w:r>
        <w:rPr>
          <w:rFonts w:ascii="Arial" w:hAnsi="Arial" w:cs="Arial"/>
          <w:color w:val="000000"/>
        </w:rPr>
        <w:t xml:space="preserve"> produced far more carbon dioxide than </w:t>
      </w:r>
      <w:r w:rsidR="00940F22">
        <w:rPr>
          <w:rFonts w:ascii="Arial" w:hAnsi="Arial" w:cs="Arial"/>
          <w:color w:val="000000"/>
        </w:rPr>
        <w:t xml:space="preserve">countries in </w:t>
      </w:r>
      <w:r>
        <w:rPr>
          <w:rFonts w:ascii="Arial" w:hAnsi="Arial" w:cs="Arial"/>
          <w:color w:val="000000"/>
        </w:rPr>
        <w:t xml:space="preserve">the global south (Wiseman). However, people in the global south are most vulnerable to the effects of climate </w:t>
      </w:r>
      <w:proofErr w:type="gramStart"/>
      <w:r>
        <w:rPr>
          <w:rFonts w:ascii="Arial" w:hAnsi="Arial" w:cs="Arial"/>
          <w:color w:val="000000"/>
        </w:rPr>
        <w:t>change, and</w:t>
      </w:r>
      <w:proofErr w:type="gramEnd"/>
      <w:r>
        <w:rPr>
          <w:rFonts w:ascii="Arial" w:hAnsi="Arial" w:cs="Arial"/>
          <w:color w:val="000000"/>
        </w:rPr>
        <w:t xml:space="preserve"> are being affected first. For example, in 2019 Somalia experienced its worst droughts in over 35 years, while in 2015 Pakistan faced a deadly heatwave that produced a death toll of 2,000 (Burke and </w:t>
      </w:r>
      <w:proofErr w:type="spellStart"/>
      <w:r>
        <w:rPr>
          <w:rFonts w:ascii="Arial" w:hAnsi="Arial" w:cs="Arial"/>
          <w:color w:val="000000"/>
        </w:rPr>
        <w:t>Mumin</w:t>
      </w:r>
      <w:proofErr w:type="spellEnd"/>
      <w:r>
        <w:rPr>
          <w:rFonts w:ascii="Arial" w:hAnsi="Arial" w:cs="Arial"/>
          <w:color w:val="000000"/>
        </w:rPr>
        <w:t xml:space="preserve">; </w:t>
      </w:r>
      <w:proofErr w:type="spellStart"/>
      <w:r>
        <w:rPr>
          <w:rFonts w:ascii="Arial" w:hAnsi="Arial" w:cs="Arial"/>
          <w:color w:val="000000"/>
        </w:rPr>
        <w:t>Gebrial</w:t>
      </w:r>
      <w:proofErr w:type="spellEnd"/>
      <w:r>
        <w:rPr>
          <w:rFonts w:ascii="Arial" w:hAnsi="Arial" w:cs="Arial"/>
          <w:color w:val="000000"/>
        </w:rPr>
        <w:t xml:space="preserve">). Owing to the </w:t>
      </w:r>
      <w:proofErr w:type="gramStart"/>
      <w:r>
        <w:rPr>
          <w:rFonts w:ascii="Arial" w:hAnsi="Arial" w:cs="Arial"/>
          <w:color w:val="000000"/>
        </w:rPr>
        <w:t>after effects</w:t>
      </w:r>
      <w:proofErr w:type="gramEnd"/>
      <w:r>
        <w:rPr>
          <w:rFonts w:ascii="Arial" w:hAnsi="Arial" w:cs="Arial"/>
          <w:color w:val="000000"/>
        </w:rPr>
        <w:t xml:space="preserve"> of colonialism, countries in the global south have a lower GDP than those in the global north, making them less able to protect against the effects of climate change (Wiseman). </w:t>
      </w:r>
    </w:p>
    <w:p w14:paraId="60C8D2E0"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lastRenderedPageBreak/>
        <w:t xml:space="preserve">BAME groups in the global north are also more at risk </w:t>
      </w:r>
      <w:proofErr w:type="gramStart"/>
      <w:r>
        <w:rPr>
          <w:rFonts w:ascii="Arial" w:hAnsi="Arial" w:cs="Arial"/>
          <w:color w:val="000000"/>
        </w:rPr>
        <w:t>in regards to</w:t>
      </w:r>
      <w:proofErr w:type="gramEnd"/>
      <w:r>
        <w:rPr>
          <w:rFonts w:ascii="Arial" w:hAnsi="Arial" w:cs="Arial"/>
          <w:color w:val="000000"/>
        </w:rPr>
        <w:t xml:space="preserve"> climate-related hazards. As </w:t>
      </w:r>
      <w:proofErr w:type="spellStart"/>
      <w:r>
        <w:rPr>
          <w:rFonts w:ascii="Arial" w:hAnsi="Arial" w:cs="Arial"/>
          <w:color w:val="000000"/>
        </w:rPr>
        <w:t>Saidiya</w:t>
      </w:r>
      <w:proofErr w:type="spellEnd"/>
      <w:r>
        <w:rPr>
          <w:rFonts w:ascii="Arial" w:hAnsi="Arial" w:cs="Arial"/>
          <w:color w:val="000000"/>
        </w:rPr>
        <w:t xml:space="preserve"> Hartman highlights, as a result of the historic institution of slavery, </w:t>
      </w:r>
      <w:proofErr w:type="gramStart"/>
      <w:r>
        <w:rPr>
          <w:rFonts w:ascii="Arial" w:hAnsi="Arial" w:cs="Arial"/>
          <w:color w:val="000000"/>
        </w:rPr>
        <w:t>African-Americans</w:t>
      </w:r>
      <w:proofErr w:type="gramEnd"/>
      <w:r>
        <w:rPr>
          <w:rFonts w:ascii="Arial" w:hAnsi="Arial" w:cs="Arial"/>
          <w:color w:val="000000"/>
        </w:rPr>
        <w:t xml:space="preserve"> now face “skewed life chances, limited access to health and education, premature death, incarceration, and impoverishment” (qtd. in Sharpe). Indeed, </w:t>
      </w:r>
      <w:proofErr w:type="gramStart"/>
      <w:r>
        <w:rPr>
          <w:rFonts w:ascii="Arial" w:hAnsi="Arial" w:cs="Arial"/>
          <w:color w:val="000000"/>
        </w:rPr>
        <w:t>African-Americans</w:t>
      </w:r>
      <w:proofErr w:type="gramEnd"/>
      <w:r>
        <w:rPr>
          <w:rFonts w:ascii="Arial" w:hAnsi="Arial" w:cs="Arial"/>
          <w:color w:val="000000"/>
        </w:rPr>
        <w:t xml:space="preserve"> are disproportionately likely to live in lower socio-economic areas with a higher risk of air or water pollution, like the lead pollution in Flint, Michigan (Fernandez </w:t>
      </w:r>
      <w:proofErr w:type="spellStart"/>
      <w:r>
        <w:rPr>
          <w:rFonts w:ascii="Arial" w:hAnsi="Arial" w:cs="Arial"/>
          <w:color w:val="000000"/>
        </w:rPr>
        <w:t>Rysavy</w:t>
      </w:r>
      <w:proofErr w:type="spellEnd"/>
      <w:r>
        <w:rPr>
          <w:rFonts w:ascii="Arial" w:hAnsi="Arial" w:cs="Arial"/>
          <w:color w:val="000000"/>
        </w:rPr>
        <w:t xml:space="preserve"> and Floyd). This environmental racism puts </w:t>
      </w:r>
      <w:proofErr w:type="gramStart"/>
      <w:r>
        <w:rPr>
          <w:rFonts w:ascii="Arial" w:hAnsi="Arial" w:cs="Arial"/>
          <w:color w:val="000000"/>
        </w:rPr>
        <w:t>African-American</w:t>
      </w:r>
      <w:proofErr w:type="gramEnd"/>
      <w:r>
        <w:rPr>
          <w:rFonts w:ascii="Arial" w:hAnsi="Arial" w:cs="Arial"/>
          <w:color w:val="000000"/>
        </w:rPr>
        <w:t xml:space="preserve"> children at greater risk of developing long-term health problems (Burton).</w:t>
      </w:r>
    </w:p>
    <w:p w14:paraId="134EC421"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The discomfort of confronting these injustices has prevented many privileged white westerners from tackling this colonial-capitalist, white supremacist past. However, it is integral to do so in order to effectively confront the climate crisis. Merely looking towards the future will not save us. We need to understand why the climate crisis has happened if we want to create a new world structure without a built-in time-bomb. Furthermore, front-line BAME communities in the global north and south are best suited to guide us towards a bette</w:t>
      </w:r>
      <w:r w:rsidR="008941A2">
        <w:rPr>
          <w:rFonts w:ascii="Arial" w:hAnsi="Arial" w:cs="Arial"/>
          <w:color w:val="000000"/>
        </w:rPr>
        <w:t xml:space="preserve">r future, being the ones with a </w:t>
      </w:r>
      <w:r>
        <w:rPr>
          <w:rFonts w:ascii="Arial" w:hAnsi="Arial" w:cs="Arial"/>
          <w:color w:val="000000"/>
        </w:rPr>
        <w:t>longer</w:t>
      </w:r>
      <w:r w:rsidR="006906EF">
        <w:rPr>
          <w:rFonts w:ascii="Arial" w:hAnsi="Arial" w:cs="Arial"/>
          <w:color w:val="000000"/>
        </w:rPr>
        <w:t>, more immediate,</w:t>
      </w:r>
      <w:r>
        <w:rPr>
          <w:rFonts w:ascii="Arial" w:hAnsi="Arial" w:cs="Arial"/>
          <w:color w:val="000000"/>
        </w:rPr>
        <w:t xml:space="preserve"> and more </w:t>
      </w:r>
      <w:r w:rsidR="006906EF">
        <w:rPr>
          <w:rFonts w:ascii="Arial" w:hAnsi="Arial" w:cs="Arial"/>
          <w:color w:val="000000"/>
        </w:rPr>
        <w:t>sustained</w:t>
      </w:r>
      <w:r>
        <w:rPr>
          <w:rFonts w:ascii="Arial" w:hAnsi="Arial" w:cs="Arial"/>
          <w:color w:val="000000"/>
        </w:rPr>
        <w:t xml:space="preserve"> experience of climate change.</w:t>
      </w:r>
    </w:p>
    <w:p w14:paraId="4FC6D6EA" w14:textId="77777777" w:rsidR="00B06DA4" w:rsidRDefault="00B06DA4" w:rsidP="00B06DA4"/>
    <w:p w14:paraId="1A2FC04D" w14:textId="77777777" w:rsidR="00B06DA4" w:rsidRDefault="00B06DA4" w:rsidP="00B06DA4">
      <w:pPr>
        <w:pStyle w:val="NormalWeb"/>
        <w:spacing w:before="0" w:beforeAutospacing="0" w:after="0" w:afterAutospacing="0" w:line="480" w:lineRule="auto"/>
      </w:pPr>
      <w:r>
        <w:rPr>
          <w:rFonts w:ascii="Arial" w:hAnsi="Arial" w:cs="Arial"/>
          <w:b/>
          <w:bCs/>
          <w:color w:val="000000"/>
        </w:rPr>
        <w:t xml:space="preserve">Terry Pratchett’s </w:t>
      </w:r>
      <w:proofErr w:type="spellStart"/>
      <w:r>
        <w:rPr>
          <w:rFonts w:ascii="Arial" w:hAnsi="Arial" w:cs="Arial"/>
          <w:b/>
          <w:bCs/>
          <w:i/>
          <w:iCs/>
          <w:color w:val="000000"/>
        </w:rPr>
        <w:t>Wyrd</w:t>
      </w:r>
      <w:proofErr w:type="spellEnd"/>
      <w:r>
        <w:rPr>
          <w:rFonts w:ascii="Arial" w:hAnsi="Arial" w:cs="Arial"/>
          <w:b/>
          <w:bCs/>
          <w:i/>
          <w:iCs/>
          <w:color w:val="000000"/>
        </w:rPr>
        <w:t xml:space="preserve"> Sisters</w:t>
      </w:r>
      <w:r>
        <w:rPr>
          <w:rFonts w:ascii="Arial" w:hAnsi="Arial" w:cs="Arial"/>
          <w:b/>
          <w:bCs/>
          <w:color w:val="000000"/>
        </w:rPr>
        <w:t>, adaptation, and time</w:t>
      </w:r>
    </w:p>
    <w:p w14:paraId="34F11607" w14:textId="77777777" w:rsidR="00B06DA4" w:rsidRDefault="00B06DA4" w:rsidP="00B06DA4"/>
    <w:p w14:paraId="1FE6CC08"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Terry Pratchett’s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is a loose adaptation of William Shakespeare’s </w:t>
      </w:r>
      <w:r>
        <w:rPr>
          <w:rFonts w:ascii="Arial" w:hAnsi="Arial" w:cs="Arial"/>
          <w:i/>
          <w:iCs/>
          <w:color w:val="000000"/>
        </w:rPr>
        <w:t>Macbeth</w:t>
      </w:r>
      <w:r>
        <w:rPr>
          <w:rFonts w:ascii="Arial" w:hAnsi="Arial" w:cs="Arial"/>
          <w:color w:val="000000"/>
        </w:rPr>
        <w:t xml:space="preserve">. Its </w:t>
      </w:r>
      <w:proofErr w:type="gramStart"/>
      <w:r>
        <w:rPr>
          <w:rFonts w:ascii="Arial" w:hAnsi="Arial" w:cs="Arial"/>
          <w:color w:val="000000"/>
        </w:rPr>
        <w:t>main focus</w:t>
      </w:r>
      <w:proofErr w:type="gramEnd"/>
      <w:r>
        <w:rPr>
          <w:rFonts w:ascii="Arial" w:hAnsi="Arial" w:cs="Arial"/>
          <w:color w:val="000000"/>
        </w:rPr>
        <w:t xml:space="preserve"> is on the three witches, </w:t>
      </w:r>
      <w:proofErr w:type="spellStart"/>
      <w:r>
        <w:rPr>
          <w:rFonts w:ascii="Arial" w:hAnsi="Arial" w:cs="Arial"/>
          <w:color w:val="000000"/>
        </w:rPr>
        <w:t>Magrat</w:t>
      </w:r>
      <w:proofErr w:type="spellEnd"/>
      <w:r>
        <w:rPr>
          <w:rFonts w:ascii="Arial" w:hAnsi="Arial" w:cs="Arial"/>
          <w:color w:val="000000"/>
        </w:rPr>
        <w:t xml:space="preserve">, Nanny </w:t>
      </w:r>
      <w:proofErr w:type="spellStart"/>
      <w:r>
        <w:rPr>
          <w:rFonts w:ascii="Arial" w:hAnsi="Arial" w:cs="Arial"/>
          <w:color w:val="000000"/>
        </w:rPr>
        <w:t>Ogg</w:t>
      </w:r>
      <w:proofErr w:type="spellEnd"/>
      <w:r>
        <w:rPr>
          <w:rFonts w:ascii="Arial" w:hAnsi="Arial" w:cs="Arial"/>
          <w:color w:val="000000"/>
        </w:rPr>
        <w:t xml:space="preserve">, and Granny Weatherwax, who are drawn into restoring order to the kingdom of </w:t>
      </w:r>
      <w:proofErr w:type="spellStart"/>
      <w:r>
        <w:rPr>
          <w:rFonts w:ascii="Arial" w:hAnsi="Arial" w:cs="Arial"/>
          <w:color w:val="000000"/>
        </w:rPr>
        <w:t>Lancre</w:t>
      </w:r>
      <w:proofErr w:type="spellEnd"/>
      <w:r>
        <w:rPr>
          <w:rFonts w:ascii="Arial" w:hAnsi="Arial" w:cs="Arial"/>
          <w:color w:val="000000"/>
        </w:rPr>
        <w:t xml:space="preserve"> after King </w:t>
      </w:r>
      <w:proofErr w:type="spellStart"/>
      <w:r>
        <w:rPr>
          <w:rFonts w:ascii="Arial" w:hAnsi="Arial" w:cs="Arial"/>
          <w:color w:val="000000"/>
        </w:rPr>
        <w:t>Verence</w:t>
      </w:r>
      <w:proofErr w:type="spellEnd"/>
      <w:r>
        <w:rPr>
          <w:rFonts w:ascii="Arial" w:hAnsi="Arial" w:cs="Arial"/>
          <w:color w:val="000000"/>
        </w:rPr>
        <w:t xml:space="preserve"> is murdered and replaced by the neglectful and spiteful Duke and Duchess.</w:t>
      </w:r>
    </w:p>
    <w:p w14:paraId="742E1F4D"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lastRenderedPageBreak/>
        <w:tab/>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raises the question of the relationship between adaptation and time. In her essay on Shakespeare and adaptation, Margaret Jane </w:t>
      </w:r>
      <w:proofErr w:type="spellStart"/>
      <w:r>
        <w:rPr>
          <w:rFonts w:ascii="Arial" w:hAnsi="Arial" w:cs="Arial"/>
          <w:color w:val="000000"/>
        </w:rPr>
        <w:t>Kidnie</w:t>
      </w:r>
      <w:proofErr w:type="spellEnd"/>
      <w:r>
        <w:rPr>
          <w:rFonts w:ascii="Arial" w:hAnsi="Arial" w:cs="Arial"/>
          <w:color w:val="000000"/>
        </w:rPr>
        <w:t xml:space="preserve"> asks ‘Where is </w:t>
      </w:r>
      <w:r>
        <w:rPr>
          <w:rFonts w:ascii="Arial" w:hAnsi="Arial" w:cs="Arial"/>
          <w:i/>
          <w:iCs/>
          <w:color w:val="000000"/>
        </w:rPr>
        <w:t>Hamlet</w:t>
      </w:r>
      <w:r>
        <w:rPr>
          <w:rFonts w:ascii="Arial" w:hAnsi="Arial" w:cs="Arial"/>
          <w:color w:val="000000"/>
        </w:rPr>
        <w:t xml:space="preserve">?’ exploring where within the three ‘original’ play texts, the multitude of cultural reproductions of the story, and the story’s source material, the ‘true’ </w:t>
      </w:r>
      <w:r>
        <w:rPr>
          <w:rFonts w:ascii="Arial" w:hAnsi="Arial" w:cs="Arial"/>
          <w:i/>
          <w:iCs/>
          <w:color w:val="000000"/>
        </w:rPr>
        <w:t xml:space="preserve">Hamlet </w:t>
      </w:r>
      <w:r>
        <w:rPr>
          <w:rFonts w:ascii="Arial" w:hAnsi="Arial" w:cs="Arial"/>
          <w:color w:val="000000"/>
        </w:rPr>
        <w:t xml:space="preserve">can be found. However, it is not just a question of where, but also </w:t>
      </w:r>
      <w:r>
        <w:rPr>
          <w:rFonts w:ascii="Arial" w:hAnsi="Arial" w:cs="Arial"/>
          <w:i/>
          <w:iCs/>
          <w:color w:val="000000"/>
        </w:rPr>
        <w:t>when</w:t>
      </w:r>
      <w:r>
        <w:rPr>
          <w:rFonts w:ascii="Arial" w:hAnsi="Arial" w:cs="Arial"/>
          <w:color w:val="000000"/>
        </w:rPr>
        <w:t xml:space="preserve"> is </w:t>
      </w:r>
      <w:r>
        <w:rPr>
          <w:rFonts w:ascii="Arial" w:hAnsi="Arial" w:cs="Arial"/>
          <w:i/>
          <w:iCs/>
          <w:color w:val="000000"/>
        </w:rPr>
        <w:t>Hamlet</w:t>
      </w:r>
      <w:r>
        <w:rPr>
          <w:rFonts w:ascii="Arial" w:hAnsi="Arial" w:cs="Arial"/>
          <w:color w:val="000000"/>
        </w:rPr>
        <w:t xml:space="preserve">? or in our case, </w:t>
      </w:r>
      <w:r>
        <w:rPr>
          <w:rFonts w:ascii="Arial" w:hAnsi="Arial" w:cs="Arial"/>
          <w:i/>
          <w:iCs/>
          <w:color w:val="000000"/>
        </w:rPr>
        <w:t>when</w:t>
      </w:r>
      <w:r>
        <w:rPr>
          <w:rFonts w:ascii="Arial" w:hAnsi="Arial" w:cs="Arial"/>
          <w:color w:val="000000"/>
        </w:rPr>
        <w:t xml:space="preserve"> is </w:t>
      </w:r>
      <w:r>
        <w:rPr>
          <w:rFonts w:ascii="Arial" w:hAnsi="Arial" w:cs="Arial"/>
          <w:i/>
          <w:iCs/>
          <w:color w:val="000000"/>
        </w:rPr>
        <w:t>Macbeth</w:t>
      </w:r>
      <w:r>
        <w:rPr>
          <w:rFonts w:ascii="Arial" w:hAnsi="Arial" w:cs="Arial"/>
          <w:color w:val="000000"/>
        </w:rPr>
        <w:t>? What is the time of an adapted story?</w:t>
      </w:r>
    </w:p>
    <w:p w14:paraId="2873C95B"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Within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Pratchett makes an interesting observation about our experiences of time. Pratchett writes that the character </w:t>
      </w:r>
      <w:proofErr w:type="spellStart"/>
      <w:r>
        <w:rPr>
          <w:rFonts w:ascii="Arial" w:hAnsi="Arial" w:cs="Arial"/>
          <w:color w:val="000000"/>
        </w:rPr>
        <w:t>Verence</w:t>
      </w:r>
      <w:proofErr w:type="spellEnd"/>
      <w:r>
        <w:rPr>
          <w:rFonts w:ascii="Arial" w:hAnsi="Arial" w:cs="Arial"/>
          <w:color w:val="000000"/>
        </w:rPr>
        <w:t>, who has recently become a ghost,</w:t>
      </w:r>
    </w:p>
    <w:p w14:paraId="7D006F9D" w14:textId="77777777" w:rsidR="00B06DA4" w:rsidRDefault="00B06DA4" w:rsidP="00B06DA4"/>
    <w:p w14:paraId="14C6C5C9" w14:textId="77777777" w:rsidR="00B06DA4" w:rsidRDefault="00B06DA4" w:rsidP="00B06DA4">
      <w:pPr>
        <w:pStyle w:val="NormalWeb"/>
        <w:spacing w:before="0" w:beforeAutospacing="0" w:after="0" w:afterAutospacing="0" w:line="480" w:lineRule="auto"/>
        <w:ind w:left="720"/>
      </w:pPr>
      <w:r>
        <w:rPr>
          <w:rFonts w:ascii="Arial" w:hAnsi="Arial" w:cs="Arial"/>
          <w:color w:val="000000"/>
        </w:rPr>
        <w:t>had never really been frightened of anything in his entire life … he was … one of those rare individuals who are totally focused in time.</w:t>
      </w:r>
    </w:p>
    <w:p w14:paraId="289E6B4A" w14:textId="77777777" w:rsidR="00B06DA4" w:rsidRDefault="00B06DA4" w:rsidP="00B06DA4"/>
    <w:p w14:paraId="6086C35B" w14:textId="77777777" w:rsidR="00B06DA4" w:rsidRDefault="00B06DA4" w:rsidP="00B06DA4">
      <w:pPr>
        <w:pStyle w:val="NormalWeb"/>
        <w:spacing w:before="0" w:beforeAutospacing="0" w:after="0" w:afterAutospacing="0" w:line="480" w:lineRule="auto"/>
        <w:ind w:left="720"/>
      </w:pPr>
      <w:r>
        <w:rPr>
          <w:rFonts w:ascii="Arial" w:hAnsi="Arial" w:cs="Arial"/>
          <w:color w:val="000000"/>
        </w:rPr>
        <w:t xml:space="preserve">Most people aren’t. They live their lives as a sort of temporal blur around the point where their body actually is - anticipating the </w:t>
      </w:r>
      <w:proofErr w:type="gramStart"/>
      <w:r>
        <w:rPr>
          <w:rFonts w:ascii="Arial" w:hAnsi="Arial" w:cs="Arial"/>
          <w:color w:val="000000"/>
        </w:rPr>
        <w:t>future, or</w:t>
      </w:r>
      <w:proofErr w:type="gramEnd"/>
      <w:r>
        <w:rPr>
          <w:rFonts w:ascii="Arial" w:hAnsi="Arial" w:cs="Arial"/>
          <w:color w:val="000000"/>
        </w:rPr>
        <w:t xml:space="preserve"> holding on to the past. They’re usually so busy thinking about what happens next that the only time they ever find out what is happening now is when they come to look back on it. Most people are like this. They learn how to fear because they can </w:t>
      </w:r>
      <w:proofErr w:type="gramStart"/>
      <w:r>
        <w:rPr>
          <w:rFonts w:ascii="Arial" w:hAnsi="Arial" w:cs="Arial"/>
          <w:color w:val="000000"/>
        </w:rPr>
        <w:t>actually tell</w:t>
      </w:r>
      <w:proofErr w:type="gramEnd"/>
      <w:r>
        <w:rPr>
          <w:rFonts w:ascii="Arial" w:hAnsi="Arial" w:cs="Arial"/>
          <w:color w:val="000000"/>
        </w:rPr>
        <w:t>, on a subconscious level, what is going to happen next. It’s already happening to them.</w:t>
      </w:r>
    </w:p>
    <w:p w14:paraId="2D017338"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p>
    <w:p w14:paraId="2BADFA2B" w14:textId="77777777" w:rsidR="00B06DA4" w:rsidRDefault="00B06DA4" w:rsidP="00B06DA4">
      <w:pPr>
        <w:pStyle w:val="NormalWeb"/>
        <w:spacing w:before="0" w:beforeAutospacing="0" w:after="0" w:afterAutospacing="0" w:line="480" w:lineRule="auto"/>
        <w:ind w:left="720"/>
      </w:pPr>
      <w:r>
        <w:rPr>
          <w:rFonts w:ascii="Arial" w:hAnsi="Arial" w:cs="Arial"/>
          <w:color w:val="000000"/>
        </w:rPr>
        <w:t xml:space="preserve">But </w:t>
      </w:r>
      <w:proofErr w:type="spellStart"/>
      <w:r>
        <w:rPr>
          <w:rFonts w:ascii="Arial" w:hAnsi="Arial" w:cs="Arial"/>
          <w:color w:val="000000"/>
        </w:rPr>
        <w:t>Verence</w:t>
      </w:r>
      <w:proofErr w:type="spellEnd"/>
      <w:r>
        <w:rPr>
          <w:rFonts w:ascii="Arial" w:hAnsi="Arial" w:cs="Arial"/>
          <w:color w:val="000000"/>
        </w:rPr>
        <w:t xml:space="preserve"> had always lived only for the present. (17)</w:t>
      </w:r>
    </w:p>
    <w:p w14:paraId="4C6320C2" w14:textId="77777777" w:rsidR="00B06DA4" w:rsidRDefault="00B06DA4" w:rsidP="00B06DA4"/>
    <w:p w14:paraId="11EC83DA"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Arguably, it is impossible for any novel, but particularly ones that are also adaptations, to be ‘totally focused in time.’ According to Mark Currie, because ‘the present for a reader in a fictional narrative is not really the present at all but … </w:t>
      </w:r>
      <w:r>
        <w:rPr>
          <w:rFonts w:ascii="Arial" w:hAnsi="Arial" w:cs="Arial"/>
          <w:color w:val="000000"/>
        </w:rPr>
        <w:lastRenderedPageBreak/>
        <w:t xml:space="preserve">somebody else’s present related to us in the past tense,’ we read in ‘anticipation’ for this ‘future present’ (“Introduction: About </w:t>
      </w:r>
      <w:proofErr w:type="spellStart"/>
      <w:r>
        <w:rPr>
          <w:rFonts w:ascii="Arial" w:hAnsi="Arial" w:cs="Arial"/>
          <w:color w:val="000000"/>
        </w:rPr>
        <w:t>About</w:t>
      </w:r>
      <w:proofErr w:type="spellEnd"/>
      <w:r>
        <w:rPr>
          <w:rFonts w:ascii="Arial" w:hAnsi="Arial" w:cs="Arial"/>
          <w:color w:val="000000"/>
        </w:rPr>
        <w:t xml:space="preserve"> Time” 5-6). Currie compares this to life, and how ‘[t]he present is the object of a future memory, and we live it as such, in anticipation of the story we will tell later, envisaging the present as past’ (“Introduction” 5).</w:t>
      </w:r>
    </w:p>
    <w:p w14:paraId="398AFFB6"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As an adaptation of </w:t>
      </w:r>
      <w:r>
        <w:rPr>
          <w:rFonts w:ascii="Arial" w:hAnsi="Arial" w:cs="Arial"/>
          <w:i/>
          <w:iCs/>
          <w:color w:val="000000"/>
        </w:rPr>
        <w:t>Macbeth</w:t>
      </w:r>
      <w:r>
        <w:rPr>
          <w:rFonts w:ascii="Arial" w:hAnsi="Arial" w:cs="Arial"/>
          <w:color w:val="000000"/>
        </w:rPr>
        <w:t xml:space="preserve"> and other Shakespeare plays,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feels familiar, so that even when we read it for the first time the novel is experienced almost like a memory. While the reader may know that the narrated story is past for the narrator and therefore will be in ‘anticipation’ for a ‘future memory,’ in a sense the reader already knows the story as an adaptation, so that the present is in some ways already past for them as well. Therefore, as the reader moves through the text, the ‘future’ of the narrative is anticipated as a memory of another version of the story.</w:t>
      </w:r>
    </w:p>
    <w:p w14:paraId="2480C7D4"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Nevertheless, an adaptation, according to Linda Hutcheon, is necessarily ‘repetition without replication’ (7). Consequently, while an adaptation may seem familiar, it is simultaneously a new experience. The climax of </w:t>
      </w:r>
      <w:proofErr w:type="spellStart"/>
      <w:r>
        <w:rPr>
          <w:rFonts w:ascii="Arial" w:hAnsi="Arial" w:cs="Arial"/>
          <w:i/>
          <w:iCs/>
          <w:color w:val="000000"/>
        </w:rPr>
        <w:t>Wyrd</w:t>
      </w:r>
      <w:proofErr w:type="spellEnd"/>
      <w:r>
        <w:rPr>
          <w:rFonts w:ascii="Arial" w:hAnsi="Arial" w:cs="Arial"/>
          <w:i/>
          <w:iCs/>
          <w:color w:val="000000"/>
        </w:rPr>
        <w:t xml:space="preserve"> Sisters </w:t>
      </w:r>
      <w:r>
        <w:rPr>
          <w:rFonts w:ascii="Arial" w:hAnsi="Arial" w:cs="Arial"/>
          <w:color w:val="000000"/>
        </w:rPr>
        <w:t xml:space="preserve">transpires with King </w:t>
      </w:r>
      <w:proofErr w:type="spellStart"/>
      <w:r>
        <w:rPr>
          <w:rFonts w:ascii="Arial" w:hAnsi="Arial" w:cs="Arial"/>
          <w:color w:val="000000"/>
        </w:rPr>
        <w:t>Verence’s</w:t>
      </w:r>
      <w:proofErr w:type="spellEnd"/>
      <w:r>
        <w:rPr>
          <w:rFonts w:ascii="Arial" w:hAnsi="Arial" w:cs="Arial"/>
          <w:color w:val="000000"/>
        </w:rPr>
        <w:t xml:space="preserve"> murderer revealing himself through a similar play-within-a-play plot as in Shakespeare’s </w:t>
      </w:r>
      <w:r>
        <w:rPr>
          <w:rFonts w:ascii="Arial" w:hAnsi="Arial" w:cs="Arial"/>
          <w:i/>
          <w:iCs/>
          <w:color w:val="000000"/>
        </w:rPr>
        <w:t>Hamlet</w:t>
      </w:r>
      <w:r>
        <w:rPr>
          <w:rFonts w:ascii="Arial" w:hAnsi="Arial" w:cs="Arial"/>
          <w:color w:val="000000"/>
        </w:rPr>
        <w:t xml:space="preserve">. However, as a fusion with other Shakespeare plays, this plot point, while familiar, is also made new in the distinct context of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Indeed, we can </w:t>
      </w:r>
      <w:r w:rsidR="00F21EF5">
        <w:rPr>
          <w:rFonts w:ascii="Arial" w:hAnsi="Arial" w:cs="Arial"/>
          <w:color w:val="000000"/>
        </w:rPr>
        <w:t>view</w:t>
      </w:r>
      <w:r>
        <w:rPr>
          <w:rFonts w:ascii="Arial" w:hAnsi="Arial" w:cs="Arial"/>
          <w:color w:val="000000"/>
        </w:rPr>
        <w:t xml:space="preserve"> the time of </w:t>
      </w:r>
      <w:r w:rsidR="00F21EF5">
        <w:rPr>
          <w:rFonts w:ascii="Arial" w:hAnsi="Arial" w:cs="Arial"/>
          <w:color w:val="000000"/>
        </w:rPr>
        <w:t>the adaptation</w:t>
      </w:r>
      <w:r>
        <w:rPr>
          <w:rFonts w:ascii="Arial" w:hAnsi="Arial" w:cs="Arial"/>
          <w:color w:val="000000"/>
        </w:rPr>
        <w:t xml:space="preserve"> like </w:t>
      </w:r>
      <w:proofErr w:type="spellStart"/>
      <w:r>
        <w:rPr>
          <w:rFonts w:ascii="Arial" w:hAnsi="Arial" w:cs="Arial"/>
          <w:color w:val="000000"/>
        </w:rPr>
        <w:t>Kidnie</w:t>
      </w:r>
      <w:proofErr w:type="spellEnd"/>
      <w:r>
        <w:rPr>
          <w:rFonts w:ascii="Arial" w:hAnsi="Arial" w:cs="Arial"/>
          <w:color w:val="000000"/>
        </w:rPr>
        <w:t xml:space="preserve"> envisages its space: like a cultural web. The</w:t>
      </w:r>
      <w:r w:rsidR="003B76F8">
        <w:rPr>
          <w:rFonts w:ascii="Arial" w:hAnsi="Arial" w:cs="Arial"/>
          <w:color w:val="000000"/>
        </w:rPr>
        <w:t xml:space="preserve"> adapted</w:t>
      </w:r>
      <w:r>
        <w:rPr>
          <w:rFonts w:ascii="Arial" w:hAnsi="Arial" w:cs="Arial"/>
          <w:color w:val="000000"/>
        </w:rPr>
        <w:t xml:space="preserve"> story is refracted through the many cultural iterations of itself, ‘</w:t>
      </w:r>
      <w:proofErr w:type="spellStart"/>
      <w:r>
        <w:rPr>
          <w:rFonts w:ascii="Arial" w:hAnsi="Arial" w:cs="Arial"/>
          <w:color w:val="000000"/>
        </w:rPr>
        <w:t>emerg</w:t>
      </w:r>
      <w:proofErr w:type="spellEnd"/>
      <w:r>
        <w:rPr>
          <w:rFonts w:ascii="Arial" w:hAnsi="Arial" w:cs="Arial"/>
          <w:color w:val="000000"/>
        </w:rPr>
        <w:t>[</w:t>
      </w:r>
      <w:proofErr w:type="spellStart"/>
      <w:r>
        <w:rPr>
          <w:rFonts w:ascii="Arial" w:hAnsi="Arial" w:cs="Arial"/>
          <w:color w:val="000000"/>
        </w:rPr>
        <w:t>ing</w:t>
      </w:r>
      <w:proofErr w:type="spellEnd"/>
      <w:r>
        <w:rPr>
          <w:rFonts w:ascii="Arial" w:hAnsi="Arial" w:cs="Arial"/>
          <w:color w:val="000000"/>
        </w:rPr>
        <w:t>] … out of the tension that exists at any one historical moment between a particular construction of performance and a particular construction of text’ (</w:t>
      </w:r>
      <w:proofErr w:type="spellStart"/>
      <w:r>
        <w:rPr>
          <w:rFonts w:ascii="Arial" w:hAnsi="Arial" w:cs="Arial"/>
          <w:color w:val="000000"/>
        </w:rPr>
        <w:t>Kidnie</w:t>
      </w:r>
      <w:proofErr w:type="spellEnd"/>
      <w:r>
        <w:rPr>
          <w:rFonts w:ascii="Arial" w:hAnsi="Arial" w:cs="Arial"/>
          <w:color w:val="000000"/>
        </w:rPr>
        <w:t xml:space="preserve"> 115). In this way, we can see that adapted stories, like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are temporally uncertain, existing precariously in the past, present, and future for their readership: they are never ‘totally focused in time,’ but ‘temporal </w:t>
      </w:r>
      <w:r>
        <w:rPr>
          <w:rFonts w:ascii="Arial" w:hAnsi="Arial" w:cs="Arial"/>
          <w:color w:val="000000"/>
        </w:rPr>
        <w:lastRenderedPageBreak/>
        <w:t>blurs.’ Hutcheon theorises that part of what is ‘particularly appealing about adaptations as adaptations’ is ‘the comfort of ritual combined with the piquancy of surprise’ (4). Therefore, we can attribute part of our interest in ‘adaptations as adaptations’ to their uncertain temporality, existing simultaneously in the familiarity of memory and the anticipation of newness, of a new formation of the old.</w:t>
      </w:r>
    </w:p>
    <w:p w14:paraId="7B7EDA44" w14:textId="77777777" w:rsidR="00B06DA4" w:rsidRDefault="00B06DA4" w:rsidP="00B06DA4"/>
    <w:p w14:paraId="4C886321" w14:textId="77777777" w:rsidR="00B06DA4" w:rsidRDefault="00B06DA4" w:rsidP="00B06DA4">
      <w:pPr>
        <w:pStyle w:val="NormalWeb"/>
        <w:spacing w:before="0" w:beforeAutospacing="0" w:after="0" w:afterAutospacing="0" w:line="480" w:lineRule="auto"/>
      </w:pPr>
      <w:r>
        <w:rPr>
          <w:rFonts w:ascii="Arial" w:hAnsi="Arial" w:cs="Arial"/>
          <w:b/>
          <w:bCs/>
          <w:color w:val="000000"/>
        </w:rPr>
        <w:t xml:space="preserve">History, narrative, and the </w:t>
      </w:r>
      <w:proofErr w:type="spellStart"/>
      <w:r>
        <w:rPr>
          <w:rFonts w:ascii="Arial" w:hAnsi="Arial" w:cs="Arial"/>
          <w:b/>
          <w:bCs/>
          <w:color w:val="000000"/>
        </w:rPr>
        <w:t>Chthulucene</w:t>
      </w:r>
      <w:proofErr w:type="spellEnd"/>
    </w:p>
    <w:p w14:paraId="274FCFB8" w14:textId="77777777" w:rsidR="00B06DA4" w:rsidRDefault="00B06DA4" w:rsidP="00B06DA4"/>
    <w:p w14:paraId="3BE07A72"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Dipesh Chakrabarty argues that as the climate crisis poses an existential threat to humanity, it breaks our human-centric idea of time, meaning that we cannot use this framework of comprehending time to understand our future (197). Chakrabarty is referring to our incomprehension of the </w:t>
      </w:r>
      <w:r w:rsidR="00995201">
        <w:rPr>
          <w:rFonts w:ascii="Arial" w:hAnsi="Arial" w:cs="Arial"/>
          <w:color w:val="000000"/>
        </w:rPr>
        <w:t>Anthropocene</w:t>
      </w:r>
      <w:r>
        <w:rPr>
          <w:rFonts w:ascii="Arial" w:hAnsi="Arial" w:cs="Arial"/>
          <w:color w:val="000000"/>
        </w:rPr>
        <w:t xml:space="preserve">, and the idea that humanity has become a geological force (206). However, it is also important to deconstruct our human-centric perspective on past time. The concept of history values humanity so much that it does not seem to allow for time outside of the existence of humans. While we may think of ‘prehistory’ as the time of the dinosaurs, it is actually defined by the Oxford World </w:t>
      </w:r>
      <w:proofErr w:type="spellStart"/>
      <w:r>
        <w:rPr>
          <w:rFonts w:ascii="Arial" w:hAnsi="Arial" w:cs="Arial"/>
          <w:color w:val="000000"/>
        </w:rPr>
        <w:t>Encyclopedia</w:t>
      </w:r>
      <w:proofErr w:type="spellEnd"/>
      <w:r>
        <w:rPr>
          <w:rFonts w:ascii="Arial" w:hAnsi="Arial" w:cs="Arial"/>
          <w:color w:val="000000"/>
        </w:rPr>
        <w:t xml:space="preserve"> as the ‘Period of human cultural development before the invention of writing,’ not time pre-human (“prehistory”). </w:t>
      </w:r>
    </w:p>
    <w:p w14:paraId="2DC62E86"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One vision of time with humans de-centred and non-essential is Donna J. Haraway’s </w:t>
      </w:r>
      <w:proofErr w:type="spellStart"/>
      <w:r>
        <w:rPr>
          <w:rFonts w:ascii="Arial" w:hAnsi="Arial" w:cs="Arial"/>
          <w:color w:val="000000"/>
        </w:rPr>
        <w:t>Chthulucene</w:t>
      </w:r>
      <w:proofErr w:type="spellEnd"/>
      <w:r>
        <w:rPr>
          <w:rFonts w:ascii="Arial" w:hAnsi="Arial" w:cs="Arial"/>
          <w:color w:val="000000"/>
        </w:rPr>
        <w:t xml:space="preserve">. The </w:t>
      </w:r>
      <w:proofErr w:type="spellStart"/>
      <w:r>
        <w:rPr>
          <w:rFonts w:ascii="Arial" w:hAnsi="Arial" w:cs="Arial"/>
          <w:color w:val="000000"/>
        </w:rPr>
        <w:t>Chthulucene</w:t>
      </w:r>
      <w:proofErr w:type="spellEnd"/>
      <w:r>
        <w:rPr>
          <w:rFonts w:ascii="Arial" w:hAnsi="Arial" w:cs="Arial"/>
          <w:color w:val="000000"/>
        </w:rPr>
        <w:t xml:space="preserve"> is a reaction against the human-centricity of the </w:t>
      </w:r>
      <w:r w:rsidR="0033764C">
        <w:rPr>
          <w:rFonts w:ascii="Arial" w:hAnsi="Arial" w:cs="Arial"/>
          <w:color w:val="000000"/>
        </w:rPr>
        <w:t>Anthropocene</w:t>
      </w:r>
      <w:r>
        <w:rPr>
          <w:rFonts w:ascii="Arial" w:hAnsi="Arial" w:cs="Arial"/>
          <w:color w:val="000000"/>
        </w:rPr>
        <w:t xml:space="preserve"> (Haraway 2). In summary, it is a kind of time that centre</w:t>
      </w:r>
      <w:r w:rsidR="00C31217">
        <w:rPr>
          <w:rFonts w:ascii="Arial" w:hAnsi="Arial" w:cs="Arial"/>
          <w:color w:val="000000"/>
        </w:rPr>
        <w:t>s no</w:t>
      </w:r>
      <w:r>
        <w:rPr>
          <w:rFonts w:ascii="Arial" w:hAnsi="Arial" w:cs="Arial"/>
          <w:color w:val="000000"/>
        </w:rPr>
        <w:t xml:space="preserve"> one thing and has no fixed hierarchy, an interconnected, shifting ecosystem of time and life that incorporates new and old concepts of temporality (Haraway 2). </w:t>
      </w:r>
    </w:p>
    <w:p w14:paraId="26F38C9E"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lastRenderedPageBreak/>
        <w:tab/>
      </w:r>
      <w:r>
        <w:rPr>
          <w:rFonts w:ascii="Arial" w:hAnsi="Arial" w:cs="Arial"/>
          <w:color w:val="000000"/>
        </w:rPr>
        <w:t xml:space="preserve">Terry Pratchett’s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helps to </w:t>
      </w:r>
      <w:r w:rsidR="005B5D7E">
        <w:rPr>
          <w:rFonts w:ascii="Arial" w:hAnsi="Arial" w:cs="Arial"/>
          <w:color w:val="000000"/>
        </w:rPr>
        <w:t xml:space="preserve">give a model for the </w:t>
      </w:r>
      <w:proofErr w:type="spellStart"/>
      <w:r w:rsidR="005B5D7E">
        <w:rPr>
          <w:rFonts w:ascii="Arial" w:hAnsi="Arial" w:cs="Arial"/>
          <w:color w:val="000000"/>
        </w:rPr>
        <w:t>Chthulucene</w:t>
      </w:r>
      <w:proofErr w:type="spellEnd"/>
      <w:r>
        <w:rPr>
          <w:rFonts w:ascii="Arial" w:hAnsi="Arial" w:cs="Arial"/>
          <w:color w:val="000000"/>
        </w:rPr>
        <w:t>. In the novel, the land itself is ‘</w:t>
      </w:r>
      <w:r>
        <w:rPr>
          <w:rFonts w:ascii="Arial" w:hAnsi="Arial" w:cs="Arial"/>
          <w:i/>
          <w:iCs/>
          <w:color w:val="000000"/>
        </w:rPr>
        <w:t>alive</w:t>
      </w:r>
      <w:r>
        <w:rPr>
          <w:rFonts w:ascii="Arial" w:hAnsi="Arial" w:cs="Arial"/>
          <w:color w:val="000000"/>
        </w:rPr>
        <w:t xml:space="preserve">’ (Pratchett 92). The land is ‘young and ancient,’ and ‘made up of all the other little minds inside it; plant minds, bird minds, bear minds, even the great slow minds of the trees themselves,’ and also encompasses the minds of the main human characters (Pratchett 92, 113). The land takes offense at the usurper king’s uncaring attitude towards it, waking up to call on the witches to return order to the kingdom. In this way, while the plot revolves around the actions of humans, it decentres them as the isolated protagonists of the story and instead puts them into the context of a relationship with all other living things. While the land usually provides the background to a story, in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xml:space="preserve"> it takes on an active, powerful role in the plot. Moreover, the actions of the humans are not important solely for the humans’ sake, but for the sake of the entirety of the land. The novel therefore </w:t>
      </w:r>
      <w:r w:rsidR="003E6DDC">
        <w:rPr>
          <w:rFonts w:ascii="Arial" w:hAnsi="Arial" w:cs="Arial"/>
          <w:color w:val="000000"/>
        </w:rPr>
        <w:t>provides</w:t>
      </w:r>
      <w:r>
        <w:rPr>
          <w:rFonts w:ascii="Arial" w:hAnsi="Arial" w:cs="Arial"/>
          <w:color w:val="000000"/>
        </w:rPr>
        <w:t xml:space="preserve"> a model for a collective, intertwined narrative.</w:t>
      </w:r>
    </w:p>
    <w:p w14:paraId="68665D3E"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Perhaps there is a way of shifting our view of our relationship to time and the planet in a similarly ecological way. As </w:t>
      </w:r>
      <w:proofErr w:type="spellStart"/>
      <w:r>
        <w:rPr>
          <w:rFonts w:ascii="Arial" w:hAnsi="Arial" w:cs="Arial"/>
          <w:i/>
          <w:iCs/>
          <w:color w:val="000000"/>
        </w:rPr>
        <w:t>Wyrd</w:t>
      </w:r>
      <w:proofErr w:type="spellEnd"/>
      <w:r>
        <w:rPr>
          <w:rFonts w:ascii="Arial" w:hAnsi="Arial" w:cs="Arial"/>
          <w:i/>
          <w:iCs/>
          <w:color w:val="000000"/>
        </w:rPr>
        <w:t xml:space="preserve"> Sisters </w:t>
      </w:r>
      <w:r>
        <w:rPr>
          <w:rFonts w:ascii="Arial" w:hAnsi="Arial" w:cs="Arial"/>
          <w:color w:val="000000"/>
        </w:rPr>
        <w:t xml:space="preserve">helps to illustrate, viewing ourselves as interconnected in a broader context of the </w:t>
      </w:r>
      <w:proofErr w:type="spellStart"/>
      <w:r>
        <w:rPr>
          <w:rFonts w:ascii="Arial" w:hAnsi="Arial" w:cs="Arial"/>
          <w:color w:val="000000"/>
        </w:rPr>
        <w:t>Chthulucene</w:t>
      </w:r>
      <w:proofErr w:type="spellEnd"/>
      <w:r>
        <w:rPr>
          <w:rFonts w:ascii="Arial" w:hAnsi="Arial" w:cs="Arial"/>
          <w:color w:val="000000"/>
        </w:rPr>
        <w:t xml:space="preserve"> could help us to decentre ourselves as the protagonists of history, seeing the rest of the world not as a backdrop for the narrative of human exploits, and a separate entity for human exploitation, but as co-existent and </w:t>
      </w:r>
      <w:r w:rsidR="00616A6D">
        <w:rPr>
          <w:rFonts w:ascii="Arial" w:hAnsi="Arial" w:cs="Arial"/>
          <w:color w:val="000000"/>
        </w:rPr>
        <w:t>co-dependent</w:t>
      </w:r>
      <w:r>
        <w:rPr>
          <w:rFonts w:ascii="Arial" w:hAnsi="Arial" w:cs="Arial"/>
          <w:color w:val="000000"/>
        </w:rPr>
        <w:t xml:space="preserve"> life. Consequently, following the example of the eponymous </w:t>
      </w:r>
      <w:proofErr w:type="spellStart"/>
      <w:r>
        <w:rPr>
          <w:rFonts w:ascii="Arial" w:hAnsi="Arial" w:cs="Arial"/>
          <w:color w:val="000000"/>
        </w:rPr>
        <w:t>wyrd</w:t>
      </w:r>
      <w:proofErr w:type="spellEnd"/>
      <w:r>
        <w:rPr>
          <w:rFonts w:ascii="Arial" w:hAnsi="Arial" w:cs="Arial"/>
          <w:color w:val="000000"/>
        </w:rPr>
        <w:t xml:space="preserve"> sisters, we might envision our future as one of interconnected precarity within our environment, in which we respect the rest of the world and our responsibility within it. </w:t>
      </w:r>
    </w:p>
    <w:p w14:paraId="3A13F72E" w14:textId="77777777" w:rsidR="00B06DA4" w:rsidRDefault="00B06DA4" w:rsidP="00B06DA4"/>
    <w:p w14:paraId="2AFE6984" w14:textId="77777777" w:rsidR="00B06DA4" w:rsidRDefault="00B06DA4" w:rsidP="00B06DA4">
      <w:pPr>
        <w:pStyle w:val="NormalWeb"/>
        <w:spacing w:before="0" w:beforeAutospacing="0" w:after="0" w:afterAutospacing="0" w:line="480" w:lineRule="auto"/>
      </w:pPr>
      <w:r>
        <w:rPr>
          <w:rFonts w:ascii="Arial" w:hAnsi="Arial" w:cs="Arial"/>
          <w:b/>
          <w:bCs/>
          <w:i/>
          <w:iCs/>
          <w:color w:val="000000"/>
        </w:rPr>
        <w:t>The Night Watch</w:t>
      </w:r>
      <w:r>
        <w:rPr>
          <w:rFonts w:ascii="Arial" w:hAnsi="Arial" w:cs="Arial"/>
          <w:b/>
          <w:bCs/>
          <w:color w:val="000000"/>
        </w:rPr>
        <w:t>, linear time, and expectation</w:t>
      </w:r>
    </w:p>
    <w:p w14:paraId="7D22C391" w14:textId="77777777" w:rsidR="00B06DA4" w:rsidRDefault="00B06DA4" w:rsidP="00B06DA4"/>
    <w:p w14:paraId="39B590FB"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lastRenderedPageBreak/>
        <w:t xml:space="preserve">In Hattie Naylor’s stage adaptation of Sarah </w:t>
      </w:r>
      <w:proofErr w:type="gramStart"/>
      <w:r>
        <w:rPr>
          <w:rFonts w:ascii="Arial" w:hAnsi="Arial" w:cs="Arial"/>
          <w:color w:val="000000"/>
        </w:rPr>
        <w:t>Waters’</w:t>
      </w:r>
      <w:proofErr w:type="gramEnd"/>
      <w:r>
        <w:rPr>
          <w:rFonts w:ascii="Arial" w:hAnsi="Arial" w:cs="Arial"/>
          <w:color w:val="000000"/>
        </w:rPr>
        <w:t xml:space="preserve"> </w:t>
      </w:r>
      <w:r>
        <w:rPr>
          <w:rFonts w:ascii="Arial" w:hAnsi="Arial" w:cs="Arial"/>
          <w:i/>
          <w:iCs/>
          <w:color w:val="000000"/>
        </w:rPr>
        <w:t>The Night Watch</w:t>
      </w:r>
      <w:r>
        <w:rPr>
          <w:rFonts w:ascii="Arial" w:hAnsi="Arial" w:cs="Arial"/>
          <w:color w:val="000000"/>
        </w:rPr>
        <w:t>, time is deliberately taken out of sequence for the audience. The play begins with the character Kay talking directly to the audience, explaining how she prefers to watch films from the intermission onwards, watching the second act first, because she finds people’s pasts more interesting than their futures. The play then unfolds according to this logic, with what would normally be the first and second acts switched in order. There is also an additional scene that takes us back even earlier, ending the play at the ‘earliest’ point in the story. The date is projected onto the stage to orientate the audience. However, an audience member coming to this play fresh is likely not to immediately realise that the acts have been ‘switched.’ This ordering makes us question our approaches to narrative, and whether a ‘backwards’ play truly values the past more than the present.</w:t>
      </w:r>
    </w:p>
    <w:p w14:paraId="0587B80A"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The reverse ordering of the narrative reflects how Kay as a character is stuck in the past. As a queer woman, the war gave her the opportunity to find a place and value in society as an emergency response ambulance </w:t>
      </w:r>
      <w:proofErr w:type="gramStart"/>
      <w:r>
        <w:rPr>
          <w:rFonts w:ascii="Arial" w:hAnsi="Arial" w:cs="Arial"/>
          <w:color w:val="000000"/>
        </w:rPr>
        <w:t>worker, and</w:t>
      </w:r>
      <w:proofErr w:type="gramEnd"/>
      <w:r>
        <w:rPr>
          <w:rFonts w:ascii="Arial" w:hAnsi="Arial" w:cs="Arial"/>
          <w:color w:val="000000"/>
        </w:rPr>
        <w:t xml:space="preserve"> was also the time of her relationship with Helen. Her ‘future’ self</w:t>
      </w:r>
      <w:r w:rsidR="00596F72">
        <w:rPr>
          <w:rFonts w:ascii="Arial" w:hAnsi="Arial" w:cs="Arial"/>
          <w:color w:val="000000"/>
        </w:rPr>
        <w:t xml:space="preserve"> has lost </w:t>
      </w:r>
      <w:proofErr w:type="gramStart"/>
      <w:r w:rsidR="00596F72">
        <w:rPr>
          <w:rFonts w:ascii="Arial" w:hAnsi="Arial" w:cs="Arial"/>
          <w:color w:val="000000"/>
        </w:rPr>
        <w:t>all of</w:t>
      </w:r>
      <w:proofErr w:type="gramEnd"/>
      <w:r w:rsidR="00596F72">
        <w:rPr>
          <w:rFonts w:ascii="Arial" w:hAnsi="Arial" w:cs="Arial"/>
          <w:color w:val="000000"/>
        </w:rPr>
        <w:t xml:space="preserve"> these things. Therefore b</w:t>
      </w:r>
      <w:r>
        <w:rPr>
          <w:rFonts w:ascii="Arial" w:hAnsi="Arial" w:cs="Arial"/>
          <w:color w:val="000000"/>
        </w:rPr>
        <w:t>y ‘reversing’ the order of the acts, the play questions our valuing of futurity over the past, and of the linear march of ‘progress.’</w:t>
      </w:r>
    </w:p>
    <w:p w14:paraId="42AC1CB8"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Mark Currie highlights how in Virginia Woolf’s </w:t>
      </w:r>
      <w:r>
        <w:rPr>
          <w:rFonts w:ascii="Arial" w:hAnsi="Arial" w:cs="Arial"/>
          <w:i/>
          <w:iCs/>
          <w:color w:val="000000"/>
        </w:rPr>
        <w:t>Mrs Dalloway</w:t>
      </w:r>
      <w:r w:rsidR="001177E7">
        <w:rPr>
          <w:rFonts w:ascii="Arial" w:hAnsi="Arial" w:cs="Arial"/>
          <w:color w:val="000000"/>
        </w:rPr>
        <w:t>, Clarissa’s memories</w:t>
      </w:r>
      <w:r>
        <w:rPr>
          <w:rFonts w:ascii="Arial" w:hAnsi="Arial" w:cs="Arial"/>
          <w:color w:val="000000"/>
        </w:rPr>
        <w:t xml:space="preserve"> </w:t>
      </w:r>
      <w:r w:rsidR="001177E7">
        <w:rPr>
          <w:rFonts w:ascii="Arial" w:hAnsi="Arial" w:cs="Arial"/>
          <w:color w:val="000000"/>
        </w:rPr>
        <w:t>are</w:t>
      </w:r>
      <w:r>
        <w:rPr>
          <w:rFonts w:ascii="Arial" w:hAnsi="Arial" w:cs="Arial"/>
          <w:color w:val="000000"/>
        </w:rPr>
        <w:t xml:space="preserve"> ‘dependent’ on ‘the reconstruction of their chronological order’ in</w:t>
      </w:r>
      <w:r w:rsidR="00BE04E9">
        <w:rPr>
          <w:rFonts w:ascii="Arial" w:hAnsi="Arial" w:cs="Arial"/>
          <w:color w:val="000000"/>
        </w:rPr>
        <w:t xml:space="preserve"> order to be ‘</w:t>
      </w:r>
      <w:proofErr w:type="spellStart"/>
      <w:r w:rsidR="00BE04E9">
        <w:rPr>
          <w:rFonts w:ascii="Arial" w:hAnsi="Arial" w:cs="Arial"/>
          <w:color w:val="000000"/>
        </w:rPr>
        <w:t>intellligibl</w:t>
      </w:r>
      <w:proofErr w:type="spellEnd"/>
      <w:r w:rsidR="00BE04E9">
        <w:rPr>
          <w:rFonts w:ascii="Arial" w:hAnsi="Arial" w:cs="Arial"/>
          <w:color w:val="000000"/>
        </w:rPr>
        <w:t>[e],’</w:t>
      </w:r>
      <w:r>
        <w:rPr>
          <w:rFonts w:ascii="Arial" w:hAnsi="Arial" w:cs="Arial"/>
          <w:color w:val="000000"/>
        </w:rPr>
        <w:t xml:space="preserve"> and therefore ‘[t]he representation of memory… does nothing to question the forward movement of time’ (“Inner and Outer” 78). Similarly, </w:t>
      </w:r>
      <w:r>
        <w:rPr>
          <w:rFonts w:ascii="Arial" w:hAnsi="Arial" w:cs="Arial"/>
          <w:i/>
          <w:iCs/>
          <w:color w:val="000000"/>
        </w:rPr>
        <w:t>The Night Watch</w:t>
      </w:r>
      <w:r>
        <w:rPr>
          <w:rFonts w:ascii="Arial" w:hAnsi="Arial" w:cs="Arial"/>
          <w:color w:val="000000"/>
        </w:rPr>
        <w:t xml:space="preserve"> does not challenge the idea of the linear progression of time. The reversal of the acts is a clear conceit, once you have passed the interval, and despite this reversal the acts still work to tell a chronological story. While the play’s structure may </w:t>
      </w:r>
      <w:r>
        <w:rPr>
          <w:rFonts w:ascii="Arial" w:hAnsi="Arial" w:cs="Arial"/>
          <w:color w:val="000000"/>
        </w:rPr>
        <w:lastRenderedPageBreak/>
        <w:t>challenge the idea that a character’s future is more important than their past, we are still approaching their pasts with the objective of understanding their futures. We understand the play as a chronological narrative.</w:t>
      </w:r>
    </w:p>
    <w:p w14:paraId="5FD68473"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However, </w:t>
      </w:r>
      <w:r>
        <w:rPr>
          <w:rFonts w:ascii="Arial" w:hAnsi="Arial" w:cs="Arial"/>
          <w:i/>
          <w:iCs/>
          <w:color w:val="000000"/>
        </w:rPr>
        <w:t>The Night Watch</w:t>
      </w:r>
      <w:r>
        <w:rPr>
          <w:rFonts w:ascii="Arial" w:hAnsi="Arial" w:cs="Arial"/>
          <w:color w:val="000000"/>
        </w:rPr>
        <w:t xml:space="preserve"> does contain </w:t>
      </w:r>
      <w:r w:rsidR="003C1C3B">
        <w:rPr>
          <w:rFonts w:ascii="Arial" w:hAnsi="Arial" w:cs="Arial"/>
          <w:color w:val="000000"/>
        </w:rPr>
        <w:t xml:space="preserve">a </w:t>
      </w:r>
      <w:r>
        <w:rPr>
          <w:rFonts w:ascii="Arial" w:hAnsi="Arial" w:cs="Arial"/>
          <w:color w:val="000000"/>
        </w:rPr>
        <w:t xml:space="preserve">subtle </w:t>
      </w:r>
      <w:r w:rsidR="003C1C3B">
        <w:rPr>
          <w:rFonts w:ascii="Arial" w:hAnsi="Arial" w:cs="Arial"/>
          <w:color w:val="000000"/>
        </w:rPr>
        <w:t>subversiveness</w:t>
      </w:r>
      <w:r>
        <w:rPr>
          <w:rFonts w:ascii="Arial" w:hAnsi="Arial" w:cs="Arial"/>
          <w:color w:val="000000"/>
        </w:rPr>
        <w:t xml:space="preserve">. </w:t>
      </w:r>
      <w:r>
        <w:rPr>
          <w:rFonts w:ascii="Arial" w:hAnsi="Arial" w:cs="Arial"/>
          <w:i/>
          <w:iCs/>
          <w:color w:val="000000"/>
        </w:rPr>
        <w:t>The Night Watch</w:t>
      </w:r>
      <w:r>
        <w:rPr>
          <w:rFonts w:ascii="Arial" w:hAnsi="Arial" w:cs="Arial"/>
          <w:color w:val="000000"/>
        </w:rPr>
        <w:t xml:space="preserve"> is ostensibly a mostly naturalistic piece of drama set in the archaic time of World War Two and post-War England. As a result, we might expect </w:t>
      </w:r>
      <w:r w:rsidR="00FF13F7">
        <w:rPr>
          <w:rFonts w:ascii="Arial" w:hAnsi="Arial" w:cs="Arial"/>
          <w:color w:val="000000"/>
        </w:rPr>
        <w:t xml:space="preserve">the play to be </w:t>
      </w:r>
      <w:r>
        <w:rPr>
          <w:rFonts w:ascii="Arial" w:hAnsi="Arial" w:cs="Arial"/>
          <w:color w:val="000000"/>
        </w:rPr>
        <w:t xml:space="preserve">conservative in its formal choices and its storytelling. However, </w:t>
      </w:r>
      <w:r>
        <w:rPr>
          <w:rFonts w:ascii="Arial" w:hAnsi="Arial" w:cs="Arial"/>
          <w:i/>
          <w:iCs/>
          <w:color w:val="000000"/>
        </w:rPr>
        <w:t>The Night Watch</w:t>
      </w:r>
      <w:r>
        <w:rPr>
          <w:rFonts w:ascii="Arial" w:hAnsi="Arial" w:cs="Arial"/>
          <w:color w:val="000000"/>
        </w:rPr>
        <w:t xml:space="preserve"> plays with our expectations in both instances. The show takes a time period often regarded in the popular imagination as a conservative time of heterosexual </w:t>
      </w:r>
      <w:proofErr w:type="gramStart"/>
      <w:r>
        <w:rPr>
          <w:rFonts w:ascii="Arial" w:hAnsi="Arial" w:cs="Arial"/>
          <w:color w:val="000000"/>
        </w:rPr>
        <w:t>narratives, and</w:t>
      </w:r>
      <w:proofErr w:type="gramEnd"/>
      <w:r>
        <w:rPr>
          <w:rFonts w:ascii="Arial" w:hAnsi="Arial" w:cs="Arial"/>
          <w:color w:val="000000"/>
        </w:rPr>
        <w:t xml:space="preserve"> chooses to explore the stories of queer characters. I</w:t>
      </w:r>
      <w:r w:rsidR="003C1C3B">
        <w:rPr>
          <w:rFonts w:ascii="Arial" w:hAnsi="Arial" w:cs="Arial"/>
          <w:color w:val="000000"/>
        </w:rPr>
        <w:t>ndeed, i</w:t>
      </w:r>
      <w:r>
        <w:rPr>
          <w:rFonts w:ascii="Arial" w:hAnsi="Arial" w:cs="Arial"/>
          <w:color w:val="000000"/>
        </w:rPr>
        <w:t xml:space="preserve">t presents us with a familiar formula, and then includes a difference that is both subtle and pivotal, making us question our expectations for the period setting. Equally, reversing the acts makes it obvious that the time of the play has been manipulated, unsettling our expectations further. It makes us wonder who is telling this </w:t>
      </w:r>
      <w:proofErr w:type="gramStart"/>
      <w:r>
        <w:rPr>
          <w:rFonts w:ascii="Arial" w:hAnsi="Arial" w:cs="Arial"/>
          <w:color w:val="000000"/>
        </w:rPr>
        <w:t>story, and</w:t>
      </w:r>
      <w:proofErr w:type="gramEnd"/>
      <w:r>
        <w:rPr>
          <w:rFonts w:ascii="Arial" w:hAnsi="Arial" w:cs="Arial"/>
          <w:color w:val="000000"/>
        </w:rPr>
        <w:t xml:space="preserve"> arranging these events for our viewing. On one level perhaps it is Kat, as the reverse structure reflects her initial comments. On another level this unconventional structure breaks through our theatrical illusions to remind us that we are not experiencing reality but watching a piece of theatre. It draws attention to how all theatre is a manipulation of time, and there is no one ‘true’ representation of events. Therefore, while quiet, the </w:t>
      </w:r>
      <w:r w:rsidR="005B37B5">
        <w:rPr>
          <w:rFonts w:ascii="Arial" w:hAnsi="Arial" w:cs="Arial"/>
          <w:color w:val="000000"/>
        </w:rPr>
        <w:t>subversiveness</w:t>
      </w:r>
      <w:r>
        <w:rPr>
          <w:rFonts w:ascii="Arial" w:hAnsi="Arial" w:cs="Arial"/>
          <w:color w:val="000000"/>
        </w:rPr>
        <w:t xml:space="preserve"> of </w:t>
      </w:r>
      <w:r>
        <w:rPr>
          <w:rFonts w:ascii="Arial" w:hAnsi="Arial" w:cs="Arial"/>
          <w:i/>
          <w:iCs/>
          <w:color w:val="000000"/>
        </w:rPr>
        <w:t>The Night Watch</w:t>
      </w:r>
      <w:r>
        <w:rPr>
          <w:rFonts w:ascii="Arial" w:hAnsi="Arial" w:cs="Arial"/>
          <w:color w:val="000000"/>
        </w:rPr>
        <w:t xml:space="preserve"> fundamentally challenges our perceptions of the</w:t>
      </w:r>
      <w:r w:rsidR="005B37B5">
        <w:rPr>
          <w:rFonts w:ascii="Arial" w:hAnsi="Arial" w:cs="Arial"/>
          <w:color w:val="000000"/>
        </w:rPr>
        <w:t xml:space="preserve"> temporal</w:t>
      </w:r>
      <w:r>
        <w:rPr>
          <w:rFonts w:ascii="Arial" w:hAnsi="Arial" w:cs="Arial"/>
          <w:color w:val="000000"/>
        </w:rPr>
        <w:t xml:space="preserve"> ‘norm’ </w:t>
      </w:r>
      <w:proofErr w:type="gramStart"/>
      <w:r>
        <w:rPr>
          <w:rFonts w:ascii="Arial" w:hAnsi="Arial" w:cs="Arial"/>
          <w:color w:val="000000"/>
        </w:rPr>
        <w:t>in regards to</w:t>
      </w:r>
      <w:proofErr w:type="gramEnd"/>
      <w:r>
        <w:rPr>
          <w:rFonts w:ascii="Arial" w:hAnsi="Arial" w:cs="Arial"/>
          <w:color w:val="000000"/>
        </w:rPr>
        <w:t xml:space="preserve"> both period and form.</w:t>
      </w:r>
    </w:p>
    <w:p w14:paraId="43A4262A" w14:textId="77777777" w:rsidR="00B06DA4" w:rsidRDefault="00B06DA4" w:rsidP="00B06DA4"/>
    <w:p w14:paraId="0B58F2CD" w14:textId="77777777" w:rsidR="00B06DA4" w:rsidRDefault="00B06DA4" w:rsidP="00B06DA4">
      <w:pPr>
        <w:pStyle w:val="NormalWeb"/>
        <w:spacing w:before="0" w:beforeAutospacing="0" w:after="0" w:afterAutospacing="0" w:line="480" w:lineRule="auto"/>
      </w:pPr>
      <w:r>
        <w:rPr>
          <w:rFonts w:ascii="Arial" w:hAnsi="Arial" w:cs="Arial"/>
          <w:b/>
          <w:bCs/>
          <w:color w:val="000000"/>
        </w:rPr>
        <w:t>Ghosts and the road to Wales</w:t>
      </w:r>
    </w:p>
    <w:p w14:paraId="6E675845" w14:textId="77777777" w:rsidR="00B06DA4" w:rsidRDefault="00B06DA4" w:rsidP="00B06DA4"/>
    <w:p w14:paraId="0DB238F2"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lastRenderedPageBreak/>
        <w:t>Since I was born, my family has travelled almost the exact same route to visit my aunt and her family on a farm near Aberystwyth, Wales. Having repeated this journey so many times over so many years, it has taken on additional temporal qualities for me. In a conventional sense, the car travels along a linear road towards its destination, mirroring my experience of travelling forwards through time. However, the road also sparks memories of previous trips, pockets of time that I pass through on each journey. These memories overlay and blend together like parts in a song. Sometimes they are harmonious, as in the case of our ritual I-spy games, where many repetitions blur together to make one larger memory of the tradition. Other memories stand out as discordant to the whole. The first time I travelled to Wales for a funeral service the journey felt detached from previous times. Our focus was on getting there as quickly as possible, with the journey that I usually savoured becoming just a time of transit to get out of the way. This journey was also emotionally distinct,</w:t>
      </w:r>
      <w:r w:rsidR="00ED2CB7">
        <w:rPr>
          <w:rFonts w:ascii="Arial" w:hAnsi="Arial" w:cs="Arial"/>
          <w:color w:val="000000"/>
        </w:rPr>
        <w:t xml:space="preserve"> the more sombre tone</w:t>
      </w:r>
      <w:r>
        <w:rPr>
          <w:rFonts w:ascii="Arial" w:hAnsi="Arial" w:cs="Arial"/>
          <w:color w:val="000000"/>
        </w:rPr>
        <w:t xml:space="preserve"> clashing with its usual meditative, relaxed feeling. Additionally, some memories that I pass through on the journey coexist without merging. There is one bend in the road where I remember three distinct journeys simultaneously: I remember myself listening to a particular episode of a podcast, listening to a particular song, and on another occasion singing with my mother. This kind of overlay can be the most curious, as these multiple journeys are held simultaneously and distinctly in my mind, like being able to recognise three very similar but distinct melodies all at once.</w:t>
      </w:r>
    </w:p>
    <w:p w14:paraId="093F425B"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 xml:space="preserve">Jacques Derrida wrote that ‘a ghost never </w:t>
      </w:r>
      <w:proofErr w:type="gramStart"/>
      <w:r>
        <w:rPr>
          <w:rFonts w:ascii="Arial" w:hAnsi="Arial" w:cs="Arial"/>
          <w:color w:val="000000"/>
        </w:rPr>
        <w:t>dies,</w:t>
      </w:r>
      <w:proofErr w:type="gramEnd"/>
      <w:r>
        <w:rPr>
          <w:rFonts w:ascii="Arial" w:hAnsi="Arial" w:cs="Arial"/>
          <w:color w:val="000000"/>
        </w:rPr>
        <w:t xml:space="preserve"> it remains always to come and to come-back’ (99). His essay explores the idea of communism as a ‘</w:t>
      </w:r>
      <w:proofErr w:type="spellStart"/>
      <w:r>
        <w:rPr>
          <w:rFonts w:ascii="Arial" w:hAnsi="Arial" w:cs="Arial"/>
          <w:color w:val="000000"/>
        </w:rPr>
        <w:t>specter</w:t>
      </w:r>
      <w:proofErr w:type="spellEnd"/>
      <w:r>
        <w:rPr>
          <w:rFonts w:ascii="Arial" w:hAnsi="Arial" w:cs="Arial"/>
          <w:color w:val="000000"/>
        </w:rPr>
        <w:t>,’ something that returns to haunt us (Derrida 99). For Derrida, this ‘</w:t>
      </w:r>
      <w:proofErr w:type="spellStart"/>
      <w:r>
        <w:rPr>
          <w:rFonts w:ascii="Arial" w:hAnsi="Arial" w:cs="Arial"/>
          <w:color w:val="000000"/>
        </w:rPr>
        <w:t>sp</w:t>
      </w:r>
      <w:r w:rsidR="00D46965">
        <w:rPr>
          <w:rFonts w:ascii="Arial" w:hAnsi="Arial" w:cs="Arial"/>
          <w:color w:val="000000"/>
        </w:rPr>
        <w:t>ecter</w:t>
      </w:r>
      <w:proofErr w:type="spellEnd"/>
      <w:r w:rsidR="00D46965">
        <w:rPr>
          <w:rFonts w:ascii="Arial" w:hAnsi="Arial" w:cs="Arial"/>
          <w:color w:val="000000"/>
        </w:rPr>
        <w:t>’ of communism is the ghost</w:t>
      </w:r>
      <w:r>
        <w:rPr>
          <w:rFonts w:ascii="Arial" w:hAnsi="Arial" w:cs="Arial"/>
          <w:color w:val="000000"/>
        </w:rPr>
        <w:t xml:space="preserve"> of something that has not happened </w:t>
      </w:r>
      <w:proofErr w:type="gramStart"/>
      <w:r>
        <w:rPr>
          <w:rFonts w:ascii="Arial" w:hAnsi="Arial" w:cs="Arial"/>
          <w:color w:val="000000"/>
        </w:rPr>
        <w:t>yet, and</w:t>
      </w:r>
      <w:proofErr w:type="gramEnd"/>
      <w:r>
        <w:rPr>
          <w:rFonts w:ascii="Arial" w:hAnsi="Arial" w:cs="Arial"/>
          <w:color w:val="000000"/>
        </w:rPr>
        <w:t xml:space="preserve"> may never </w:t>
      </w:r>
      <w:r>
        <w:rPr>
          <w:rFonts w:ascii="Arial" w:hAnsi="Arial" w:cs="Arial"/>
          <w:color w:val="000000"/>
        </w:rPr>
        <w:lastRenderedPageBreak/>
        <w:t xml:space="preserve">happen (Derrida 99). Similarly, there is a kind of certainty to this journey to Wales that not only connects me to the ritual of past journeys but also anticipates future similitude. Indeed, the one time I travelled to Wales by train was an unsettling experience. I travelled alone, and naturally the train took a completely different route to our normal one. When I arrived, I felt uprooted and disoriented. The ritualistic time spent in the car is a time spent with family, connecting us together through the ‘ghosts’ of so many previous journeys. Moreover, its repetitions over the years have created a time so comfortable and familiar that it has become meditative. This familiarity and connection were broken when I took a different, solitary journey. Perhaps these times spent on the road are </w:t>
      </w:r>
      <w:proofErr w:type="gramStart"/>
      <w:r>
        <w:rPr>
          <w:rFonts w:ascii="Arial" w:hAnsi="Arial" w:cs="Arial"/>
          <w:color w:val="000000"/>
        </w:rPr>
        <w:t>actually my</w:t>
      </w:r>
      <w:proofErr w:type="gramEnd"/>
      <w:r>
        <w:rPr>
          <w:rFonts w:ascii="Arial" w:hAnsi="Arial" w:cs="Arial"/>
          <w:color w:val="000000"/>
        </w:rPr>
        <w:t xml:space="preserve"> favourite part of my visits to Wales. Unlike where we go and what we do when we arrive, the journeys almost always keep a comfortable, ritual uniformity, flexible enough to accommodate for slight variations but </w:t>
      </w:r>
      <w:proofErr w:type="gramStart"/>
      <w:r>
        <w:rPr>
          <w:rFonts w:ascii="Arial" w:hAnsi="Arial" w:cs="Arial"/>
          <w:color w:val="000000"/>
        </w:rPr>
        <w:t>familiar</w:t>
      </w:r>
      <w:proofErr w:type="gramEnd"/>
      <w:r>
        <w:rPr>
          <w:rFonts w:ascii="Arial" w:hAnsi="Arial" w:cs="Arial"/>
          <w:color w:val="000000"/>
        </w:rPr>
        <w:t xml:space="preserve"> nonetheless. Each new journey is a ‘ghost’ of journeys I have taken </w:t>
      </w:r>
      <w:proofErr w:type="gramStart"/>
      <w:r>
        <w:rPr>
          <w:rFonts w:ascii="Arial" w:hAnsi="Arial" w:cs="Arial"/>
          <w:color w:val="000000"/>
        </w:rPr>
        <w:t>before, and</w:t>
      </w:r>
      <w:proofErr w:type="gramEnd"/>
      <w:r>
        <w:rPr>
          <w:rFonts w:ascii="Arial" w:hAnsi="Arial" w:cs="Arial"/>
          <w:color w:val="000000"/>
        </w:rPr>
        <w:t xml:space="preserve"> is also a ‘ghost’ of journeys yet to come. In this way, it acts as a validation of my history, and a reassuring prediction of my continued existence</w:t>
      </w:r>
      <w:r w:rsidR="000523E9">
        <w:rPr>
          <w:rFonts w:ascii="Arial" w:hAnsi="Arial" w:cs="Arial"/>
          <w:color w:val="000000"/>
        </w:rPr>
        <w:t xml:space="preserve"> in the future</w:t>
      </w:r>
      <w:r>
        <w:rPr>
          <w:rFonts w:ascii="Arial" w:hAnsi="Arial" w:cs="Arial"/>
          <w:color w:val="000000"/>
        </w:rPr>
        <w:t>.</w:t>
      </w:r>
    </w:p>
    <w:p w14:paraId="5AE15780" w14:textId="77777777" w:rsidR="00B06DA4" w:rsidRDefault="00B06DA4" w:rsidP="00B06DA4"/>
    <w:p w14:paraId="11E6BD6B" w14:textId="77777777" w:rsidR="00B06DA4" w:rsidRDefault="00B06DA4" w:rsidP="00B06DA4">
      <w:pPr>
        <w:pStyle w:val="NormalWeb"/>
        <w:spacing w:before="0" w:beforeAutospacing="0" w:after="0" w:afterAutospacing="0" w:line="480" w:lineRule="auto"/>
      </w:pPr>
      <w:r>
        <w:rPr>
          <w:rFonts w:ascii="Arial" w:hAnsi="Arial" w:cs="Arial"/>
          <w:b/>
          <w:bCs/>
          <w:i/>
          <w:iCs/>
          <w:color w:val="000000"/>
        </w:rPr>
        <w:t>All of Me</w:t>
      </w:r>
      <w:r>
        <w:rPr>
          <w:rFonts w:ascii="Arial" w:hAnsi="Arial" w:cs="Arial"/>
          <w:b/>
          <w:bCs/>
          <w:color w:val="000000"/>
        </w:rPr>
        <w:t>, mental ‘illness,’ and time</w:t>
      </w:r>
    </w:p>
    <w:p w14:paraId="5BFD6545" w14:textId="77777777" w:rsidR="00B06DA4" w:rsidRDefault="00B06DA4" w:rsidP="00B06DA4"/>
    <w:p w14:paraId="2322F923" w14:textId="77777777" w:rsidR="00B06DA4" w:rsidRDefault="00B06DA4" w:rsidP="00B06DA4">
      <w:pPr>
        <w:pStyle w:val="NormalWeb"/>
        <w:spacing w:before="0" w:beforeAutospacing="0" w:after="0" w:afterAutospacing="0" w:line="480" w:lineRule="auto"/>
      </w:pPr>
      <w:r>
        <w:rPr>
          <w:rFonts w:ascii="Arial" w:hAnsi="Arial" w:cs="Arial"/>
          <w:color w:val="000000"/>
        </w:rPr>
        <w:t xml:space="preserve">In Caroline Horton’s semi-autobiographical, one-woman play </w:t>
      </w:r>
      <w:r>
        <w:rPr>
          <w:rFonts w:ascii="Arial" w:hAnsi="Arial" w:cs="Arial"/>
          <w:i/>
          <w:iCs/>
          <w:color w:val="000000"/>
        </w:rPr>
        <w:t>All of Me</w:t>
      </w:r>
      <w:r>
        <w:rPr>
          <w:rFonts w:ascii="Arial" w:hAnsi="Arial" w:cs="Arial"/>
          <w:color w:val="000000"/>
        </w:rPr>
        <w:t>, Horton explores the radical temporal possibility of mental ‘illness’ as an ant</w:t>
      </w:r>
      <w:r w:rsidR="005B4768">
        <w:rPr>
          <w:rFonts w:ascii="Arial" w:hAnsi="Arial" w:cs="Arial"/>
          <w:color w:val="000000"/>
        </w:rPr>
        <w:t xml:space="preserve">idote to the normative time of </w:t>
      </w:r>
      <w:r w:rsidR="000E5A5A">
        <w:rPr>
          <w:rFonts w:ascii="Arial" w:hAnsi="Arial" w:cs="Arial"/>
          <w:color w:val="000000"/>
        </w:rPr>
        <w:t>late</w:t>
      </w:r>
      <w:r>
        <w:rPr>
          <w:rFonts w:ascii="Arial" w:hAnsi="Arial" w:cs="Arial"/>
          <w:color w:val="000000"/>
        </w:rPr>
        <w:t xml:space="preserve"> capitalism. The play uses a mythic structure, with time taking on a surreal quality. Horton’s eponymous character, after years of ignoring the calls of her Shadow-sister from the underworld, is barely able to crawl through her life in the land of the living. Consequently, she journeys down to the underworld to visit her </w:t>
      </w:r>
      <w:r>
        <w:rPr>
          <w:rFonts w:ascii="Arial" w:hAnsi="Arial" w:cs="Arial"/>
          <w:color w:val="000000"/>
        </w:rPr>
        <w:lastRenderedPageBreak/>
        <w:t>Shadow-sister. When she arrives, the Shadow-sister immediately kills her for her neglect. However, released from the time of the land of the living, the corpse of Horton’s dead character begins to heal, until she is alive once more. The two sisters then agree to meet more often, to prevent a repeat of this process.</w:t>
      </w:r>
    </w:p>
    <w:p w14:paraId="0FBC6ADE"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The time of the living world, with its constant forward movement, was killing the living sister. In his book </w:t>
      </w:r>
      <w:r>
        <w:rPr>
          <w:rFonts w:ascii="Arial" w:hAnsi="Arial" w:cs="Arial"/>
          <w:i/>
          <w:iCs/>
          <w:color w:val="000000"/>
        </w:rPr>
        <w:t>24/7: Late Capitalism and the Ends of Sleep</w:t>
      </w:r>
      <w:r>
        <w:rPr>
          <w:rFonts w:ascii="Arial" w:hAnsi="Arial" w:cs="Arial"/>
          <w:color w:val="000000"/>
        </w:rPr>
        <w:t xml:space="preserve">, Jonathan </w:t>
      </w:r>
      <w:proofErr w:type="spellStart"/>
      <w:r>
        <w:rPr>
          <w:rFonts w:ascii="Arial" w:hAnsi="Arial" w:cs="Arial"/>
          <w:color w:val="000000"/>
        </w:rPr>
        <w:t>Crary</w:t>
      </w:r>
      <w:proofErr w:type="spellEnd"/>
      <w:r>
        <w:rPr>
          <w:rFonts w:ascii="Arial" w:hAnsi="Arial" w:cs="Arial"/>
          <w:color w:val="000000"/>
        </w:rPr>
        <w:t xml:space="preserve"> argues that sleep is being ‘wrecked and despoiled’ in the pursuit of 24/7 capitalism (17). Indeed, he highlights the enormous toll of that this attack on sleep has on human wellbeing, stating that</w:t>
      </w:r>
    </w:p>
    <w:p w14:paraId="4A5C6E23" w14:textId="77777777" w:rsidR="00B06DA4" w:rsidRDefault="00B06DA4" w:rsidP="00B06DA4"/>
    <w:p w14:paraId="56FA03FD" w14:textId="77777777" w:rsidR="00B06DA4" w:rsidRDefault="00B06DA4" w:rsidP="00B06DA4">
      <w:pPr>
        <w:pStyle w:val="NormalWeb"/>
        <w:spacing w:before="0" w:beforeAutospacing="0" w:after="0" w:afterAutospacing="0" w:line="480" w:lineRule="auto"/>
        <w:ind w:left="720"/>
      </w:pPr>
      <w:r>
        <w:rPr>
          <w:rFonts w:ascii="Arial" w:hAnsi="Arial" w:cs="Arial"/>
          <w:color w:val="000000"/>
        </w:rPr>
        <w:t>Sleeplessness is the state in which producing, consuming, and discarding occur without pause, hastening the exhaustion of life and the depletion of resources. (</w:t>
      </w:r>
      <w:proofErr w:type="spellStart"/>
      <w:r>
        <w:rPr>
          <w:rFonts w:ascii="Arial" w:hAnsi="Arial" w:cs="Arial"/>
          <w:color w:val="000000"/>
        </w:rPr>
        <w:t>Crary</w:t>
      </w:r>
      <w:proofErr w:type="spellEnd"/>
      <w:r>
        <w:rPr>
          <w:rFonts w:ascii="Arial" w:hAnsi="Arial" w:cs="Arial"/>
          <w:color w:val="000000"/>
        </w:rPr>
        <w:t xml:space="preserve"> 17)</w:t>
      </w:r>
    </w:p>
    <w:p w14:paraId="5077E17E" w14:textId="77777777" w:rsidR="00B06DA4" w:rsidRDefault="00B06DA4" w:rsidP="00B06DA4"/>
    <w:p w14:paraId="22127DC9" w14:textId="77777777" w:rsidR="00B06DA4" w:rsidRDefault="00B06DA4" w:rsidP="00B06DA4">
      <w:pPr>
        <w:pStyle w:val="NormalWeb"/>
        <w:spacing w:before="0" w:beforeAutospacing="0" w:after="0" w:afterAutospacing="0" w:line="480" w:lineRule="auto"/>
      </w:pPr>
      <w:r>
        <w:rPr>
          <w:rFonts w:ascii="Arial" w:hAnsi="Arial" w:cs="Arial"/>
          <w:color w:val="000000"/>
        </w:rPr>
        <w:t>In a similar way, Horton critiques the damaging effects of the late capitalist time of continuous productivity on our mental health. The Shadow-sister names it ‘Jolly Penguin time,’ after the Jolly Penguin Ride game:</w:t>
      </w:r>
    </w:p>
    <w:p w14:paraId="3A7047C9" w14:textId="77777777" w:rsidR="00B06DA4" w:rsidRDefault="00B06DA4" w:rsidP="00B06DA4"/>
    <w:p w14:paraId="007EB39A" w14:textId="77777777" w:rsidR="00B06DA4" w:rsidRDefault="00B06DA4" w:rsidP="00B06DA4">
      <w:pPr>
        <w:pStyle w:val="NormalWeb"/>
        <w:spacing w:before="0" w:beforeAutospacing="0" w:after="0" w:afterAutospacing="0" w:line="480" w:lineRule="auto"/>
        <w:ind w:left="720"/>
      </w:pPr>
      <w:r>
        <w:rPr>
          <w:rFonts w:ascii="Arial" w:hAnsi="Arial" w:cs="Arial"/>
          <w:color w:val="000000"/>
        </w:rPr>
        <w:t xml:space="preserve">‘Climb the stairs’ they say ‘Bravo! You’re at the top - bravo! Now what? </w:t>
      </w:r>
      <w:proofErr w:type="gramStart"/>
      <w:r>
        <w:rPr>
          <w:rFonts w:ascii="Arial" w:hAnsi="Arial" w:cs="Arial"/>
          <w:color w:val="000000"/>
        </w:rPr>
        <w:t>Oh</w:t>
      </w:r>
      <w:proofErr w:type="gramEnd"/>
      <w:r>
        <w:rPr>
          <w:rFonts w:ascii="Arial" w:hAnsi="Arial" w:cs="Arial"/>
          <w:color w:val="000000"/>
        </w:rPr>
        <w:t xml:space="preserve"> now you go back down again - bravo! And again - bravo! Until your batteries run out and we bury you in the ground - bravo! Bury you, your shell, in the ground - bravo!’ (Horton 15)</w:t>
      </w:r>
    </w:p>
    <w:p w14:paraId="17BCDCA9" w14:textId="77777777" w:rsidR="00B06DA4" w:rsidRDefault="00B06DA4" w:rsidP="00B06DA4"/>
    <w:p w14:paraId="4369FE56" w14:textId="77777777" w:rsidR="00B06DA4" w:rsidRDefault="00B06DA4" w:rsidP="00B06DA4">
      <w:pPr>
        <w:pStyle w:val="NormalWeb"/>
        <w:spacing w:before="0" w:beforeAutospacing="0" w:after="0" w:afterAutospacing="0" w:line="480" w:lineRule="auto"/>
      </w:pPr>
      <w:r>
        <w:rPr>
          <w:rFonts w:ascii="Arial" w:hAnsi="Arial" w:cs="Arial"/>
          <w:color w:val="000000"/>
        </w:rPr>
        <w:t xml:space="preserve">Through her ironic congratulations, Horton ridicules our unquestioning attitude towards this repetitive, pointless, and exhausting cycle. She demonstrates how these values of speed and competitiveness are empty, as while they promise a teleological </w:t>
      </w:r>
      <w:r>
        <w:rPr>
          <w:rFonts w:ascii="Arial" w:hAnsi="Arial" w:cs="Arial"/>
          <w:color w:val="000000"/>
        </w:rPr>
        <w:lastRenderedPageBreak/>
        <w:t>narrative of success, they merely keep you running on a cyclical track. Horton therefore highlights how, ultimately, you cannot outrun death, breaking down the logic of Jolly Penguin Time and exposing the irrationality and fallacy of its claims.</w:t>
      </w:r>
    </w:p>
    <w:p w14:paraId="544EFE66" w14:textId="77777777" w:rsidR="00B06DA4" w:rsidRDefault="00B06DA4" w:rsidP="00B06DA4">
      <w:pPr>
        <w:pStyle w:val="NormalWeb"/>
        <w:spacing w:before="0" w:beforeAutospacing="0" w:after="0" w:afterAutospacing="0" w:line="480" w:lineRule="auto"/>
        <w:ind w:firstLine="720"/>
      </w:pPr>
      <w:r>
        <w:rPr>
          <w:rFonts w:ascii="Arial" w:hAnsi="Arial" w:cs="Arial"/>
          <w:color w:val="000000"/>
        </w:rPr>
        <w:t>Horton uses the underworld to explore an alternative mode of time. The Shadow-sister names it </w:t>
      </w:r>
    </w:p>
    <w:p w14:paraId="7582666B" w14:textId="77777777" w:rsidR="00B06DA4" w:rsidRDefault="00B06DA4" w:rsidP="00B06DA4"/>
    <w:p w14:paraId="26A00F22" w14:textId="77777777" w:rsidR="00B06DA4" w:rsidRDefault="00B06DA4" w:rsidP="00B06DA4">
      <w:pPr>
        <w:pStyle w:val="NormalWeb"/>
        <w:spacing w:before="0" w:beforeAutospacing="0" w:after="0" w:afterAutospacing="0" w:line="480" w:lineRule="auto"/>
        <w:ind w:left="720"/>
      </w:pPr>
      <w:r>
        <w:rPr>
          <w:rFonts w:ascii="Arial" w:hAnsi="Arial" w:cs="Arial"/>
          <w:color w:val="000000"/>
        </w:rPr>
        <w:t>ocean time, wild time, enough-time time, … mountain time, dark when it’s dark time, light when it’s light time, time with spaces time, time with enough time to breathe, … breath-time, instead of the race to the end. (Horton 17)</w:t>
      </w:r>
    </w:p>
    <w:p w14:paraId="6571535B" w14:textId="77777777" w:rsidR="00B06DA4" w:rsidRDefault="00B06DA4" w:rsidP="00B06DA4"/>
    <w:p w14:paraId="4797B941" w14:textId="77777777" w:rsidR="00B06DA4" w:rsidRDefault="00B06DA4" w:rsidP="00B06DA4">
      <w:pPr>
        <w:pStyle w:val="NormalWeb"/>
        <w:spacing w:before="0" w:beforeAutospacing="0" w:after="0" w:afterAutospacing="0" w:line="480" w:lineRule="auto"/>
      </w:pPr>
      <w:r>
        <w:rPr>
          <w:rFonts w:ascii="Arial" w:hAnsi="Arial" w:cs="Arial"/>
          <w:color w:val="000000"/>
        </w:rPr>
        <w:t xml:space="preserve">As the natural imagery and caesura suggest, this is a time of slowing down, of connecting to natural forces larger than ourselves, and of connecting to our own bodies. The time of the underworld operates in ostensibly </w:t>
      </w:r>
      <w:r w:rsidR="00B75C96">
        <w:rPr>
          <w:rFonts w:ascii="Arial" w:hAnsi="Arial" w:cs="Arial"/>
          <w:color w:val="000000"/>
        </w:rPr>
        <w:t>illogical</w:t>
      </w:r>
      <w:r>
        <w:rPr>
          <w:rFonts w:ascii="Arial" w:hAnsi="Arial" w:cs="Arial"/>
          <w:color w:val="000000"/>
        </w:rPr>
        <w:t xml:space="preserve"> ways, as the living sister can only begin to heal after the Shadow-sister has killed her. Indeed, this mode of time utilises a different kind of logic to that of the land of the living. The Shadow-sister calls on us to ‘refuse to succeed. … [to] fail, learn, accept surrender. Fail more profoundly still’ (Horton 17). Therefore this non-linear, counter-intuitive time embraces the regenerative powers of ‘fail[</w:t>
      </w:r>
      <w:proofErr w:type="spellStart"/>
      <w:r>
        <w:rPr>
          <w:rFonts w:ascii="Arial" w:hAnsi="Arial" w:cs="Arial"/>
          <w:color w:val="000000"/>
        </w:rPr>
        <w:t>ure</w:t>
      </w:r>
      <w:proofErr w:type="spellEnd"/>
      <w:r>
        <w:rPr>
          <w:rFonts w:ascii="Arial" w:hAnsi="Arial" w:cs="Arial"/>
          <w:color w:val="000000"/>
        </w:rPr>
        <w:t xml:space="preserve">]’ and dying, of slowness and stopping, of connecting to the natural rhythms of the world as the antidote to the damage of </w:t>
      </w:r>
      <w:r w:rsidR="00FE0E39">
        <w:rPr>
          <w:rFonts w:ascii="Arial" w:hAnsi="Arial" w:cs="Arial"/>
          <w:color w:val="000000"/>
        </w:rPr>
        <w:t xml:space="preserve">late capitalist </w:t>
      </w:r>
      <w:r>
        <w:rPr>
          <w:rFonts w:ascii="Arial" w:hAnsi="Arial" w:cs="Arial"/>
          <w:color w:val="000000"/>
        </w:rPr>
        <w:t>Jolly Penguin Time.</w:t>
      </w:r>
    </w:p>
    <w:p w14:paraId="22AABB5F" w14:textId="77777777" w:rsidR="00B06DA4" w:rsidRDefault="00B06DA4" w:rsidP="00B06DA4">
      <w:pPr>
        <w:pStyle w:val="NormalWeb"/>
        <w:spacing w:before="0" w:beforeAutospacing="0" w:after="0" w:afterAutospacing="0" w:line="480" w:lineRule="auto"/>
      </w:pPr>
      <w:r>
        <w:rPr>
          <w:rStyle w:val="apple-tab-span"/>
          <w:rFonts w:ascii="Arial" w:hAnsi="Arial" w:cs="Arial"/>
          <w:color w:val="000000"/>
        </w:rPr>
        <w:tab/>
      </w:r>
      <w:r>
        <w:rPr>
          <w:rFonts w:ascii="Arial" w:hAnsi="Arial" w:cs="Arial"/>
          <w:color w:val="000000"/>
        </w:rPr>
        <w:t xml:space="preserve">Moreover, in defiance of Jolly Penguin Time’s retribution narrative, Horton presents </w:t>
      </w:r>
      <w:r w:rsidR="00B94D02">
        <w:rPr>
          <w:rFonts w:ascii="Arial" w:hAnsi="Arial" w:cs="Arial"/>
          <w:color w:val="000000"/>
        </w:rPr>
        <w:t>Jolly Penguin Time</w:t>
      </w:r>
      <w:r w:rsidR="002F4499">
        <w:rPr>
          <w:rFonts w:ascii="Arial" w:hAnsi="Arial" w:cs="Arial"/>
          <w:color w:val="000000"/>
        </w:rPr>
        <w:t xml:space="preserve"> as part of a </w:t>
      </w:r>
      <w:r>
        <w:rPr>
          <w:rFonts w:ascii="Arial" w:hAnsi="Arial" w:cs="Arial"/>
          <w:color w:val="000000"/>
        </w:rPr>
        <w:t>mutually dependent</w:t>
      </w:r>
      <w:r w:rsidR="002F4499">
        <w:rPr>
          <w:rFonts w:ascii="Arial" w:hAnsi="Arial" w:cs="Arial"/>
          <w:color w:val="000000"/>
        </w:rPr>
        <w:t xml:space="preserve"> cycle with the time of the underworld</w:t>
      </w:r>
      <w:r>
        <w:rPr>
          <w:rFonts w:ascii="Arial" w:hAnsi="Arial" w:cs="Arial"/>
          <w:color w:val="000000"/>
        </w:rPr>
        <w:t>. She ends the play by stating </w:t>
      </w:r>
    </w:p>
    <w:p w14:paraId="0AE2ED4D" w14:textId="77777777" w:rsidR="00B06DA4" w:rsidRDefault="00B06DA4" w:rsidP="00B06DA4"/>
    <w:p w14:paraId="3EB668E2" w14:textId="77777777" w:rsidR="00B06DA4" w:rsidRDefault="00B06DA4" w:rsidP="00B06DA4">
      <w:pPr>
        <w:pStyle w:val="NormalWeb"/>
        <w:spacing w:before="0" w:beforeAutospacing="0" w:after="0" w:afterAutospacing="0" w:line="480" w:lineRule="auto"/>
        <w:ind w:left="720"/>
      </w:pPr>
      <w:r>
        <w:rPr>
          <w:rFonts w:ascii="Arial" w:hAnsi="Arial" w:cs="Arial"/>
          <w:color w:val="000000"/>
        </w:rPr>
        <w:lastRenderedPageBreak/>
        <w:t>it won’t always feel like this ... and then it will again and then it won’t again and then it will again and then it won’t again… and sometimes the sky will be lighter, and sometimes darker, and then lighter again... (Horton 21)</w:t>
      </w:r>
    </w:p>
    <w:p w14:paraId="76E26BA2" w14:textId="77777777" w:rsidR="00B06DA4" w:rsidRDefault="00B06DA4" w:rsidP="00B06DA4"/>
    <w:p w14:paraId="67481545" w14:textId="77777777" w:rsidR="006B30BE" w:rsidRDefault="00B06DA4" w:rsidP="00B06DA4">
      <w:pPr>
        <w:pStyle w:val="NormalWeb"/>
        <w:spacing w:before="0" w:beforeAutospacing="0" w:after="0" w:afterAutospacing="0" w:line="480" w:lineRule="auto"/>
        <w:rPr>
          <w:rFonts w:ascii="Arial" w:hAnsi="Arial" w:cs="Arial"/>
          <w:color w:val="000000"/>
        </w:rPr>
      </w:pPr>
      <w:proofErr w:type="gramStart"/>
      <w:r>
        <w:rPr>
          <w:rFonts w:ascii="Arial" w:hAnsi="Arial" w:cs="Arial"/>
          <w:color w:val="000000"/>
        </w:rPr>
        <w:t>Thus</w:t>
      </w:r>
      <w:proofErr w:type="gramEnd"/>
      <w:r>
        <w:rPr>
          <w:rFonts w:ascii="Arial" w:hAnsi="Arial" w:cs="Arial"/>
          <w:color w:val="000000"/>
        </w:rPr>
        <w:t xml:space="preserve"> the two times are presented as being in a natural rhythm, meaning that we cannot embrace one without the other. Horton’s play is therefore bleak, with the inevitability of darkness in life, however it is a hopeful bleakness. Darkness is not a pure evil; in turning out the light we can find time to rest, to reflect, and to heal.</w:t>
      </w:r>
    </w:p>
    <w:p w14:paraId="5364D5CD" w14:textId="77777777" w:rsidR="00B06DA4" w:rsidRPr="006B30BE" w:rsidRDefault="006B30BE" w:rsidP="006B30BE">
      <w:pPr>
        <w:rPr>
          <w:rFonts w:ascii="Arial" w:eastAsia="Times New Roman" w:hAnsi="Arial" w:cs="Arial"/>
          <w:color w:val="000000"/>
          <w:sz w:val="24"/>
          <w:szCs w:val="24"/>
          <w:lang w:eastAsia="en-GB"/>
        </w:rPr>
      </w:pPr>
      <w:r>
        <w:rPr>
          <w:rFonts w:ascii="Arial" w:hAnsi="Arial" w:cs="Arial"/>
          <w:color w:val="000000"/>
        </w:rPr>
        <w:br w:type="page"/>
      </w:r>
    </w:p>
    <w:p w14:paraId="5E6AFC3A" w14:textId="77777777" w:rsidR="00B06DA4" w:rsidRDefault="00B06DA4" w:rsidP="00B06DA4">
      <w:pPr>
        <w:pStyle w:val="NormalWeb"/>
        <w:spacing w:before="0" w:beforeAutospacing="0" w:after="0" w:afterAutospacing="0" w:line="480" w:lineRule="auto"/>
        <w:jc w:val="center"/>
      </w:pPr>
      <w:r>
        <w:rPr>
          <w:rFonts w:ascii="Arial" w:hAnsi="Arial" w:cs="Arial"/>
          <w:color w:val="000000"/>
        </w:rPr>
        <w:lastRenderedPageBreak/>
        <w:t>Works Cited</w:t>
      </w:r>
    </w:p>
    <w:p w14:paraId="495B2658" w14:textId="77777777" w:rsidR="00B06DA4" w:rsidRDefault="00B06DA4" w:rsidP="00B06DA4"/>
    <w:p w14:paraId="48DADFAD"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Adrianne </w:t>
      </w:r>
      <w:proofErr w:type="spellStart"/>
      <w:r>
        <w:rPr>
          <w:rFonts w:ascii="Arial" w:hAnsi="Arial" w:cs="Arial"/>
          <w:color w:val="000000"/>
        </w:rPr>
        <w:t>Lenker</w:t>
      </w:r>
      <w:proofErr w:type="spellEnd"/>
      <w:r>
        <w:rPr>
          <w:rFonts w:ascii="Arial" w:hAnsi="Arial" w:cs="Arial"/>
          <w:color w:val="000000"/>
        </w:rPr>
        <w:t xml:space="preserve">. “Hours Were the Birds.” </w:t>
      </w:r>
      <w:r>
        <w:rPr>
          <w:rFonts w:ascii="Arial" w:hAnsi="Arial" w:cs="Arial"/>
          <w:i/>
          <w:iCs/>
          <w:color w:val="000000"/>
        </w:rPr>
        <w:t>Hours Were the Birds</w:t>
      </w:r>
      <w:r>
        <w:rPr>
          <w:rFonts w:ascii="Arial" w:hAnsi="Arial" w:cs="Arial"/>
          <w:color w:val="000000"/>
        </w:rPr>
        <w:t xml:space="preserve">, Saddle Creek, 2014. </w:t>
      </w:r>
      <w:r>
        <w:rPr>
          <w:rFonts w:ascii="Arial" w:hAnsi="Arial" w:cs="Arial"/>
          <w:i/>
          <w:iCs/>
          <w:color w:val="000000"/>
        </w:rPr>
        <w:t>Spotify</w:t>
      </w:r>
      <w:r>
        <w:rPr>
          <w:rFonts w:ascii="Arial" w:hAnsi="Arial" w:cs="Arial"/>
          <w:color w:val="000000"/>
        </w:rPr>
        <w:t>, open.spotify.com/track/4YiYJmrys91SVIuPtU2IH3. Accessed 22 March 2020.</w:t>
      </w:r>
    </w:p>
    <w:p w14:paraId="0FC3C44C"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Burke, Jason, and </w:t>
      </w:r>
      <w:proofErr w:type="spellStart"/>
      <w:r>
        <w:rPr>
          <w:rFonts w:ascii="Arial" w:hAnsi="Arial" w:cs="Arial"/>
          <w:color w:val="000000"/>
        </w:rPr>
        <w:t>Abdalle</w:t>
      </w:r>
      <w:proofErr w:type="spellEnd"/>
      <w:r>
        <w:rPr>
          <w:rFonts w:ascii="Arial" w:hAnsi="Arial" w:cs="Arial"/>
          <w:color w:val="000000"/>
        </w:rPr>
        <w:t xml:space="preserve"> Ahmed </w:t>
      </w:r>
      <w:proofErr w:type="spellStart"/>
      <w:r>
        <w:rPr>
          <w:rFonts w:ascii="Arial" w:hAnsi="Arial" w:cs="Arial"/>
          <w:color w:val="000000"/>
        </w:rPr>
        <w:t>Mumin</w:t>
      </w:r>
      <w:proofErr w:type="spellEnd"/>
      <w:r>
        <w:rPr>
          <w:rFonts w:ascii="Arial" w:hAnsi="Arial" w:cs="Arial"/>
          <w:color w:val="000000"/>
        </w:rPr>
        <w:t xml:space="preserve">. “Severe hunger threatens millions in Somalia as climate emergency deepens.” </w:t>
      </w:r>
      <w:r>
        <w:rPr>
          <w:rFonts w:ascii="Arial" w:hAnsi="Arial" w:cs="Arial"/>
          <w:i/>
          <w:iCs/>
          <w:color w:val="000000"/>
        </w:rPr>
        <w:t>Guardian</w:t>
      </w:r>
      <w:r>
        <w:rPr>
          <w:rFonts w:ascii="Arial" w:hAnsi="Arial" w:cs="Arial"/>
          <w:color w:val="000000"/>
        </w:rPr>
        <w:t xml:space="preserve">, 29 Aug. 2019, </w:t>
      </w:r>
      <w:hyperlink r:id="rId6" w:history="1">
        <w:r>
          <w:rPr>
            <w:rStyle w:val="Hyperlink"/>
            <w:rFonts w:ascii="Arial" w:hAnsi="Arial" w:cs="Arial"/>
            <w:color w:val="000000"/>
            <w:u w:val="none"/>
          </w:rPr>
          <w:t>www.theguardian.com/global-development/2019/aug/29/severe-hunger-threatens-millions-somalia-climate-emergency-deepens</w:t>
        </w:r>
      </w:hyperlink>
      <w:r>
        <w:rPr>
          <w:rFonts w:ascii="Arial" w:hAnsi="Arial" w:cs="Arial"/>
          <w:color w:val="000000"/>
        </w:rPr>
        <w:t>. Accessed 23 March 2020.</w:t>
      </w:r>
    </w:p>
    <w:p w14:paraId="644E3FEB"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Burton, Nylah. “Meet the young activists of </w:t>
      </w:r>
      <w:proofErr w:type="spellStart"/>
      <w:r>
        <w:rPr>
          <w:rFonts w:ascii="Arial" w:hAnsi="Arial" w:cs="Arial"/>
          <w:color w:val="000000"/>
        </w:rPr>
        <w:t>color</w:t>
      </w:r>
      <w:proofErr w:type="spellEnd"/>
      <w:r>
        <w:rPr>
          <w:rFonts w:ascii="Arial" w:hAnsi="Arial" w:cs="Arial"/>
          <w:color w:val="000000"/>
        </w:rPr>
        <w:t xml:space="preserve"> who are leading the charge against climate disaster.” </w:t>
      </w:r>
      <w:r>
        <w:rPr>
          <w:rFonts w:ascii="Arial" w:hAnsi="Arial" w:cs="Arial"/>
          <w:i/>
          <w:iCs/>
          <w:color w:val="000000"/>
        </w:rPr>
        <w:t>Vox</w:t>
      </w:r>
      <w:r>
        <w:rPr>
          <w:rFonts w:ascii="Arial" w:hAnsi="Arial" w:cs="Arial"/>
          <w:color w:val="000000"/>
        </w:rPr>
        <w:t xml:space="preserve">, 11 Oct. 2019, </w:t>
      </w:r>
      <w:hyperlink r:id="rId7" w:history="1">
        <w:r>
          <w:rPr>
            <w:rStyle w:val="Hyperlink"/>
            <w:rFonts w:ascii="Arial" w:hAnsi="Arial" w:cs="Arial"/>
            <w:color w:val="000000"/>
            <w:u w:val="none"/>
          </w:rPr>
          <w:t>www.vox.com/identities/2019/10/11/20904791/young-climate-activists-of-color</w:t>
        </w:r>
      </w:hyperlink>
      <w:r>
        <w:rPr>
          <w:rFonts w:ascii="Arial" w:hAnsi="Arial" w:cs="Arial"/>
          <w:color w:val="000000"/>
        </w:rPr>
        <w:t>. Accessed 18 March 2020.</w:t>
      </w:r>
    </w:p>
    <w:p w14:paraId="28F70FEF"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Chakrabarty, Dipesh. “The Climate of History: Four Theses.” </w:t>
      </w:r>
      <w:r>
        <w:rPr>
          <w:rFonts w:ascii="Arial" w:hAnsi="Arial" w:cs="Arial"/>
          <w:i/>
          <w:iCs/>
          <w:color w:val="000000"/>
        </w:rPr>
        <w:t>Critical Enquiry</w:t>
      </w:r>
      <w:r>
        <w:rPr>
          <w:rFonts w:ascii="Arial" w:hAnsi="Arial" w:cs="Arial"/>
          <w:color w:val="000000"/>
        </w:rPr>
        <w:t xml:space="preserve">, vol. 35, no. 2, U of Chicago P, 2009, pp. 197-222. </w:t>
      </w:r>
      <w:r>
        <w:rPr>
          <w:rFonts w:ascii="Arial" w:hAnsi="Arial" w:cs="Arial"/>
          <w:i/>
          <w:iCs/>
          <w:color w:val="000000"/>
        </w:rPr>
        <w:t xml:space="preserve">JSTOR, </w:t>
      </w:r>
      <w:hyperlink r:id="rId8" w:history="1">
        <w:r>
          <w:rPr>
            <w:rStyle w:val="Hyperlink"/>
            <w:rFonts w:ascii="Arial" w:hAnsi="Arial" w:cs="Arial"/>
            <w:color w:val="000000"/>
            <w:u w:val="none"/>
          </w:rPr>
          <w:t>warwick.ac.uk/fac/arts/english/currentstudents/undergraduate/modules/literaturetheoryandtime/chakrabarty.pdf</w:t>
        </w:r>
      </w:hyperlink>
      <w:r>
        <w:rPr>
          <w:rFonts w:ascii="Arial" w:hAnsi="Arial" w:cs="Arial"/>
          <w:color w:val="000000"/>
        </w:rPr>
        <w:t>. Accessed 20 March 2020.</w:t>
      </w:r>
    </w:p>
    <w:p w14:paraId="292B1D71" w14:textId="77777777" w:rsidR="00B06DA4" w:rsidRDefault="00B06DA4" w:rsidP="00B06DA4">
      <w:pPr>
        <w:pStyle w:val="NormalWeb"/>
        <w:spacing w:before="0" w:beforeAutospacing="0" w:after="0" w:afterAutospacing="0" w:line="480" w:lineRule="auto"/>
        <w:ind w:hanging="720"/>
      </w:pPr>
      <w:proofErr w:type="spellStart"/>
      <w:r>
        <w:rPr>
          <w:rFonts w:ascii="Arial" w:hAnsi="Arial" w:cs="Arial"/>
          <w:color w:val="000000"/>
        </w:rPr>
        <w:t>Crary</w:t>
      </w:r>
      <w:proofErr w:type="spellEnd"/>
      <w:r>
        <w:rPr>
          <w:rFonts w:ascii="Arial" w:hAnsi="Arial" w:cs="Arial"/>
          <w:color w:val="000000"/>
        </w:rPr>
        <w:t xml:space="preserve">, Jonathan. “Chapter 1.” </w:t>
      </w:r>
      <w:r>
        <w:rPr>
          <w:rFonts w:ascii="Arial" w:hAnsi="Arial" w:cs="Arial"/>
          <w:i/>
          <w:iCs/>
          <w:color w:val="000000"/>
        </w:rPr>
        <w:t>24/7: Late Capitalism and the Ends of Sleep</w:t>
      </w:r>
      <w:r>
        <w:rPr>
          <w:rFonts w:ascii="Arial" w:hAnsi="Arial" w:cs="Arial"/>
          <w:color w:val="000000"/>
        </w:rPr>
        <w:t>, Verso, 2013, pp. 1-28.</w:t>
      </w:r>
    </w:p>
    <w:p w14:paraId="761534D1"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Currie, Mark. “Inner and Outer Time.” </w:t>
      </w:r>
      <w:r>
        <w:rPr>
          <w:rFonts w:ascii="Arial" w:hAnsi="Arial" w:cs="Arial"/>
          <w:i/>
          <w:iCs/>
          <w:color w:val="000000"/>
        </w:rPr>
        <w:t>About Time: Narrative Fiction and the Philosophy of Time</w:t>
      </w:r>
      <w:r>
        <w:rPr>
          <w:rFonts w:ascii="Arial" w:hAnsi="Arial" w:cs="Arial"/>
          <w:color w:val="000000"/>
        </w:rPr>
        <w:t>, Edinburgh U P, 2006, pp. 73-86.</w:t>
      </w:r>
      <w:r>
        <w:rPr>
          <w:rFonts w:ascii="Arial" w:hAnsi="Arial" w:cs="Arial"/>
          <w:i/>
          <w:iCs/>
          <w:color w:val="000000"/>
        </w:rPr>
        <w:t xml:space="preserve"> Cambridge Core</w:t>
      </w:r>
      <w:r>
        <w:rPr>
          <w:rFonts w:ascii="Arial" w:hAnsi="Arial" w:cs="Arial"/>
          <w:color w:val="000000"/>
        </w:rPr>
        <w:t xml:space="preserve">, </w:t>
      </w:r>
      <w:hyperlink r:id="rId9" w:history="1">
        <w:r>
          <w:rPr>
            <w:rStyle w:val="Hyperlink"/>
            <w:rFonts w:ascii="Arial" w:hAnsi="Arial" w:cs="Arial"/>
            <w:color w:val="000000"/>
            <w:u w:val="none"/>
          </w:rPr>
          <w:t>0-www-cambridge-org.pugwash.lib.warwick.ac.uk/core/services/aop-cambridge-core/content/view/320559545CB4A6EEE8CB617B56ED8F38/9780748630400c5_p73-86_CBO.pdf/inner_and_outer_time.pdf</w:t>
        </w:r>
      </w:hyperlink>
      <w:r>
        <w:rPr>
          <w:rFonts w:ascii="Arial" w:hAnsi="Arial" w:cs="Arial"/>
          <w:color w:val="000000"/>
        </w:rPr>
        <w:t>. Accessed 23 March 2020.</w:t>
      </w:r>
    </w:p>
    <w:p w14:paraId="26981BAE"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 “Introduction: About </w:t>
      </w:r>
      <w:proofErr w:type="spellStart"/>
      <w:r>
        <w:rPr>
          <w:rFonts w:ascii="Arial" w:hAnsi="Arial" w:cs="Arial"/>
          <w:color w:val="000000"/>
        </w:rPr>
        <w:t>About</w:t>
      </w:r>
      <w:proofErr w:type="spellEnd"/>
      <w:r>
        <w:rPr>
          <w:rFonts w:ascii="Arial" w:hAnsi="Arial" w:cs="Arial"/>
          <w:color w:val="000000"/>
        </w:rPr>
        <w:t xml:space="preserve"> Time.” </w:t>
      </w:r>
      <w:r>
        <w:rPr>
          <w:rFonts w:ascii="Arial" w:hAnsi="Arial" w:cs="Arial"/>
          <w:i/>
          <w:iCs/>
          <w:color w:val="000000"/>
        </w:rPr>
        <w:t>About Time: Narrative Fiction and the Philosophy of Time</w:t>
      </w:r>
      <w:r>
        <w:rPr>
          <w:rFonts w:ascii="Arial" w:hAnsi="Arial" w:cs="Arial"/>
          <w:color w:val="000000"/>
        </w:rPr>
        <w:t xml:space="preserve">, Edinburgh U P, 2006, pp. 1–7. </w:t>
      </w:r>
      <w:r>
        <w:rPr>
          <w:rFonts w:ascii="Arial" w:hAnsi="Arial" w:cs="Arial"/>
          <w:i/>
          <w:iCs/>
          <w:color w:val="000000"/>
        </w:rPr>
        <w:t>Cambridge Core</w:t>
      </w:r>
      <w:r>
        <w:rPr>
          <w:rFonts w:ascii="Arial" w:hAnsi="Arial" w:cs="Arial"/>
          <w:color w:val="000000"/>
        </w:rPr>
        <w:t xml:space="preserve">, </w:t>
      </w:r>
      <w:hyperlink r:id="rId10" w:history="1">
        <w:r>
          <w:rPr>
            <w:rStyle w:val="Hyperlink"/>
            <w:rFonts w:ascii="Arial" w:hAnsi="Arial" w:cs="Arial"/>
            <w:color w:val="000000"/>
            <w:u w:val="none"/>
          </w:rPr>
          <w:t>0-www-cambridge-</w:t>
        </w:r>
        <w:r>
          <w:rPr>
            <w:rStyle w:val="Hyperlink"/>
            <w:rFonts w:ascii="Arial" w:hAnsi="Arial" w:cs="Arial"/>
            <w:color w:val="000000"/>
            <w:u w:val="none"/>
          </w:rPr>
          <w:lastRenderedPageBreak/>
          <w:t>org.pugwash.lib.warwick.ac.uk/core/services/aop-cambridge-core/content/view/04781E8BFBDB119AB53AA99F06FAA559/9780748630400c1_p1-7_CBO.pdf/introduction_about_about_time.pdf</w:t>
        </w:r>
      </w:hyperlink>
      <w:r>
        <w:rPr>
          <w:rFonts w:ascii="Arial" w:hAnsi="Arial" w:cs="Arial"/>
          <w:color w:val="000000"/>
        </w:rPr>
        <w:t>. Accessed 20 March 2020.</w:t>
      </w:r>
    </w:p>
    <w:p w14:paraId="346AAF77"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Derrida, Jacques. “In the Name of the Revolution, the Double Barricade (Impure ‘impure </w:t>
      </w:r>
      <w:proofErr w:type="spellStart"/>
      <w:r>
        <w:rPr>
          <w:rFonts w:ascii="Arial" w:hAnsi="Arial" w:cs="Arial"/>
          <w:color w:val="000000"/>
        </w:rPr>
        <w:t>impure</w:t>
      </w:r>
      <w:proofErr w:type="spellEnd"/>
      <w:r>
        <w:rPr>
          <w:rFonts w:ascii="Arial" w:hAnsi="Arial" w:cs="Arial"/>
          <w:color w:val="000000"/>
        </w:rPr>
        <w:t xml:space="preserve"> history of ghosts’).”</w:t>
      </w:r>
      <w:r>
        <w:rPr>
          <w:rFonts w:ascii="Arial" w:hAnsi="Arial" w:cs="Arial"/>
          <w:i/>
          <w:iCs/>
          <w:color w:val="000000"/>
        </w:rPr>
        <w:t xml:space="preserve"> </w:t>
      </w:r>
      <w:proofErr w:type="spellStart"/>
      <w:r>
        <w:rPr>
          <w:rFonts w:ascii="Arial" w:hAnsi="Arial" w:cs="Arial"/>
          <w:i/>
          <w:iCs/>
          <w:color w:val="000000"/>
        </w:rPr>
        <w:t>Specters</w:t>
      </w:r>
      <w:proofErr w:type="spellEnd"/>
      <w:r>
        <w:rPr>
          <w:rFonts w:ascii="Arial" w:hAnsi="Arial" w:cs="Arial"/>
          <w:i/>
          <w:iCs/>
          <w:color w:val="000000"/>
        </w:rPr>
        <w:t xml:space="preserve"> of Marx: the state of the debt, the work of mourning, and the new international</w:t>
      </w:r>
      <w:r>
        <w:rPr>
          <w:rFonts w:ascii="Arial" w:hAnsi="Arial" w:cs="Arial"/>
          <w:color w:val="000000"/>
        </w:rPr>
        <w:t xml:space="preserve">, translated by Peggy </w:t>
      </w:r>
      <w:proofErr w:type="spellStart"/>
      <w:r>
        <w:rPr>
          <w:rFonts w:ascii="Arial" w:hAnsi="Arial" w:cs="Arial"/>
          <w:color w:val="000000"/>
        </w:rPr>
        <w:t>Kamuf</w:t>
      </w:r>
      <w:proofErr w:type="spellEnd"/>
      <w:r>
        <w:rPr>
          <w:rFonts w:ascii="Arial" w:hAnsi="Arial" w:cs="Arial"/>
          <w:color w:val="000000"/>
        </w:rPr>
        <w:t xml:space="preserve">, Routledge, 1994, pp. 95-124. </w:t>
      </w:r>
      <w:proofErr w:type="spellStart"/>
      <w:r>
        <w:rPr>
          <w:rFonts w:ascii="Arial" w:hAnsi="Arial" w:cs="Arial"/>
          <w:i/>
          <w:iCs/>
          <w:color w:val="000000"/>
        </w:rPr>
        <w:t>Kortext</w:t>
      </w:r>
      <w:proofErr w:type="spellEnd"/>
      <w:r>
        <w:rPr>
          <w:rFonts w:ascii="Arial" w:hAnsi="Arial" w:cs="Arial"/>
          <w:color w:val="000000"/>
        </w:rPr>
        <w:t xml:space="preserve">, </w:t>
      </w:r>
      <w:hyperlink r:id="rId11" w:history="1">
        <w:r>
          <w:rPr>
            <w:rStyle w:val="Hyperlink"/>
            <w:rFonts w:ascii="Arial" w:hAnsi="Arial" w:cs="Arial"/>
            <w:color w:val="000000"/>
            <w:u w:val="none"/>
          </w:rPr>
          <w:t>contentstore.cla.co.uk/EReader/Index?p=RDpcU2l0ZXNccHJvZHVjdGlvblxUZW1wXERDUy0zNDI5NGM2Ni1kOGY4LTQ5MTgtYjc0Ny0yZWY2MDFmZmJhNDYucGRm&amp;o=JnB1Ymxpc2hlZENvbnRlbnRfSWQ9NzU1ODA3JmNvbnRlbnRSZXF1ZXN0X0lkPTgyODE3MCZkb2N1bWVudExpbms9ODU3ZThlMDAtNTgyMC1lNzExLTgwYzktMDA1MDU2YWY0MDk5JmNvbnRlbnRJdGVtX0lkPTE0MDYxOA==&amp;id=857e8e00-5820-e711-80c9-005056af4099</w:t>
        </w:r>
      </w:hyperlink>
      <w:r>
        <w:rPr>
          <w:rFonts w:ascii="Arial" w:hAnsi="Arial" w:cs="Arial"/>
          <w:color w:val="000000"/>
        </w:rPr>
        <w:t>. Accessed 20 March 2020.</w:t>
      </w:r>
    </w:p>
    <w:p w14:paraId="7BDA261E"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Evelyn, Kenya. “‘Like I wasn't there’: climate activist Vanessa </w:t>
      </w:r>
      <w:proofErr w:type="spellStart"/>
      <w:r>
        <w:rPr>
          <w:rFonts w:ascii="Arial" w:hAnsi="Arial" w:cs="Arial"/>
          <w:color w:val="000000"/>
        </w:rPr>
        <w:t>Nakate</w:t>
      </w:r>
      <w:proofErr w:type="spellEnd"/>
      <w:r>
        <w:rPr>
          <w:rFonts w:ascii="Arial" w:hAnsi="Arial" w:cs="Arial"/>
          <w:color w:val="000000"/>
        </w:rPr>
        <w:t xml:space="preserve"> on being erased from a movement.” </w:t>
      </w:r>
      <w:r>
        <w:rPr>
          <w:rFonts w:ascii="Arial" w:hAnsi="Arial" w:cs="Arial"/>
          <w:i/>
          <w:iCs/>
          <w:color w:val="000000"/>
        </w:rPr>
        <w:t>Guardian</w:t>
      </w:r>
      <w:r>
        <w:rPr>
          <w:rFonts w:ascii="Arial" w:hAnsi="Arial" w:cs="Arial"/>
          <w:color w:val="000000"/>
        </w:rPr>
        <w:t xml:space="preserve">, 29 Jan. 2020, </w:t>
      </w:r>
      <w:hyperlink r:id="rId12" w:history="1">
        <w:r>
          <w:rPr>
            <w:rStyle w:val="Hyperlink"/>
            <w:rFonts w:ascii="Arial" w:hAnsi="Arial" w:cs="Arial"/>
            <w:color w:val="000000"/>
            <w:u w:val="none"/>
          </w:rPr>
          <w:t>www.theguardian.com/world/2020/jan/29/vanessa-nakate-interview-climate-activism-cropped-photo-davos</w:t>
        </w:r>
      </w:hyperlink>
      <w:r>
        <w:rPr>
          <w:rFonts w:ascii="Arial" w:hAnsi="Arial" w:cs="Arial"/>
          <w:color w:val="000000"/>
        </w:rPr>
        <w:t>. Accessed 18 March 2020.</w:t>
      </w:r>
    </w:p>
    <w:p w14:paraId="7AF54E72"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Fernandez </w:t>
      </w:r>
      <w:proofErr w:type="spellStart"/>
      <w:r>
        <w:rPr>
          <w:rFonts w:ascii="Arial" w:hAnsi="Arial" w:cs="Arial"/>
          <w:color w:val="000000"/>
        </w:rPr>
        <w:t>Rysavy</w:t>
      </w:r>
      <w:proofErr w:type="spellEnd"/>
      <w:r>
        <w:rPr>
          <w:rFonts w:ascii="Arial" w:hAnsi="Arial" w:cs="Arial"/>
          <w:color w:val="000000"/>
        </w:rPr>
        <w:t xml:space="preserve">, Tracy, and André Floyd. “People of </w:t>
      </w:r>
      <w:proofErr w:type="spellStart"/>
      <w:r>
        <w:rPr>
          <w:rFonts w:ascii="Arial" w:hAnsi="Arial" w:cs="Arial"/>
          <w:color w:val="000000"/>
        </w:rPr>
        <w:t>Color</w:t>
      </w:r>
      <w:proofErr w:type="spellEnd"/>
      <w:r>
        <w:rPr>
          <w:rFonts w:ascii="Arial" w:hAnsi="Arial" w:cs="Arial"/>
          <w:color w:val="000000"/>
        </w:rPr>
        <w:t xml:space="preserve"> Are on the Front Lines of the Climate Crisis.” </w:t>
      </w:r>
      <w:r>
        <w:rPr>
          <w:rFonts w:ascii="Arial" w:hAnsi="Arial" w:cs="Arial"/>
          <w:i/>
          <w:iCs/>
          <w:color w:val="000000"/>
        </w:rPr>
        <w:t>Green America</w:t>
      </w:r>
      <w:r>
        <w:rPr>
          <w:rFonts w:ascii="Arial" w:hAnsi="Arial" w:cs="Arial"/>
          <w:color w:val="000000"/>
        </w:rPr>
        <w:t xml:space="preserve">, </w:t>
      </w:r>
      <w:hyperlink r:id="rId13" w:history="1">
        <w:r>
          <w:rPr>
            <w:rStyle w:val="Hyperlink"/>
            <w:rFonts w:ascii="Arial" w:hAnsi="Arial" w:cs="Arial"/>
            <w:color w:val="000000"/>
            <w:u w:val="none"/>
          </w:rPr>
          <w:t>www.greenamerica.org/climate-justice-all/people-color-are-front-lines-climate-crisis</w:t>
        </w:r>
      </w:hyperlink>
      <w:r>
        <w:rPr>
          <w:rFonts w:ascii="Arial" w:hAnsi="Arial" w:cs="Arial"/>
          <w:color w:val="000000"/>
        </w:rPr>
        <w:t>. Accessed 23 March 2020.</w:t>
      </w:r>
    </w:p>
    <w:p w14:paraId="2FCF6DDE" w14:textId="77777777" w:rsidR="00B06DA4" w:rsidRDefault="00B06DA4" w:rsidP="00B06DA4">
      <w:pPr>
        <w:pStyle w:val="NormalWeb"/>
        <w:spacing w:before="240" w:beforeAutospacing="0" w:after="0" w:afterAutospacing="0" w:line="480" w:lineRule="auto"/>
        <w:ind w:hanging="720"/>
      </w:pPr>
      <w:r>
        <w:rPr>
          <w:rFonts w:ascii="Arial" w:hAnsi="Arial" w:cs="Arial"/>
          <w:color w:val="000000"/>
        </w:rPr>
        <w:t xml:space="preserve">Frazer-Carroll, Micha. “On environmentalism, whiteness and activist superstars.” </w:t>
      </w:r>
      <w:r>
        <w:rPr>
          <w:rFonts w:ascii="Arial" w:hAnsi="Arial" w:cs="Arial"/>
          <w:i/>
          <w:iCs/>
          <w:color w:val="000000"/>
        </w:rPr>
        <w:t>Gal-</w:t>
      </w:r>
      <w:proofErr w:type="spellStart"/>
      <w:r>
        <w:rPr>
          <w:rFonts w:ascii="Arial" w:hAnsi="Arial" w:cs="Arial"/>
          <w:i/>
          <w:iCs/>
          <w:color w:val="000000"/>
        </w:rPr>
        <w:t>dem</w:t>
      </w:r>
      <w:proofErr w:type="spellEnd"/>
      <w:r>
        <w:rPr>
          <w:rFonts w:ascii="Arial" w:hAnsi="Arial" w:cs="Arial"/>
          <w:color w:val="000000"/>
        </w:rPr>
        <w:t>, 25 Sept. 2019, gal-dem.com/on-individualism-whiteness-and-activist-superstars/. Accessed 23 March 2020.</w:t>
      </w:r>
    </w:p>
    <w:p w14:paraId="43B69A44" w14:textId="77777777" w:rsidR="00B06DA4" w:rsidRDefault="00B06DA4" w:rsidP="00B06DA4">
      <w:pPr>
        <w:pStyle w:val="NormalWeb"/>
        <w:spacing w:before="0" w:beforeAutospacing="0" w:after="0" w:afterAutospacing="0" w:line="480" w:lineRule="auto"/>
        <w:ind w:hanging="720"/>
      </w:pPr>
      <w:proofErr w:type="spellStart"/>
      <w:r>
        <w:rPr>
          <w:rFonts w:ascii="Arial" w:hAnsi="Arial" w:cs="Arial"/>
          <w:color w:val="000000"/>
        </w:rPr>
        <w:t>Gebrial</w:t>
      </w:r>
      <w:proofErr w:type="spellEnd"/>
      <w:r>
        <w:rPr>
          <w:rFonts w:ascii="Arial" w:hAnsi="Arial" w:cs="Arial"/>
          <w:color w:val="000000"/>
        </w:rPr>
        <w:t xml:space="preserve">, Dalia. “As the left wakes up to climate injustice, we must not fall into ‘green colonialism’.” </w:t>
      </w:r>
      <w:r>
        <w:rPr>
          <w:rFonts w:ascii="Arial" w:hAnsi="Arial" w:cs="Arial"/>
          <w:i/>
          <w:iCs/>
          <w:color w:val="000000"/>
        </w:rPr>
        <w:t>Guardian</w:t>
      </w:r>
      <w:r>
        <w:rPr>
          <w:rFonts w:ascii="Arial" w:hAnsi="Arial" w:cs="Arial"/>
          <w:color w:val="000000"/>
        </w:rPr>
        <w:t xml:space="preserve">, 8 May 2019, </w:t>
      </w:r>
      <w:hyperlink r:id="rId14" w:history="1">
        <w:r>
          <w:rPr>
            <w:rStyle w:val="Hyperlink"/>
            <w:rFonts w:ascii="Arial" w:hAnsi="Arial" w:cs="Arial"/>
            <w:color w:val="000000"/>
            <w:u w:val="none"/>
          </w:rPr>
          <w:t>www.theguardian.com/commentisfree/2019/may/08/left-climate-injustice-green-new-deal</w:t>
        </w:r>
      </w:hyperlink>
      <w:r>
        <w:rPr>
          <w:rFonts w:ascii="Arial" w:hAnsi="Arial" w:cs="Arial"/>
          <w:color w:val="000000"/>
        </w:rPr>
        <w:t>. Accessed 23 March 2020.</w:t>
      </w:r>
    </w:p>
    <w:p w14:paraId="4F48FA85"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Haraway, Donna J. “Introduction.” </w:t>
      </w:r>
      <w:r>
        <w:rPr>
          <w:rFonts w:ascii="Arial" w:hAnsi="Arial" w:cs="Arial"/>
          <w:i/>
          <w:iCs/>
          <w:color w:val="000000"/>
        </w:rPr>
        <w:t xml:space="preserve">Staying with the Trouble: Making Kin in the </w:t>
      </w:r>
      <w:proofErr w:type="spellStart"/>
      <w:r>
        <w:rPr>
          <w:rFonts w:ascii="Arial" w:hAnsi="Arial" w:cs="Arial"/>
          <w:i/>
          <w:iCs/>
          <w:color w:val="000000"/>
        </w:rPr>
        <w:t>Chthulucene</w:t>
      </w:r>
      <w:proofErr w:type="spellEnd"/>
      <w:r>
        <w:rPr>
          <w:rFonts w:ascii="Arial" w:hAnsi="Arial" w:cs="Arial"/>
          <w:color w:val="000000"/>
        </w:rPr>
        <w:t xml:space="preserve">, Duke U P, 2016, pp. 1-8. </w:t>
      </w:r>
      <w:r>
        <w:rPr>
          <w:rFonts w:ascii="Arial" w:hAnsi="Arial" w:cs="Arial"/>
          <w:i/>
          <w:iCs/>
          <w:color w:val="000000"/>
        </w:rPr>
        <w:t>ProQuest</w:t>
      </w:r>
      <w:r>
        <w:rPr>
          <w:rFonts w:ascii="Arial" w:hAnsi="Arial" w:cs="Arial"/>
          <w:color w:val="000000"/>
        </w:rPr>
        <w:t>, file:///C:/Users/Owner/Downloads/Staying_with_the_Trouble_Making_Kin_in_the_Chthulu..._----_(Introduction).pdf. Accessed 20 March 2020.</w:t>
      </w:r>
    </w:p>
    <w:p w14:paraId="3DBF95A9"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Horton, Caroline. </w:t>
      </w:r>
      <w:r>
        <w:rPr>
          <w:rFonts w:ascii="Arial" w:hAnsi="Arial" w:cs="Arial"/>
          <w:i/>
          <w:iCs/>
          <w:color w:val="000000"/>
        </w:rPr>
        <w:t>All of Me</w:t>
      </w:r>
      <w:r>
        <w:rPr>
          <w:rFonts w:ascii="Arial" w:hAnsi="Arial" w:cs="Arial"/>
          <w:color w:val="000000"/>
        </w:rPr>
        <w:t>, Methuen Drama, 2019.</w:t>
      </w:r>
    </w:p>
    <w:p w14:paraId="79DD49F6" w14:textId="77777777" w:rsidR="00B06DA4" w:rsidRDefault="00B06DA4" w:rsidP="00B06DA4">
      <w:pPr>
        <w:pStyle w:val="NormalWeb"/>
        <w:spacing w:before="240" w:beforeAutospacing="0" w:after="240" w:afterAutospacing="0" w:line="480" w:lineRule="auto"/>
        <w:ind w:hanging="720"/>
      </w:pPr>
      <w:r>
        <w:rPr>
          <w:rFonts w:ascii="Arial" w:hAnsi="Arial" w:cs="Arial"/>
          <w:color w:val="000000"/>
        </w:rPr>
        <w:t xml:space="preserve">Hutcheon, Linda. “Beginning to Theorize Adaptation: What? Who? Why? How? Where? When?” </w:t>
      </w:r>
      <w:r>
        <w:rPr>
          <w:rFonts w:ascii="Arial" w:hAnsi="Arial" w:cs="Arial"/>
          <w:i/>
          <w:iCs/>
          <w:color w:val="000000"/>
        </w:rPr>
        <w:t>A Theory of Adaptation</w:t>
      </w:r>
      <w:r>
        <w:rPr>
          <w:rFonts w:ascii="Arial" w:hAnsi="Arial" w:cs="Arial"/>
          <w:color w:val="000000"/>
        </w:rPr>
        <w:t xml:space="preserve">. With Siobhan </w:t>
      </w:r>
      <w:proofErr w:type="spellStart"/>
      <w:r>
        <w:rPr>
          <w:rFonts w:ascii="Arial" w:hAnsi="Arial" w:cs="Arial"/>
          <w:color w:val="000000"/>
        </w:rPr>
        <w:t>O’Flynn</w:t>
      </w:r>
      <w:proofErr w:type="spellEnd"/>
      <w:r>
        <w:rPr>
          <w:rFonts w:ascii="Arial" w:hAnsi="Arial" w:cs="Arial"/>
          <w:color w:val="000000"/>
        </w:rPr>
        <w:t>, 2nd ed., Routledge, 2013, pp. 1-27.</w:t>
      </w:r>
    </w:p>
    <w:p w14:paraId="396B4CD7" w14:textId="77777777" w:rsidR="00B06DA4" w:rsidRDefault="00B06DA4" w:rsidP="00B06DA4">
      <w:pPr>
        <w:pStyle w:val="NormalWeb"/>
        <w:spacing w:before="240" w:beforeAutospacing="0" w:after="240" w:afterAutospacing="0" w:line="480" w:lineRule="auto"/>
        <w:ind w:hanging="720"/>
      </w:pPr>
      <w:proofErr w:type="spellStart"/>
      <w:r>
        <w:rPr>
          <w:rFonts w:ascii="Arial" w:hAnsi="Arial" w:cs="Arial"/>
          <w:i/>
          <w:iCs/>
          <w:color w:val="000000"/>
        </w:rPr>
        <w:t>DawsonEra</w:t>
      </w:r>
      <w:proofErr w:type="spellEnd"/>
      <w:r>
        <w:rPr>
          <w:rFonts w:ascii="Arial" w:hAnsi="Arial" w:cs="Arial"/>
          <w:color w:val="000000"/>
        </w:rPr>
        <w:t>, www.dawsonera.com/readonline/9780203095010. Accessed 11 Dec 2019.</w:t>
      </w:r>
    </w:p>
    <w:p w14:paraId="646FB24A" w14:textId="77777777" w:rsidR="00B06DA4" w:rsidRDefault="00B06DA4" w:rsidP="00B06DA4">
      <w:pPr>
        <w:pStyle w:val="NormalWeb"/>
        <w:spacing w:before="0" w:beforeAutospacing="0" w:after="0" w:afterAutospacing="0" w:line="480" w:lineRule="auto"/>
        <w:ind w:hanging="720"/>
      </w:pPr>
      <w:proofErr w:type="spellStart"/>
      <w:r>
        <w:rPr>
          <w:rFonts w:ascii="Arial" w:hAnsi="Arial" w:cs="Arial"/>
          <w:color w:val="000000"/>
        </w:rPr>
        <w:t>Kidnie</w:t>
      </w:r>
      <w:proofErr w:type="spellEnd"/>
      <w:r>
        <w:rPr>
          <w:rFonts w:ascii="Arial" w:hAnsi="Arial" w:cs="Arial"/>
          <w:color w:val="000000"/>
        </w:rPr>
        <w:t>, Margaret Jane. “</w:t>
      </w:r>
      <w:hyperlink r:id="rId15" w:history="1">
        <w:r>
          <w:rPr>
            <w:rStyle w:val="Hyperlink"/>
            <w:rFonts w:ascii="Arial" w:hAnsi="Arial" w:cs="Arial"/>
            <w:color w:val="000000"/>
            <w:u w:val="none"/>
          </w:rPr>
          <w:t xml:space="preserve">Where is </w:t>
        </w:r>
        <w:r>
          <w:rPr>
            <w:rStyle w:val="Hyperlink"/>
            <w:rFonts w:ascii="Arial" w:hAnsi="Arial" w:cs="Arial"/>
            <w:i/>
            <w:iCs/>
            <w:color w:val="000000"/>
            <w:u w:val="none"/>
          </w:rPr>
          <w:t>Hamlet</w:t>
        </w:r>
        <w:r>
          <w:rPr>
            <w:rStyle w:val="Hyperlink"/>
            <w:rFonts w:ascii="Arial" w:hAnsi="Arial" w:cs="Arial"/>
            <w:color w:val="000000"/>
            <w:u w:val="none"/>
          </w:rPr>
          <w:t>? Text, Performance, and Adaptation.</w:t>
        </w:r>
      </w:hyperlink>
      <w:r>
        <w:rPr>
          <w:rFonts w:ascii="Arial" w:hAnsi="Arial" w:cs="Arial"/>
          <w:color w:val="000000"/>
        </w:rPr>
        <w:t xml:space="preserve">” </w:t>
      </w:r>
      <w:r>
        <w:rPr>
          <w:rFonts w:ascii="Arial" w:hAnsi="Arial" w:cs="Arial"/>
          <w:i/>
          <w:iCs/>
          <w:color w:val="000000"/>
        </w:rPr>
        <w:t>A Companion to Shakespeare and Performance</w:t>
      </w:r>
      <w:r>
        <w:rPr>
          <w:rFonts w:ascii="Arial" w:hAnsi="Arial" w:cs="Arial"/>
          <w:color w:val="000000"/>
        </w:rPr>
        <w:t xml:space="preserve">, edited by Barbara </w:t>
      </w:r>
      <w:proofErr w:type="spellStart"/>
      <w:r>
        <w:rPr>
          <w:rFonts w:ascii="Arial" w:hAnsi="Arial" w:cs="Arial"/>
          <w:color w:val="000000"/>
        </w:rPr>
        <w:t>Hodgdon</w:t>
      </w:r>
      <w:proofErr w:type="spellEnd"/>
      <w:r>
        <w:rPr>
          <w:rFonts w:ascii="Arial" w:hAnsi="Arial" w:cs="Arial"/>
          <w:color w:val="000000"/>
        </w:rPr>
        <w:t xml:space="preserve"> and W. B. Worthen, Blackwell, 2005, pp. 101-120. </w:t>
      </w:r>
      <w:r>
        <w:rPr>
          <w:rFonts w:ascii="Arial" w:hAnsi="Arial" w:cs="Arial"/>
          <w:i/>
          <w:iCs/>
          <w:color w:val="000000"/>
        </w:rPr>
        <w:t>Wiley Online Library</w:t>
      </w:r>
      <w:r>
        <w:rPr>
          <w:rFonts w:ascii="Arial" w:hAnsi="Arial" w:cs="Arial"/>
          <w:color w:val="000000"/>
        </w:rPr>
        <w:t xml:space="preserve">, </w:t>
      </w:r>
      <w:hyperlink r:id="rId16" w:history="1">
        <w:r>
          <w:rPr>
            <w:rStyle w:val="Hyperlink"/>
            <w:rFonts w:ascii="Arial" w:hAnsi="Arial" w:cs="Arial"/>
            <w:color w:val="000000"/>
            <w:u w:val="none"/>
          </w:rPr>
          <w:t>0-onlinelibrary-wiley-com.pugwash.lib.warwick.ac.uk/doi/pdf/10.1002/9780470996706.ch6</w:t>
        </w:r>
      </w:hyperlink>
      <w:r>
        <w:rPr>
          <w:rFonts w:ascii="Arial" w:hAnsi="Arial" w:cs="Arial"/>
          <w:color w:val="000000"/>
        </w:rPr>
        <w:t>. Accessed 20 March 2020.</w:t>
      </w:r>
    </w:p>
    <w:p w14:paraId="2C17A716"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Pratchett, Terry. </w:t>
      </w:r>
      <w:proofErr w:type="spellStart"/>
      <w:r>
        <w:rPr>
          <w:rFonts w:ascii="Arial" w:hAnsi="Arial" w:cs="Arial"/>
          <w:i/>
          <w:iCs/>
          <w:color w:val="000000"/>
        </w:rPr>
        <w:t>Wyrd</w:t>
      </w:r>
      <w:proofErr w:type="spellEnd"/>
      <w:r>
        <w:rPr>
          <w:rFonts w:ascii="Arial" w:hAnsi="Arial" w:cs="Arial"/>
          <w:i/>
          <w:iCs/>
          <w:color w:val="000000"/>
        </w:rPr>
        <w:t xml:space="preserve"> Sisters</w:t>
      </w:r>
      <w:r>
        <w:rPr>
          <w:rFonts w:ascii="Arial" w:hAnsi="Arial" w:cs="Arial"/>
          <w:color w:val="000000"/>
        </w:rPr>
        <w:t>, Corgi Books, 2012.</w:t>
      </w:r>
    </w:p>
    <w:p w14:paraId="2271C78B"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“prehistory.” </w:t>
      </w:r>
      <w:r>
        <w:rPr>
          <w:rFonts w:ascii="Arial" w:hAnsi="Arial" w:cs="Arial"/>
          <w:i/>
          <w:iCs/>
          <w:color w:val="000000"/>
        </w:rPr>
        <w:t xml:space="preserve">World </w:t>
      </w:r>
      <w:proofErr w:type="spellStart"/>
      <w:r>
        <w:rPr>
          <w:rFonts w:ascii="Arial" w:hAnsi="Arial" w:cs="Arial"/>
          <w:i/>
          <w:iCs/>
          <w:color w:val="000000"/>
        </w:rPr>
        <w:t>Encyclopedia</w:t>
      </w:r>
      <w:proofErr w:type="spellEnd"/>
      <w:r>
        <w:rPr>
          <w:rFonts w:ascii="Arial" w:hAnsi="Arial" w:cs="Arial"/>
          <w:color w:val="000000"/>
        </w:rPr>
        <w:t>, Philip’s, 2014.</w:t>
      </w:r>
      <w:r>
        <w:rPr>
          <w:rFonts w:ascii="Arial" w:hAnsi="Arial" w:cs="Arial"/>
          <w:i/>
          <w:iCs/>
          <w:color w:val="000000"/>
        </w:rPr>
        <w:t xml:space="preserve"> Oxford Reference</w:t>
      </w:r>
      <w:r>
        <w:rPr>
          <w:rFonts w:ascii="Arial" w:hAnsi="Arial" w:cs="Arial"/>
          <w:color w:val="000000"/>
        </w:rPr>
        <w:t xml:space="preserve">, </w:t>
      </w:r>
      <w:hyperlink r:id="rId17" w:history="1">
        <w:r>
          <w:rPr>
            <w:rStyle w:val="Hyperlink"/>
            <w:rFonts w:ascii="Arial" w:hAnsi="Arial" w:cs="Arial"/>
            <w:color w:val="000000"/>
            <w:u w:val="none"/>
          </w:rPr>
          <w:t>www.oxfordreference.com/view/10.1093/acref/9780199546091.001.0001/acref-9780199546091-e-9355?rskey=desnQe&amp;result=1</w:t>
        </w:r>
      </w:hyperlink>
      <w:r>
        <w:rPr>
          <w:rFonts w:ascii="Arial" w:hAnsi="Arial" w:cs="Arial"/>
          <w:color w:val="000000"/>
        </w:rPr>
        <w:t>. Accessed 20 March 2020.</w:t>
      </w:r>
    </w:p>
    <w:p w14:paraId="0200DD17" w14:textId="77777777" w:rsidR="00B06DA4" w:rsidRDefault="00B06DA4" w:rsidP="00B06DA4">
      <w:pPr>
        <w:pStyle w:val="NormalWeb"/>
        <w:spacing w:before="0" w:beforeAutospacing="0" w:after="0" w:afterAutospacing="0" w:line="480" w:lineRule="auto"/>
        <w:ind w:hanging="720"/>
      </w:pPr>
      <w:r>
        <w:rPr>
          <w:rFonts w:ascii="Arial" w:hAnsi="Arial" w:cs="Arial"/>
          <w:color w:val="000000"/>
        </w:rPr>
        <w:t xml:space="preserve">Sharpe, Christina. “The Ship.” </w:t>
      </w:r>
      <w:r>
        <w:rPr>
          <w:rFonts w:ascii="Arial" w:hAnsi="Arial" w:cs="Arial"/>
          <w:i/>
          <w:iCs/>
          <w:color w:val="000000"/>
        </w:rPr>
        <w:t>In the Wake: On Blackness and Being</w:t>
      </w:r>
      <w:r>
        <w:rPr>
          <w:rFonts w:ascii="Arial" w:hAnsi="Arial" w:cs="Arial"/>
          <w:color w:val="000000"/>
        </w:rPr>
        <w:t xml:space="preserve">, Duke U P, 2016, pp. 25-67. </w:t>
      </w:r>
      <w:r>
        <w:rPr>
          <w:rFonts w:ascii="Arial" w:hAnsi="Arial" w:cs="Arial"/>
          <w:i/>
          <w:iCs/>
          <w:color w:val="000000"/>
        </w:rPr>
        <w:t>ProQuest</w:t>
      </w:r>
      <w:r>
        <w:rPr>
          <w:rFonts w:ascii="Arial" w:hAnsi="Arial" w:cs="Arial"/>
          <w:color w:val="000000"/>
        </w:rPr>
        <w:t>, ebookcentral.proquest.com/lib/</w:t>
      </w:r>
      <w:proofErr w:type="spellStart"/>
      <w:r>
        <w:rPr>
          <w:rFonts w:ascii="Arial" w:hAnsi="Arial" w:cs="Arial"/>
          <w:color w:val="000000"/>
        </w:rPr>
        <w:t>warw</w:t>
      </w:r>
      <w:proofErr w:type="spellEnd"/>
      <w:r>
        <w:rPr>
          <w:rFonts w:ascii="Arial" w:hAnsi="Arial" w:cs="Arial"/>
          <w:color w:val="000000"/>
        </w:rPr>
        <w:t>/</w:t>
      </w:r>
      <w:proofErr w:type="spellStart"/>
      <w:r>
        <w:rPr>
          <w:rFonts w:ascii="Arial" w:hAnsi="Arial" w:cs="Arial"/>
          <w:color w:val="000000"/>
        </w:rPr>
        <w:t>detail.action?docID</w:t>
      </w:r>
      <w:proofErr w:type="spellEnd"/>
      <w:r>
        <w:rPr>
          <w:rFonts w:ascii="Arial" w:hAnsi="Arial" w:cs="Arial"/>
          <w:color w:val="000000"/>
        </w:rPr>
        <w:t>=4717126. Accessed 23 March 2020.</w:t>
      </w:r>
    </w:p>
    <w:p w14:paraId="762E7AAB" w14:textId="77777777" w:rsidR="00B06DA4" w:rsidRDefault="00B06DA4" w:rsidP="00B06DA4">
      <w:pPr>
        <w:pStyle w:val="NormalWeb"/>
        <w:spacing w:before="0" w:beforeAutospacing="0" w:after="0" w:afterAutospacing="0" w:line="480" w:lineRule="auto"/>
        <w:ind w:hanging="720"/>
      </w:pPr>
      <w:r>
        <w:rPr>
          <w:rFonts w:ascii="Arial" w:hAnsi="Arial" w:cs="Arial"/>
          <w:i/>
          <w:iCs/>
          <w:color w:val="000000"/>
        </w:rPr>
        <w:lastRenderedPageBreak/>
        <w:t>The Night Watch</w:t>
      </w:r>
      <w:r>
        <w:rPr>
          <w:rFonts w:ascii="Arial" w:hAnsi="Arial" w:cs="Arial"/>
          <w:color w:val="000000"/>
        </w:rPr>
        <w:t>. Written by Sarah Waters, adapted by Hattie Naylor, directed by Alastair Whatley, performance by Phoebe Pryce, Original Theatre Company and York Theatre Royal, 24 Oct. 2019, Warwick Arts Centre, Coventry.</w:t>
      </w:r>
    </w:p>
    <w:p w14:paraId="7024DE9E" w14:textId="77777777" w:rsidR="00FA3E15" w:rsidRPr="00B06DA4" w:rsidRDefault="00B06DA4" w:rsidP="00B06DA4">
      <w:pPr>
        <w:pStyle w:val="NormalWeb"/>
        <w:spacing w:before="0" w:beforeAutospacing="0" w:after="0" w:afterAutospacing="0" w:line="480" w:lineRule="auto"/>
        <w:ind w:hanging="720"/>
      </w:pPr>
      <w:r>
        <w:rPr>
          <w:rFonts w:ascii="Arial" w:hAnsi="Arial" w:cs="Arial"/>
          <w:color w:val="000000"/>
        </w:rPr>
        <w:t xml:space="preserve">Wiseman, Rosanna. “Colonialism + capitalism = climate crisis.” </w:t>
      </w:r>
      <w:r>
        <w:rPr>
          <w:rFonts w:ascii="Arial" w:hAnsi="Arial" w:cs="Arial"/>
          <w:i/>
          <w:iCs/>
          <w:color w:val="000000"/>
        </w:rPr>
        <w:t>Global Justice Now</w:t>
      </w:r>
      <w:r>
        <w:rPr>
          <w:rFonts w:ascii="Arial" w:hAnsi="Arial" w:cs="Arial"/>
          <w:color w:val="000000"/>
        </w:rPr>
        <w:t xml:space="preserve">, 7 Oct. 2019, </w:t>
      </w:r>
      <w:hyperlink r:id="rId18" w:history="1">
        <w:r>
          <w:rPr>
            <w:rStyle w:val="Hyperlink"/>
            <w:rFonts w:ascii="Arial" w:hAnsi="Arial" w:cs="Arial"/>
            <w:color w:val="000000"/>
            <w:u w:val="none"/>
          </w:rPr>
          <w:t>www.globaljustice.org.uk/blog/2019/oct/7/colonialism-capitalism-climate-crisis</w:t>
        </w:r>
      </w:hyperlink>
      <w:r>
        <w:rPr>
          <w:rFonts w:ascii="Arial" w:hAnsi="Arial" w:cs="Arial"/>
          <w:color w:val="000000"/>
        </w:rPr>
        <w:t>. Accessed 18 March 2020.</w:t>
      </w:r>
    </w:p>
    <w:sectPr w:rsidR="00FA3E15" w:rsidRPr="00B06DA4" w:rsidSect="006E6C38">
      <w:headerReference w:type="even" r:id="rId19"/>
      <w:headerReference w:type="default" r:id="rId20"/>
      <w:footerReference w:type="even" r:id="rId21"/>
      <w:footerReference w:type="default" r:id="rId22"/>
      <w:headerReference w:type="first" r:id="rId23"/>
      <w:foot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380B89" w14:textId="77777777" w:rsidR="000C79E3" w:rsidRDefault="000C79E3" w:rsidP="00865C6A">
      <w:pPr>
        <w:spacing w:after="0" w:line="240" w:lineRule="auto"/>
      </w:pPr>
      <w:r>
        <w:separator/>
      </w:r>
    </w:p>
  </w:endnote>
  <w:endnote w:type="continuationSeparator" w:id="0">
    <w:p w14:paraId="6B4EA36A" w14:textId="77777777" w:rsidR="000C79E3" w:rsidRDefault="000C79E3" w:rsidP="00865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A4E35F" w14:textId="77777777" w:rsidR="000E66E4" w:rsidRDefault="000E66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02F331" w14:textId="77777777" w:rsidR="000E66E4" w:rsidRDefault="000E66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D1EDBA" w14:textId="77777777" w:rsidR="000E66E4" w:rsidRDefault="000E66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73B2DD" w14:textId="77777777" w:rsidR="000C79E3" w:rsidRDefault="000C79E3" w:rsidP="00865C6A">
      <w:pPr>
        <w:spacing w:after="0" w:line="240" w:lineRule="auto"/>
      </w:pPr>
      <w:r>
        <w:separator/>
      </w:r>
    </w:p>
  </w:footnote>
  <w:footnote w:type="continuationSeparator" w:id="0">
    <w:p w14:paraId="1FE65F81" w14:textId="77777777" w:rsidR="000C79E3" w:rsidRDefault="000C79E3" w:rsidP="00865C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A94333" w14:textId="77777777" w:rsidR="000E66E4" w:rsidRDefault="000E66E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5836742"/>
      <w:docPartObj>
        <w:docPartGallery w:val="Page Numbers (Top of Page)"/>
        <w:docPartUnique/>
      </w:docPartObj>
    </w:sdtPr>
    <w:sdtEndPr>
      <w:rPr>
        <w:noProof/>
      </w:rPr>
    </w:sdtEndPr>
    <w:sdtContent>
      <w:p w14:paraId="46E004D3" w14:textId="77777777" w:rsidR="006E6C38" w:rsidRDefault="006E6C38">
        <w:pPr>
          <w:pStyle w:val="Header"/>
          <w:jc w:val="right"/>
        </w:pPr>
        <w:r>
          <w:fldChar w:fldCharType="begin"/>
        </w:r>
        <w:r>
          <w:instrText xml:space="preserve"> PAGE   \* MERGEFORMAT </w:instrText>
        </w:r>
        <w:r>
          <w:fldChar w:fldCharType="separate"/>
        </w:r>
        <w:r w:rsidR="00B40A36">
          <w:rPr>
            <w:noProof/>
          </w:rPr>
          <w:t>16</w:t>
        </w:r>
        <w:r>
          <w:rPr>
            <w:noProof/>
          </w:rPr>
          <w:fldChar w:fldCharType="end"/>
        </w:r>
      </w:p>
    </w:sdtContent>
  </w:sdt>
  <w:p w14:paraId="1B25EF7E" w14:textId="77777777" w:rsidR="00865C6A" w:rsidRPr="00865C6A" w:rsidRDefault="00865C6A" w:rsidP="00865C6A">
    <w:pPr>
      <w:pStyle w:val="Header"/>
      <w:spacing w:line="480" w:lineRule="auto"/>
      <w:rPr>
        <w:rFonts w:ascii="Arial" w:hAnsi="Arial" w:cs="Arial"/>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36CD6E" w14:textId="07051EEE" w:rsidR="006E6C38" w:rsidRDefault="006E6C38" w:rsidP="006E6C38">
    <w:pPr>
      <w:pStyle w:val="Header"/>
      <w:spacing w:line="480" w:lineRule="auto"/>
      <w:rPr>
        <w:rFonts w:ascii="Arial" w:hAnsi="Arial" w:cs="Arial"/>
        <w:sz w:val="24"/>
        <w:szCs w:val="24"/>
      </w:rPr>
    </w:pPr>
  </w:p>
  <w:p w14:paraId="5673D22C" w14:textId="77777777" w:rsidR="006E6C38" w:rsidRDefault="006E6C38" w:rsidP="006E6C38">
    <w:pPr>
      <w:pStyle w:val="Header"/>
      <w:spacing w:line="480" w:lineRule="auto"/>
      <w:rPr>
        <w:rFonts w:ascii="Arial" w:hAnsi="Arial" w:cs="Arial"/>
        <w:sz w:val="24"/>
        <w:szCs w:val="24"/>
      </w:rPr>
    </w:pPr>
    <w:r>
      <w:rPr>
        <w:rFonts w:ascii="Arial" w:hAnsi="Arial" w:cs="Arial"/>
        <w:sz w:val="24"/>
        <w:szCs w:val="24"/>
      </w:rPr>
      <w:t>Dr Elizabeth Barry</w:t>
    </w:r>
  </w:p>
  <w:p w14:paraId="3452BA53" w14:textId="77777777" w:rsidR="006E6C38" w:rsidRDefault="006E6C38" w:rsidP="006E6C38">
    <w:pPr>
      <w:pStyle w:val="Header"/>
      <w:spacing w:line="480" w:lineRule="auto"/>
      <w:rPr>
        <w:rFonts w:ascii="Arial" w:hAnsi="Arial" w:cs="Arial"/>
        <w:sz w:val="24"/>
        <w:szCs w:val="24"/>
      </w:rPr>
    </w:pPr>
    <w:r>
      <w:rPr>
        <w:rFonts w:ascii="Arial" w:hAnsi="Arial" w:cs="Arial"/>
        <w:sz w:val="24"/>
        <w:szCs w:val="24"/>
      </w:rPr>
      <w:t>EN2G4: Literature, Theory and Time</w:t>
    </w:r>
  </w:p>
  <w:p w14:paraId="64C2E1E9" w14:textId="77777777" w:rsidR="00865C6A" w:rsidRPr="006E6C38" w:rsidRDefault="006E6C38" w:rsidP="006E6C38">
    <w:pPr>
      <w:pStyle w:val="Header"/>
      <w:spacing w:line="480" w:lineRule="auto"/>
      <w:rPr>
        <w:rFonts w:ascii="Arial" w:hAnsi="Arial" w:cs="Arial"/>
        <w:sz w:val="24"/>
        <w:szCs w:val="24"/>
      </w:rPr>
    </w:pPr>
    <w:r>
      <w:rPr>
        <w:rFonts w:ascii="Arial" w:hAnsi="Arial" w:cs="Arial"/>
        <w:sz w:val="24"/>
        <w:szCs w:val="24"/>
      </w:rPr>
      <w:t>2</w:t>
    </w:r>
    <w:r w:rsidR="009F5208">
      <w:rPr>
        <w:rFonts w:ascii="Arial" w:hAnsi="Arial" w:cs="Arial"/>
        <w:sz w:val="24"/>
        <w:szCs w:val="24"/>
      </w:rPr>
      <w:t>4</w:t>
    </w:r>
    <w:r>
      <w:rPr>
        <w:rFonts w:ascii="Arial" w:hAnsi="Arial" w:cs="Arial"/>
        <w:sz w:val="24"/>
        <w:szCs w:val="24"/>
      </w:rPr>
      <w:t xml:space="preserve"> March 2020</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C6A"/>
    <w:rsid w:val="000523E9"/>
    <w:rsid w:val="000C79E3"/>
    <w:rsid w:val="000E5A5A"/>
    <w:rsid w:val="000E66E4"/>
    <w:rsid w:val="001177E7"/>
    <w:rsid w:val="002F4499"/>
    <w:rsid w:val="003324D7"/>
    <w:rsid w:val="0033764C"/>
    <w:rsid w:val="003B76F8"/>
    <w:rsid w:val="003C1C3B"/>
    <w:rsid w:val="003E6DDC"/>
    <w:rsid w:val="004A291E"/>
    <w:rsid w:val="004D6F9A"/>
    <w:rsid w:val="004F3257"/>
    <w:rsid w:val="00596F72"/>
    <w:rsid w:val="005B37B5"/>
    <w:rsid w:val="005B4768"/>
    <w:rsid w:val="005B5D7E"/>
    <w:rsid w:val="005F3723"/>
    <w:rsid w:val="00616A6D"/>
    <w:rsid w:val="006906EF"/>
    <w:rsid w:val="006B30BE"/>
    <w:rsid w:val="006E6C38"/>
    <w:rsid w:val="006E72C7"/>
    <w:rsid w:val="00707B44"/>
    <w:rsid w:val="0074784A"/>
    <w:rsid w:val="00841020"/>
    <w:rsid w:val="00865C6A"/>
    <w:rsid w:val="008941A2"/>
    <w:rsid w:val="00940F22"/>
    <w:rsid w:val="009760F2"/>
    <w:rsid w:val="00995201"/>
    <w:rsid w:val="009B4F21"/>
    <w:rsid w:val="009F5208"/>
    <w:rsid w:val="00B06DA4"/>
    <w:rsid w:val="00B40A36"/>
    <w:rsid w:val="00B75C96"/>
    <w:rsid w:val="00B94D02"/>
    <w:rsid w:val="00BA7207"/>
    <w:rsid w:val="00BE04E9"/>
    <w:rsid w:val="00C31217"/>
    <w:rsid w:val="00D46965"/>
    <w:rsid w:val="00DE5F1A"/>
    <w:rsid w:val="00E21F35"/>
    <w:rsid w:val="00ED2CB7"/>
    <w:rsid w:val="00F21EF5"/>
    <w:rsid w:val="00F23F5B"/>
    <w:rsid w:val="00FA3E15"/>
    <w:rsid w:val="00FE0E39"/>
    <w:rsid w:val="00FF13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F914B"/>
  <w15:chartTrackingRefBased/>
  <w15:docId w15:val="{A9C2C317-A58C-400D-A568-6B45896C2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65C6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tab-span">
    <w:name w:val="apple-tab-span"/>
    <w:basedOn w:val="DefaultParagraphFont"/>
    <w:rsid w:val="00865C6A"/>
  </w:style>
  <w:style w:type="character" w:styleId="Hyperlink">
    <w:name w:val="Hyperlink"/>
    <w:basedOn w:val="DefaultParagraphFont"/>
    <w:uiPriority w:val="99"/>
    <w:unhideWhenUsed/>
    <w:rsid w:val="00865C6A"/>
    <w:rPr>
      <w:color w:val="0000FF"/>
      <w:u w:val="single"/>
    </w:rPr>
  </w:style>
  <w:style w:type="paragraph" w:styleId="Header">
    <w:name w:val="header"/>
    <w:basedOn w:val="Normal"/>
    <w:link w:val="HeaderChar"/>
    <w:uiPriority w:val="99"/>
    <w:unhideWhenUsed/>
    <w:rsid w:val="00865C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5C6A"/>
  </w:style>
  <w:style w:type="paragraph" w:styleId="Footer">
    <w:name w:val="footer"/>
    <w:basedOn w:val="Normal"/>
    <w:link w:val="FooterChar"/>
    <w:uiPriority w:val="99"/>
    <w:unhideWhenUsed/>
    <w:rsid w:val="00865C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5C6A"/>
  </w:style>
  <w:style w:type="paragraph" w:styleId="BalloonText">
    <w:name w:val="Balloon Text"/>
    <w:basedOn w:val="Normal"/>
    <w:link w:val="BalloonTextChar"/>
    <w:uiPriority w:val="99"/>
    <w:semiHidden/>
    <w:unhideWhenUsed/>
    <w:rsid w:val="004F32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325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6627018">
      <w:bodyDiv w:val="1"/>
      <w:marLeft w:val="0"/>
      <w:marRight w:val="0"/>
      <w:marTop w:val="0"/>
      <w:marBottom w:val="0"/>
      <w:divBdr>
        <w:top w:val="none" w:sz="0" w:space="0" w:color="auto"/>
        <w:left w:val="none" w:sz="0" w:space="0" w:color="auto"/>
        <w:bottom w:val="none" w:sz="0" w:space="0" w:color="auto"/>
        <w:right w:val="none" w:sz="0" w:space="0" w:color="auto"/>
      </w:divBdr>
    </w:div>
    <w:div w:id="1146237883">
      <w:bodyDiv w:val="1"/>
      <w:marLeft w:val="0"/>
      <w:marRight w:val="0"/>
      <w:marTop w:val="0"/>
      <w:marBottom w:val="0"/>
      <w:divBdr>
        <w:top w:val="none" w:sz="0" w:space="0" w:color="auto"/>
        <w:left w:val="none" w:sz="0" w:space="0" w:color="auto"/>
        <w:bottom w:val="none" w:sz="0" w:space="0" w:color="auto"/>
        <w:right w:val="none" w:sz="0" w:space="0" w:color="auto"/>
      </w:divBdr>
    </w:div>
    <w:div w:id="2052604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english/currentstudents/undergraduate/modules/literaturetheoryandtime/chakrabarty.pdf" TargetMode="External"/><Relationship Id="rId13" Type="http://schemas.openxmlformats.org/officeDocument/2006/relationships/hyperlink" Target="https://www.greenamerica.org/climate-justice-all/people-color-are-front-lines-climate-crisis" TargetMode="External"/><Relationship Id="rId18" Type="http://schemas.openxmlformats.org/officeDocument/2006/relationships/hyperlink" Target="https://www.globaljustice.org.uk/blog/2019/oct/7/colonialism-capitalism-climate-crisis"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footer" Target="footer1.xml"/><Relationship Id="rId7" Type="http://schemas.openxmlformats.org/officeDocument/2006/relationships/hyperlink" Target="https://www.vox.com/identities/2019/10/11/20904791/young-climate-activists-of-color" TargetMode="External"/><Relationship Id="rId12" Type="http://schemas.openxmlformats.org/officeDocument/2006/relationships/hyperlink" Target="https://www.theguardian.com/world/2020/jan/29/vanessa-nakate-interview-climate-activism-cropped-photo-davos" TargetMode="External"/><Relationship Id="rId17" Type="http://schemas.openxmlformats.org/officeDocument/2006/relationships/hyperlink" Target="https://www.oxfordreference.com/view/10.1093/acref/9780199546091.001.0001/acref-9780199546091-e-9355?rskey=desnQe&amp;result=1"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0-onlinelibrary-wiley-com.pugwash.lib.warwick.ac.uk/doi/pdf/10.1002/9780470996706.ch6" TargetMode="External"/><Relationship Id="rId20" Type="http://schemas.openxmlformats.org/officeDocument/2006/relationships/header" Target="header2.xml"/><Relationship Id="rId1" Type="http://schemas.openxmlformats.org/officeDocument/2006/relationships/styles" Target="styles.xml"/><Relationship Id="rId6" Type="http://schemas.openxmlformats.org/officeDocument/2006/relationships/hyperlink" Target="https://www.theguardian.com/global-development/2019/aug/29/severe-hunger-threatens-millions-somalia-climate-emergency-deepens" TargetMode="External"/><Relationship Id="rId11" Type="http://schemas.openxmlformats.org/officeDocument/2006/relationships/hyperlink" Target="https://contentstore.cla.co.uk/EReader/Index?p=RDpcU2l0ZXNccHJvZHVjdGlvblxUZW1wXERDUy0zNDI5NGM2Ni1kOGY4LTQ5MTgtYjc0Ny0yZWY2MDFmZmJhNDYucGRm&amp;o=JnB1Ymxpc2hlZENvbnRlbnRfSWQ9NzU1ODA3JmNvbnRlbnRSZXF1ZXN0X0lkPTgyODE3MCZkb2N1bWVudExpbms9ODU3ZThlMDAtNTgyMC1lNzExLTgwYzktMDA1MDU2YWY0MDk5JmNvbnRlbnRJdGVtX0lkPTE0MDYxOA==&amp;id=857e8e00-5820-e711-80c9-005056af4099" TargetMode="External"/><Relationship Id="rId24"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hyperlink" Target="http://0-onlinelibrary.wiley.com.pugwash.lib.warwick.ac.uk/doi/10.1002/9780470996706.ch6/pdf" TargetMode="External"/><Relationship Id="rId23" Type="http://schemas.openxmlformats.org/officeDocument/2006/relationships/header" Target="header3.xml"/><Relationship Id="rId10" Type="http://schemas.openxmlformats.org/officeDocument/2006/relationships/hyperlink" Target="https://0-www-cambridge-org.pugwash.lib.warwick.ac.uk/core/services/aop-cambridge-core/content/view/04781E8BFBDB119AB53AA99F06FAA559/9780748630400c1_p1-7_CBO.pdf/introduction_about_about_time.pdf" TargetMode="External"/><Relationship Id="rId19"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0-www-cambridge-org.pugwash.lib.warwick.ac.uk/core/services/aop-cambridge-core/content/view/320559545CB4A6EEE8CB617B56ED8F38/9780748630400c5_p73-86_CBO.pdf/inner_and_outer_time.pdf" TargetMode="External"/><Relationship Id="rId14" Type="http://schemas.openxmlformats.org/officeDocument/2006/relationships/hyperlink" Target="https://www.theguardian.com/commentisfree/2019/may/08/left-climate-injustice-green-new-deal"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4799</Words>
  <Characters>27360</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 Harvey</dc:creator>
  <cp:keywords/>
  <dc:description/>
  <cp:lastModifiedBy>Elizabeth Barry</cp:lastModifiedBy>
  <cp:revision>2</cp:revision>
  <dcterms:created xsi:type="dcterms:W3CDTF">2020-10-31T06:50:00Z</dcterms:created>
  <dcterms:modified xsi:type="dcterms:W3CDTF">2020-10-31T06:50:00Z</dcterms:modified>
</cp:coreProperties>
</file>