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11FA" w:rsidRPr="003112AE" w:rsidRDefault="00CA11FA" w:rsidP="00CA11FA">
      <w:pPr>
        <w:jc w:val="center"/>
        <w:rPr>
          <w:rFonts w:ascii="Palatino" w:hAnsi="Palatino" w:cstheme="minorHAnsi"/>
          <w:b/>
          <w:u w:val="single"/>
        </w:rPr>
      </w:pPr>
      <w:r w:rsidRPr="003112AE">
        <w:rPr>
          <w:rFonts w:ascii="Palatino" w:hAnsi="Palatino" w:cstheme="minorHAnsi"/>
          <w:b/>
          <w:u w:val="single"/>
        </w:rPr>
        <w:t xml:space="preserve">Modes of Reading – Seminar </w:t>
      </w:r>
      <w:proofErr w:type="spellStart"/>
      <w:r w:rsidRPr="003112AE">
        <w:rPr>
          <w:rFonts w:ascii="Palatino" w:hAnsi="Palatino" w:cstheme="minorHAnsi"/>
          <w:b/>
          <w:u w:val="single"/>
        </w:rPr>
        <w:t>Handout</w:t>
      </w:r>
      <w:proofErr w:type="spellEnd"/>
    </w:p>
    <w:p w:rsidR="00CA11FA" w:rsidRPr="003112AE" w:rsidRDefault="00CA11FA" w:rsidP="00CA11FA">
      <w:pPr>
        <w:jc w:val="center"/>
        <w:rPr>
          <w:rFonts w:ascii="Palatino" w:hAnsi="Palatino" w:cs="Arial"/>
          <w:b/>
          <w:u w:val="single"/>
        </w:rPr>
      </w:pPr>
      <w:r w:rsidRPr="003112AE">
        <w:rPr>
          <w:rFonts w:ascii="Palatino" w:hAnsi="Palatino" w:cs="Arial"/>
          <w:b/>
          <w:u w:val="single"/>
        </w:rPr>
        <w:t xml:space="preserve">Week </w:t>
      </w:r>
      <w:proofErr w:type="gramStart"/>
      <w:r w:rsidRPr="003112AE">
        <w:rPr>
          <w:rFonts w:ascii="Palatino" w:hAnsi="Palatino" w:cs="Arial"/>
          <w:b/>
          <w:u w:val="single"/>
        </w:rPr>
        <w:t xml:space="preserve">3 </w:t>
      </w:r>
      <w:r w:rsidRPr="003112AE">
        <w:rPr>
          <w:rFonts w:ascii="Palatino" w:hAnsi="Palatino" w:cs="Arial"/>
          <w:b/>
          <w:u w:val="single"/>
        </w:rPr>
        <w:t xml:space="preserve"> –</w:t>
      </w:r>
      <w:proofErr w:type="gramEnd"/>
      <w:r w:rsidRPr="003112AE">
        <w:rPr>
          <w:rFonts w:ascii="Palatino" w:hAnsi="Palatino" w:cs="Arial"/>
          <w:b/>
          <w:u w:val="single"/>
        </w:rPr>
        <w:t xml:space="preserve"> Carter, Woolf, and de Beauvoir</w:t>
      </w:r>
    </w:p>
    <w:p w:rsidR="00CA11FA" w:rsidRPr="003112AE" w:rsidRDefault="00CA11FA" w:rsidP="00CA11FA">
      <w:pPr>
        <w:rPr>
          <w:rFonts w:ascii="Palatino" w:hAnsi="Palatino" w:cs="Arial"/>
          <w:b/>
          <w:u w:val="single"/>
        </w:rPr>
      </w:pPr>
      <w:r w:rsidRPr="003112AE">
        <w:rPr>
          <w:rFonts w:ascii="Palatino" w:hAnsi="Palatino" w:cs="Arial"/>
          <w:b/>
          <w:u w:val="single"/>
        </w:rPr>
        <w:t>Existentialism</w:t>
      </w:r>
    </w:p>
    <w:p w:rsidR="00CA11FA" w:rsidRPr="003112AE" w:rsidRDefault="00CA11FA" w:rsidP="00CA11FA">
      <w:pPr>
        <w:rPr>
          <w:rFonts w:ascii="Palatino" w:hAnsi="Palatino"/>
          <w:lang w:val="en"/>
        </w:rPr>
      </w:pPr>
      <w:r w:rsidRPr="003112AE">
        <w:rPr>
          <w:rFonts w:ascii="Palatino" w:hAnsi="Palatino" w:cs="Arial"/>
          <w:b/>
          <w:i/>
        </w:rPr>
        <w:t>Existence precedes essence – ‘…</w:t>
      </w:r>
      <w:r w:rsidRPr="003112AE">
        <w:rPr>
          <w:rFonts w:ascii="Palatino" w:hAnsi="Palatino"/>
          <w:lang w:val="en"/>
        </w:rPr>
        <w:t xml:space="preserve">man first of all exists, encounters himself, surges up in the world – and defines himself afterwards’ (from </w:t>
      </w:r>
      <w:r w:rsidRPr="003112AE">
        <w:rPr>
          <w:rFonts w:ascii="Palatino" w:hAnsi="Palatino"/>
          <w:bCs/>
          <w:i/>
          <w:iCs/>
          <w:lang w:val="en"/>
        </w:rPr>
        <w:t>Existentialism and Humanism</w:t>
      </w:r>
      <w:r w:rsidR="003112AE">
        <w:rPr>
          <w:rFonts w:ascii="Palatino" w:hAnsi="Palatino"/>
          <w:bCs/>
          <w:iCs/>
          <w:lang w:val="en"/>
        </w:rPr>
        <w:t>, Jean-Paul Sartre</w:t>
      </w:r>
      <w:r w:rsidRPr="003112AE">
        <w:rPr>
          <w:rFonts w:ascii="Palatino" w:hAnsi="Palatino"/>
          <w:bCs/>
          <w:iCs/>
          <w:lang w:val="en"/>
        </w:rPr>
        <w:t>)</w:t>
      </w:r>
      <w:r w:rsidRPr="003112AE">
        <w:rPr>
          <w:rFonts w:ascii="Palatino" w:hAnsi="Palatino"/>
          <w:lang w:val="en"/>
        </w:rPr>
        <w:t>.</w:t>
      </w:r>
    </w:p>
    <w:p w:rsidR="00CA11FA" w:rsidRPr="003112AE" w:rsidRDefault="00CA11FA" w:rsidP="00CA11FA">
      <w:pPr>
        <w:jc w:val="center"/>
        <w:rPr>
          <w:rFonts w:ascii="Palatino" w:hAnsi="Palatino" w:cs="Arial"/>
          <w:b/>
        </w:rPr>
      </w:pPr>
      <w:r w:rsidRPr="003112AE">
        <w:rPr>
          <w:rFonts w:ascii="Palatino" w:hAnsi="Palatino"/>
          <w:lang w:val="en"/>
        </w:rPr>
        <w:t>*</w:t>
      </w:r>
    </w:p>
    <w:p w:rsidR="00CA11FA" w:rsidRPr="003112AE" w:rsidRDefault="00CA11FA" w:rsidP="00CA11FA">
      <w:pPr>
        <w:rPr>
          <w:rFonts w:ascii="Palatino" w:hAnsi="Palatino" w:cs="Arial"/>
          <w:b/>
          <w:u w:val="single"/>
        </w:rPr>
      </w:pPr>
      <w:r w:rsidRPr="003112AE">
        <w:rPr>
          <w:rFonts w:ascii="Palatino" w:hAnsi="Palatino" w:cs="Arial"/>
          <w:b/>
          <w:u w:val="single"/>
        </w:rPr>
        <w:t>‘Interpretative labour’</w:t>
      </w:r>
    </w:p>
    <w:p w:rsidR="00CA11FA" w:rsidRPr="003112AE" w:rsidRDefault="00CA11FA" w:rsidP="00CA11FA">
      <w:pPr>
        <w:spacing w:after="0" w:line="240" w:lineRule="auto"/>
        <w:rPr>
          <w:rFonts w:ascii="Palatino" w:hAnsi="Palatino"/>
        </w:rPr>
      </w:pPr>
      <w:r w:rsidRPr="003112AE">
        <w:rPr>
          <w:rFonts w:ascii="Palatino" w:hAnsi="Palatino"/>
        </w:rPr>
        <w:t xml:space="preserve">‘One constant staple of 1950s situation comedies in America were jokes about the impossibility of understanding women. The jokes of course were always told by men. Women's logic was always being treated as alien and incomprehensible. One never had the impression, on the other hand, that women had much trouble understanding men. That's because the women had no choice but to understand men. This was the heyday of the patriarchal family, and women with no access to their own income or resources had little choice but to spend a fair amount of time and energy understanding what the relevant men thought was going on. The resultant disparity was simply reproduced in idealized versions of family featured on TV. Actually, this sort of rhetoric about the mysteries of womankind is a perennial feature of patriarchal families: structures that can, indeed, be considered forms of structural violence insofar as the power of men over women within them is, as generations of feminists remind us, ultimately backed up, in sometimes hidden, sometimes not so hidden ways, by the threat of violence. At the same time, generations of female novelists-Virginia Woolf comes immediately to mind-have also documented the other side of this: the constant work women perform in managing, maintaining, and adjusting the egos of apparently oblivious men, which involved an endless work of imaginative identification and what I've called interpretive </w:t>
      </w:r>
      <w:proofErr w:type="spellStart"/>
      <w:r w:rsidRPr="003112AE">
        <w:rPr>
          <w:rFonts w:ascii="Palatino" w:hAnsi="Palatino"/>
        </w:rPr>
        <w:t>labor</w:t>
      </w:r>
      <w:proofErr w:type="spellEnd"/>
      <w:r w:rsidRPr="003112AE">
        <w:rPr>
          <w:rFonts w:ascii="Palatino" w:hAnsi="Palatino"/>
        </w:rPr>
        <w:t xml:space="preserve">. This carries over on every level. Women are always imagining what things look like from a male point of view. Men never do the same for women. This is presumably the reason why in so many societies with a pronounced sexual division of </w:t>
      </w:r>
      <w:proofErr w:type="spellStart"/>
      <w:r w:rsidRPr="003112AE">
        <w:rPr>
          <w:rFonts w:ascii="Palatino" w:hAnsi="Palatino"/>
        </w:rPr>
        <w:t>labor</w:t>
      </w:r>
      <w:proofErr w:type="spellEnd"/>
      <w:r w:rsidRPr="003112AE">
        <w:rPr>
          <w:rFonts w:ascii="Palatino" w:hAnsi="Palatino"/>
        </w:rPr>
        <w:t xml:space="preserve">, women know a great deal about what men do every day, and men have little or no idea what women do’ (from </w:t>
      </w:r>
      <w:r w:rsidRPr="003112AE">
        <w:rPr>
          <w:rFonts w:ascii="Palatino" w:hAnsi="Palatino"/>
          <w:i/>
        </w:rPr>
        <w:t>Direct Action – An Ethnography</w:t>
      </w:r>
      <w:r w:rsidRPr="003112AE">
        <w:rPr>
          <w:rFonts w:ascii="Palatino" w:hAnsi="Palatino"/>
        </w:rPr>
        <w:t xml:space="preserve">, David </w:t>
      </w:r>
      <w:proofErr w:type="spellStart"/>
      <w:r w:rsidRPr="003112AE">
        <w:rPr>
          <w:rFonts w:ascii="Palatino" w:hAnsi="Palatino"/>
        </w:rPr>
        <w:t>Graeber</w:t>
      </w:r>
      <w:proofErr w:type="spellEnd"/>
      <w:r w:rsidRPr="003112AE">
        <w:rPr>
          <w:rFonts w:ascii="Palatino" w:hAnsi="Palatino"/>
        </w:rPr>
        <w:t xml:space="preserve">). </w:t>
      </w:r>
    </w:p>
    <w:p w:rsidR="00CA11FA" w:rsidRPr="003112AE" w:rsidRDefault="00CA11FA" w:rsidP="00CA11FA">
      <w:pPr>
        <w:spacing w:after="0" w:line="240" w:lineRule="auto"/>
        <w:rPr>
          <w:rFonts w:ascii="Palatino" w:hAnsi="Palatino"/>
        </w:rPr>
      </w:pPr>
    </w:p>
    <w:p w:rsidR="00CA11FA" w:rsidRPr="003112AE" w:rsidRDefault="00CA11FA" w:rsidP="00CA11FA">
      <w:pPr>
        <w:jc w:val="center"/>
        <w:rPr>
          <w:rFonts w:ascii="Palatino" w:hAnsi="Palatino" w:cs="Arial"/>
          <w:b/>
        </w:rPr>
      </w:pPr>
      <w:r w:rsidRPr="003112AE">
        <w:rPr>
          <w:rFonts w:ascii="Palatino" w:hAnsi="Palatino" w:cs="Arial"/>
          <w:b/>
        </w:rPr>
        <w:t>*</w:t>
      </w:r>
    </w:p>
    <w:p w:rsidR="00CA11FA" w:rsidRPr="003112AE" w:rsidRDefault="00CA11FA" w:rsidP="00CA11FA">
      <w:pPr>
        <w:rPr>
          <w:rFonts w:ascii="Palatino" w:hAnsi="Palatino" w:cs="Arial"/>
          <w:b/>
          <w:i/>
          <w:u w:val="single"/>
        </w:rPr>
      </w:pPr>
      <w:proofErr w:type="spellStart"/>
      <w:r w:rsidRPr="003112AE">
        <w:rPr>
          <w:rFonts w:ascii="Palatino" w:hAnsi="Palatino" w:cs="Arial"/>
          <w:b/>
          <w:i/>
          <w:u w:val="single"/>
        </w:rPr>
        <w:t>SlutWalk</w:t>
      </w:r>
      <w:proofErr w:type="spellEnd"/>
    </w:p>
    <w:p w:rsidR="00CA11FA" w:rsidRPr="003112AE" w:rsidRDefault="00CA11FA" w:rsidP="00CA11FA">
      <w:pPr>
        <w:rPr>
          <w:rFonts w:ascii="Palatino" w:hAnsi="Palatino"/>
          <w:b/>
        </w:rPr>
      </w:pPr>
      <w:r w:rsidRPr="003112AE">
        <w:rPr>
          <w:rFonts w:ascii="Palatino" w:hAnsi="Palatino"/>
          <w:noProof/>
        </w:rPr>
        <w:drawing>
          <wp:inline distT="0" distB="0" distL="0" distR="0" wp14:anchorId="7573B945" wp14:editId="73978E24">
            <wp:extent cx="4380865" cy="2732405"/>
            <wp:effectExtent l="0" t="0" r="635" b="0"/>
            <wp:docPr id="1" name="Picture 1" descr="http://i.telegraph.co.uk/multimedia/archive/01891/slutwalk_1891529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telegraph.co.uk/multimedia/archive/01891/slutwalk_1891529c.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380865" cy="2732405"/>
                    </a:xfrm>
                    <a:prstGeom prst="rect">
                      <a:avLst/>
                    </a:prstGeom>
                    <a:noFill/>
                    <a:ln>
                      <a:noFill/>
                    </a:ln>
                  </pic:spPr>
                </pic:pic>
              </a:graphicData>
            </a:graphic>
          </wp:inline>
        </w:drawing>
      </w:r>
    </w:p>
    <w:p w:rsidR="00CA11FA" w:rsidRPr="003112AE" w:rsidRDefault="00CA11FA" w:rsidP="00CA11FA">
      <w:pPr>
        <w:jc w:val="center"/>
        <w:rPr>
          <w:rFonts w:ascii="Palatino" w:hAnsi="Palatino"/>
          <w:b/>
        </w:rPr>
      </w:pPr>
      <w:r w:rsidRPr="003112AE">
        <w:rPr>
          <w:rFonts w:ascii="Palatino" w:hAnsi="Palatino"/>
          <w:b/>
        </w:rPr>
        <w:t>*</w:t>
      </w:r>
    </w:p>
    <w:p w:rsidR="00CA11FA" w:rsidRPr="003112AE" w:rsidRDefault="00CA11FA" w:rsidP="00CA11FA">
      <w:pPr>
        <w:rPr>
          <w:rFonts w:ascii="Palatino" w:hAnsi="Palatino"/>
          <w:b/>
          <w:u w:val="single"/>
        </w:rPr>
      </w:pPr>
      <w:r w:rsidRPr="003112AE">
        <w:rPr>
          <w:rFonts w:ascii="Palatino" w:hAnsi="Palatino"/>
          <w:b/>
          <w:u w:val="single"/>
        </w:rPr>
        <w:lastRenderedPageBreak/>
        <w:t>The ‘Fiction of Self’ and the ‘Mirror Stage’</w:t>
      </w:r>
    </w:p>
    <w:p w:rsidR="00CA11FA" w:rsidRPr="003112AE" w:rsidRDefault="00CA11FA" w:rsidP="00CA11FA">
      <w:pPr>
        <w:rPr>
          <w:rFonts w:ascii="Palatino" w:hAnsi="Palatino"/>
        </w:rPr>
      </w:pPr>
      <w:r w:rsidRPr="003112AE">
        <w:rPr>
          <w:rFonts w:ascii="Palatino" w:hAnsi="Palatino"/>
        </w:rPr>
        <w:t>‘</w:t>
      </w:r>
      <w:proofErr w:type="spellStart"/>
      <w:r w:rsidRPr="003112AE">
        <w:rPr>
          <w:rFonts w:ascii="Palatino" w:hAnsi="Palatino"/>
        </w:rPr>
        <w:t>Lacan's</w:t>
      </w:r>
      <w:proofErr w:type="spellEnd"/>
      <w:r w:rsidRPr="003112AE">
        <w:rPr>
          <w:rFonts w:ascii="Palatino" w:hAnsi="Palatino"/>
        </w:rPr>
        <w:t xml:space="preserve"> point is that we need this recourse to performativity, to the symbolic engagement, precisely and only insofar as the other whom we confront is not only my mirror-double, someone like me, but also the elusive absolute Other who ultimately remains an unfathomable mystery’ (from </w:t>
      </w:r>
      <w:proofErr w:type="spellStart"/>
      <w:r w:rsidRPr="003112AE">
        <w:rPr>
          <w:rFonts w:ascii="Palatino" w:hAnsi="Palatino"/>
          <w:i/>
        </w:rPr>
        <w:t>Che</w:t>
      </w:r>
      <w:proofErr w:type="spellEnd"/>
      <w:r w:rsidRPr="003112AE">
        <w:rPr>
          <w:rFonts w:ascii="Palatino" w:hAnsi="Palatino"/>
          <w:i/>
        </w:rPr>
        <w:t xml:space="preserve"> </w:t>
      </w:r>
      <w:proofErr w:type="spellStart"/>
      <w:r w:rsidRPr="003112AE">
        <w:rPr>
          <w:rFonts w:ascii="Palatino" w:hAnsi="Palatino"/>
          <w:i/>
        </w:rPr>
        <w:t>vuoi</w:t>
      </w:r>
      <w:proofErr w:type="spellEnd"/>
      <w:r w:rsidRPr="003112AE">
        <w:rPr>
          <w:rFonts w:ascii="Palatino" w:hAnsi="Palatino"/>
          <w:i/>
        </w:rPr>
        <w:t xml:space="preserve">? to Fantasy: </w:t>
      </w:r>
      <w:proofErr w:type="spellStart"/>
      <w:r w:rsidRPr="003112AE">
        <w:rPr>
          <w:rFonts w:ascii="Palatino" w:hAnsi="Palatino"/>
          <w:i/>
        </w:rPr>
        <w:t>Lacan</w:t>
      </w:r>
      <w:proofErr w:type="spellEnd"/>
      <w:r w:rsidRPr="003112AE">
        <w:rPr>
          <w:rFonts w:ascii="Palatino" w:hAnsi="Palatino"/>
          <w:i/>
        </w:rPr>
        <w:t xml:space="preserve"> with Eyes Wide Shut</w:t>
      </w:r>
      <w:r w:rsidRPr="003112AE">
        <w:rPr>
          <w:rFonts w:ascii="Palatino" w:hAnsi="Palatino"/>
        </w:rPr>
        <w:t xml:space="preserve">, </w:t>
      </w:r>
      <w:proofErr w:type="spellStart"/>
      <w:r w:rsidRPr="003112AE">
        <w:rPr>
          <w:rFonts w:ascii="Palatino" w:hAnsi="Palatino"/>
        </w:rPr>
        <w:t>Slavoj</w:t>
      </w:r>
      <w:proofErr w:type="spellEnd"/>
      <w:r w:rsidRPr="003112AE">
        <w:rPr>
          <w:rFonts w:ascii="Palatino" w:hAnsi="Palatino"/>
        </w:rPr>
        <w:t xml:space="preserve"> </w:t>
      </w:r>
      <w:proofErr w:type="spellStart"/>
      <w:r w:rsidRPr="003112AE">
        <w:rPr>
          <w:rFonts w:ascii="Palatino" w:hAnsi="Palatino"/>
        </w:rPr>
        <w:t>Zizek</w:t>
      </w:r>
      <w:proofErr w:type="spellEnd"/>
      <w:r w:rsidRPr="003112AE">
        <w:rPr>
          <w:rFonts w:ascii="Palatino" w:hAnsi="Palatino"/>
        </w:rPr>
        <w:t>).</w:t>
      </w:r>
    </w:p>
    <w:p w:rsidR="00CA11FA" w:rsidRPr="003112AE" w:rsidRDefault="00CA11FA" w:rsidP="00CA11FA">
      <w:pPr>
        <w:jc w:val="center"/>
        <w:rPr>
          <w:rFonts w:ascii="Palatino" w:hAnsi="Palatino" w:cs="Arial"/>
          <w:b/>
        </w:rPr>
      </w:pPr>
      <w:r w:rsidRPr="003112AE">
        <w:rPr>
          <w:rFonts w:ascii="Palatino" w:hAnsi="Palatino"/>
        </w:rPr>
        <w:t>*</w:t>
      </w:r>
    </w:p>
    <w:p w:rsidR="00CA11FA" w:rsidRPr="003112AE" w:rsidRDefault="00CA11FA" w:rsidP="00CA11FA">
      <w:pPr>
        <w:rPr>
          <w:rFonts w:ascii="Palatino" w:hAnsi="Palatino" w:cs="Arial"/>
          <w:b/>
        </w:rPr>
      </w:pPr>
    </w:p>
    <w:p w:rsidR="00CA11FA" w:rsidRPr="003112AE" w:rsidRDefault="00CA11FA" w:rsidP="00CA11FA">
      <w:pPr>
        <w:rPr>
          <w:rFonts w:ascii="Palatino" w:hAnsi="Palatino" w:cs="Arial"/>
          <w:b/>
          <w:u w:val="single"/>
        </w:rPr>
      </w:pPr>
      <w:r w:rsidRPr="003112AE">
        <w:rPr>
          <w:rFonts w:ascii="Palatino" w:hAnsi="Palatino" w:cs="Arial"/>
          <w:b/>
          <w:u w:val="single"/>
        </w:rPr>
        <w:t>Discussion Questions</w:t>
      </w:r>
    </w:p>
    <w:p w:rsidR="00CA11FA" w:rsidRPr="003112AE" w:rsidRDefault="00CA11FA" w:rsidP="00CA11FA">
      <w:pPr>
        <w:pStyle w:val="ListParagraph"/>
        <w:numPr>
          <w:ilvl w:val="0"/>
          <w:numId w:val="1"/>
        </w:numPr>
        <w:rPr>
          <w:rFonts w:ascii="Palatino" w:hAnsi="Palatino" w:cs="Arial"/>
        </w:rPr>
      </w:pPr>
      <w:r w:rsidRPr="003112AE">
        <w:rPr>
          <w:rFonts w:ascii="Palatino" w:hAnsi="Palatino" w:cs="Arial"/>
        </w:rPr>
        <w:t xml:space="preserve"> “...the enormous importance to a patriarch who has to conquer, who has to rule, of feeling that greater numbers of people, half the human race indeed, are by nature inferior to himself.” (Woolf). Bearing in mind Woolf's theory on man's degradation of woman as a tool for self-confidence, assess the relationships between men and women in </w:t>
      </w:r>
      <w:r w:rsidRPr="003112AE">
        <w:rPr>
          <w:rFonts w:ascii="Palatino" w:hAnsi="Palatino" w:cs="Arial"/>
          <w:i/>
        </w:rPr>
        <w:t>The Magic Toyshop</w:t>
      </w:r>
      <w:r w:rsidRPr="003112AE">
        <w:rPr>
          <w:rFonts w:ascii="Palatino" w:hAnsi="Palatino" w:cs="Arial"/>
        </w:rPr>
        <w:t>.</w:t>
      </w:r>
    </w:p>
    <w:p w:rsidR="00CA11FA" w:rsidRPr="003112AE" w:rsidRDefault="00CA11FA" w:rsidP="00CA11FA">
      <w:pPr>
        <w:pStyle w:val="ListParagraph"/>
        <w:rPr>
          <w:rFonts w:ascii="Palatino" w:hAnsi="Palatino" w:cs="Arial"/>
        </w:rPr>
      </w:pPr>
    </w:p>
    <w:p w:rsidR="00CA11FA" w:rsidRPr="003112AE" w:rsidRDefault="00CA11FA" w:rsidP="00CA11FA">
      <w:pPr>
        <w:pStyle w:val="ListParagraph"/>
        <w:numPr>
          <w:ilvl w:val="0"/>
          <w:numId w:val="1"/>
        </w:numPr>
        <w:rPr>
          <w:rFonts w:ascii="Palatino" w:hAnsi="Palatino" w:cs="Arial"/>
        </w:rPr>
      </w:pPr>
      <w:r w:rsidRPr="003112AE">
        <w:rPr>
          <w:rFonts w:ascii="Palatino" w:hAnsi="Palatino" w:cs="Arial"/>
        </w:rPr>
        <w:t xml:space="preserve"> “Women have served all these centuries as looking-glasses possessing the magic and delicious power of reflecting the figure of man at twice its natural size.” (Woolf) Does Carter imply that man's treatment of woman reflects deep insecurities in </w:t>
      </w:r>
      <w:proofErr w:type="gramStart"/>
      <w:r w:rsidRPr="003112AE">
        <w:rPr>
          <w:rFonts w:ascii="Palatino" w:hAnsi="Palatino" w:cs="Arial"/>
        </w:rPr>
        <w:t>himself</w:t>
      </w:r>
      <w:proofErr w:type="gramEnd"/>
      <w:r w:rsidRPr="003112AE">
        <w:rPr>
          <w:rFonts w:ascii="Palatino" w:hAnsi="Palatino" w:cs="Arial"/>
        </w:rPr>
        <w:t>?</w:t>
      </w:r>
    </w:p>
    <w:p w:rsidR="00CA11FA" w:rsidRPr="003112AE" w:rsidRDefault="00CA11FA" w:rsidP="00CA11FA">
      <w:pPr>
        <w:pStyle w:val="ListParagraph"/>
        <w:rPr>
          <w:rFonts w:ascii="Palatino" w:hAnsi="Palatino" w:cs="Arial"/>
        </w:rPr>
      </w:pPr>
    </w:p>
    <w:p w:rsidR="00CA11FA" w:rsidRPr="003112AE" w:rsidRDefault="00CA11FA" w:rsidP="00CA11FA">
      <w:pPr>
        <w:pStyle w:val="ListParagraph"/>
        <w:numPr>
          <w:ilvl w:val="0"/>
          <w:numId w:val="1"/>
        </w:numPr>
        <w:rPr>
          <w:rFonts w:ascii="Palatino" w:hAnsi="Palatino" w:cs="Arial"/>
        </w:rPr>
      </w:pPr>
      <w:r w:rsidRPr="003112AE">
        <w:rPr>
          <w:rFonts w:ascii="Palatino" w:hAnsi="Palatino" w:cs="Arial"/>
        </w:rPr>
        <w:t>Simone de Beauvoir suggested that one is not born but rather becomes a woman. With this in mind, consider how Melanie's environment and</w:t>
      </w:r>
      <w:bookmarkStart w:id="0" w:name="_GoBack"/>
      <w:bookmarkEnd w:id="0"/>
      <w:r w:rsidRPr="003112AE">
        <w:rPr>
          <w:rFonts w:ascii="Palatino" w:hAnsi="Palatino" w:cs="Arial"/>
        </w:rPr>
        <w:t xml:space="preserve"> experiences shaped her femininity.</w:t>
      </w:r>
    </w:p>
    <w:p w:rsidR="00CA11FA" w:rsidRPr="003112AE" w:rsidRDefault="00CA11FA" w:rsidP="00CA11FA">
      <w:pPr>
        <w:pStyle w:val="ListParagraph"/>
        <w:rPr>
          <w:rFonts w:ascii="Palatino" w:hAnsi="Palatino" w:cs="Arial"/>
        </w:rPr>
      </w:pPr>
    </w:p>
    <w:p w:rsidR="00CA11FA" w:rsidRPr="003112AE" w:rsidRDefault="00CA11FA" w:rsidP="00CA11FA">
      <w:pPr>
        <w:pStyle w:val="ListParagraph"/>
        <w:numPr>
          <w:ilvl w:val="0"/>
          <w:numId w:val="1"/>
        </w:numPr>
        <w:rPr>
          <w:rFonts w:ascii="Palatino" w:hAnsi="Palatino" w:cs="Arial"/>
        </w:rPr>
      </w:pPr>
      <w:r w:rsidRPr="003112AE">
        <w:rPr>
          <w:rFonts w:ascii="Palatino" w:hAnsi="Palatino" w:cs="Arial"/>
        </w:rPr>
        <w:t>“Remove that protection, expose them to the same exertions and activities, make them soldiers and sailors and engine-drivers and dock labourers.” (Woolf) Consider the view that Carter encourages women to break out of the constraints that society has created for them.</w:t>
      </w:r>
    </w:p>
    <w:p w:rsidR="00CA11FA" w:rsidRPr="003112AE" w:rsidRDefault="00CA11FA" w:rsidP="00CA11FA">
      <w:pPr>
        <w:pStyle w:val="ListParagraph"/>
        <w:rPr>
          <w:rFonts w:ascii="Palatino" w:hAnsi="Palatino" w:cs="Arial"/>
        </w:rPr>
      </w:pPr>
    </w:p>
    <w:p w:rsidR="00CA11FA" w:rsidRPr="003112AE" w:rsidRDefault="00CA11FA" w:rsidP="00CA11FA">
      <w:pPr>
        <w:pStyle w:val="ListParagraph"/>
        <w:numPr>
          <w:ilvl w:val="0"/>
          <w:numId w:val="1"/>
        </w:numPr>
        <w:rPr>
          <w:rFonts w:ascii="Palatino" w:hAnsi="Palatino" w:cs="Arial"/>
        </w:rPr>
      </w:pPr>
      <w:r w:rsidRPr="003112AE">
        <w:rPr>
          <w:rFonts w:ascii="Palatino" w:hAnsi="Palatino" w:cs="Arial"/>
        </w:rPr>
        <w:t>“For man is also flesh for woman; and woman is not merely a carnal object.” (Simone de Beauvoir) To what extent does the character of Uncle Philip reflect the idea that woman is a carnal object and nothing more?</w:t>
      </w:r>
    </w:p>
    <w:p w:rsidR="00AA4391" w:rsidRPr="003112AE" w:rsidRDefault="00AA4391">
      <w:pPr>
        <w:rPr>
          <w:rFonts w:ascii="Palatino" w:hAnsi="Palatino"/>
        </w:rPr>
      </w:pPr>
    </w:p>
    <w:sectPr w:rsidR="00AA4391" w:rsidRPr="003112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Palatino">
    <w:panose1 w:val="00000000000000000000"/>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DB4C3A"/>
    <w:multiLevelType w:val="hybridMultilevel"/>
    <w:tmpl w:val="2DC2B5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11FA"/>
    <w:rsid w:val="003112AE"/>
    <w:rsid w:val="00AA4391"/>
    <w:rsid w:val="00CA11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1FA"/>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11FA"/>
    <w:pPr>
      <w:ind w:left="720"/>
      <w:contextualSpacing/>
    </w:pPr>
  </w:style>
  <w:style w:type="paragraph" w:styleId="BalloonText">
    <w:name w:val="Balloon Text"/>
    <w:basedOn w:val="Normal"/>
    <w:link w:val="BalloonTextChar"/>
    <w:uiPriority w:val="99"/>
    <w:semiHidden/>
    <w:unhideWhenUsed/>
    <w:rsid w:val="00CA11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11FA"/>
    <w:rPr>
      <w:rFonts w:ascii="Tahoma" w:eastAsiaTheme="minorEastAsia" w:hAnsi="Tahoma" w:cs="Tahoma"/>
      <w:sz w:val="16"/>
      <w:szCs w:val="16"/>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11FA"/>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11FA"/>
    <w:pPr>
      <w:ind w:left="720"/>
      <w:contextualSpacing/>
    </w:pPr>
  </w:style>
  <w:style w:type="paragraph" w:styleId="BalloonText">
    <w:name w:val="Balloon Text"/>
    <w:basedOn w:val="Normal"/>
    <w:link w:val="BalloonTextChar"/>
    <w:uiPriority w:val="99"/>
    <w:semiHidden/>
    <w:unhideWhenUsed/>
    <w:rsid w:val="00CA11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A11FA"/>
    <w:rPr>
      <w:rFonts w:ascii="Tahoma" w:eastAsiaTheme="minorEastAsia"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Pages>
  <Words>573</Words>
  <Characters>3271</Characters>
  <Application>Microsoft Office Word</Application>
  <DocSecurity>0</DocSecurity>
  <Lines>27</Lines>
  <Paragraphs>7</Paragraphs>
  <ScaleCrop>false</ScaleCrop>
  <Company>University of Warwick</Company>
  <LinksUpToDate>false</LinksUpToDate>
  <CharactersWithSpaces>3837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dcterms:created xsi:type="dcterms:W3CDTF">2012-10-18T14:07:00Z</dcterms:created>
  <dcterms:modified xsi:type="dcterms:W3CDTF">2012-10-18T14:18:00Z</dcterms:modified>
</cp:coreProperties>
</file>