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1501" w:rsidRPr="004D1884" w:rsidRDefault="004D1884" w:rsidP="004D1884">
      <w:pPr>
        <w:jc w:val="center"/>
        <w:rPr>
          <w:rFonts w:ascii="Book Antiqua" w:hAnsi="Book Antiqua"/>
          <w:b/>
          <w:sz w:val="44"/>
        </w:rPr>
      </w:pPr>
      <w:r w:rsidRPr="004D1884">
        <w:rPr>
          <w:rFonts w:ascii="Book Antiqua" w:hAnsi="Book Antiqua"/>
          <w:b/>
          <w:noProof/>
          <w:sz w:val="44"/>
          <w:lang w:eastAsia="en-GB"/>
        </w:rPr>
        <w:drawing>
          <wp:anchor distT="0" distB="0" distL="114300" distR="114300" simplePos="0" relativeHeight="251658240" behindDoc="1" locked="0" layoutInCell="1" allowOverlap="1">
            <wp:simplePos x="0" y="0"/>
            <wp:positionH relativeFrom="column">
              <wp:posOffset>-179070</wp:posOffset>
            </wp:positionH>
            <wp:positionV relativeFrom="paragraph">
              <wp:posOffset>403225</wp:posOffset>
            </wp:positionV>
            <wp:extent cx="6176010" cy="2331720"/>
            <wp:effectExtent l="19050" t="0" r="0" b="0"/>
            <wp:wrapTight wrapText="bothSides">
              <wp:wrapPolygon edited="0">
                <wp:start x="-67" y="0"/>
                <wp:lineTo x="-67" y="21353"/>
                <wp:lineTo x="21587" y="21353"/>
                <wp:lineTo x="21587" y="0"/>
                <wp:lineTo x="-67"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6176010" cy="2331720"/>
                    </a:xfrm>
                    <a:prstGeom prst="rect">
                      <a:avLst/>
                    </a:prstGeom>
                    <a:noFill/>
                    <a:ln w="9525">
                      <a:noFill/>
                      <a:miter lim="800000"/>
                      <a:headEnd/>
                      <a:tailEnd/>
                    </a:ln>
                  </pic:spPr>
                </pic:pic>
              </a:graphicData>
            </a:graphic>
          </wp:anchor>
        </w:drawing>
      </w:r>
      <w:r w:rsidR="00B92E0E" w:rsidRPr="004D1884">
        <w:rPr>
          <w:rFonts w:ascii="Book Antiqua" w:hAnsi="Book Antiqua"/>
          <w:b/>
          <w:sz w:val="44"/>
        </w:rPr>
        <w:t xml:space="preserve">Modes of Reading Week </w:t>
      </w:r>
      <w:r w:rsidR="00CB200D">
        <w:rPr>
          <w:rFonts w:ascii="Book Antiqua" w:hAnsi="Book Antiqua"/>
          <w:b/>
          <w:sz w:val="44"/>
        </w:rPr>
        <w:t>5</w:t>
      </w:r>
    </w:p>
    <w:p w:rsidR="00E86845" w:rsidRPr="00E86845" w:rsidRDefault="00E86845" w:rsidP="008B7D43">
      <w:pPr>
        <w:jc w:val="both"/>
        <w:rPr>
          <w:rFonts w:ascii="Book Antiqua" w:eastAsia="Times New Roman" w:hAnsi="Book Antiqua" w:cs="Times New Roman"/>
          <w:sz w:val="20"/>
          <w:lang w:eastAsia="en-GB"/>
        </w:rPr>
      </w:pPr>
      <w:r w:rsidRPr="00F85607">
        <w:rPr>
          <w:rFonts w:ascii="Book Antiqua" w:eastAsia="Times New Roman" w:hAnsi="Book Antiqua" w:cs="Times New Roman"/>
          <w:b/>
          <w:sz w:val="20"/>
          <w:lang w:eastAsia="en-GB"/>
        </w:rPr>
        <w:t xml:space="preserve">Heterogeneous: </w:t>
      </w:r>
      <w:r w:rsidRPr="00F85607">
        <w:rPr>
          <w:rFonts w:ascii="Book Antiqua" w:eastAsia="Times New Roman" w:hAnsi="Book Antiqua" w:cs="Times New Roman"/>
          <w:color w:val="333333"/>
          <w:sz w:val="20"/>
          <w:lang w:eastAsia="en-GB"/>
        </w:rPr>
        <w:t>different</w:t>
      </w:r>
      <w:r w:rsidRPr="00F85607">
        <w:rPr>
          <w:rFonts w:ascii="Book Antiqua" w:eastAsia="Times New Roman" w:hAnsi="Book Antiqua" w:cs="Times New Roman"/>
          <w:sz w:val="20"/>
          <w:lang w:eastAsia="en-GB"/>
        </w:rPr>
        <w:t xml:space="preserve"> in kind; unlike; incongruous. 2) </w:t>
      </w:r>
      <w:r w:rsidRPr="00F85607">
        <w:rPr>
          <w:rFonts w:ascii="Book Antiqua" w:eastAsia="Times New Roman" w:hAnsi="Book Antiqua" w:cs="Times New Roman"/>
          <w:color w:val="333333"/>
          <w:sz w:val="20"/>
          <w:lang w:eastAsia="en-GB"/>
        </w:rPr>
        <w:t>composed</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of</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parts</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of</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different</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kinds;</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having</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widely</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dissimilar</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elements</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or</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constituents</w:t>
      </w:r>
      <w:r w:rsidR="001F3F61" w:rsidRPr="00F85607">
        <w:rPr>
          <w:rFonts w:ascii="Book Antiqua" w:eastAsia="Times New Roman" w:hAnsi="Book Antiqua" w:cs="Times New Roman"/>
          <w:sz w:val="20"/>
          <w:lang w:eastAsia="en-GB"/>
        </w:rPr>
        <w:t>.</w:t>
      </w:r>
    </w:p>
    <w:p w:rsidR="00E86845" w:rsidRPr="00F85607" w:rsidRDefault="00E86845" w:rsidP="008B7D43">
      <w:pPr>
        <w:jc w:val="both"/>
        <w:rPr>
          <w:rFonts w:ascii="Book Antiqua" w:eastAsia="Times New Roman" w:hAnsi="Book Antiqua" w:cs="Times New Roman"/>
          <w:color w:val="333333"/>
          <w:sz w:val="20"/>
          <w:lang w:eastAsia="en-GB"/>
        </w:rPr>
      </w:pPr>
      <w:r w:rsidRPr="00F85607">
        <w:rPr>
          <w:rFonts w:ascii="Book Antiqua" w:eastAsia="Times New Roman" w:hAnsi="Book Antiqua" w:cs="Times New Roman"/>
          <w:b/>
          <w:sz w:val="20"/>
          <w:lang w:eastAsia="en-GB"/>
        </w:rPr>
        <w:t xml:space="preserve">Homogeneous:  </w:t>
      </w:r>
      <w:r w:rsidRPr="00F85607">
        <w:rPr>
          <w:rFonts w:ascii="Book Antiqua" w:eastAsia="Times New Roman" w:hAnsi="Book Antiqua" w:cs="Times New Roman"/>
          <w:color w:val="333333"/>
          <w:sz w:val="20"/>
          <w:lang w:eastAsia="en-GB"/>
        </w:rPr>
        <w:t>composed</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of</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parts</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or</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elements</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that</w:t>
      </w:r>
      <w:r w:rsidR="008B7D43" w:rsidRPr="00F85607">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are</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all</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of</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the</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same</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kind;</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not</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heterogeneou</w:t>
      </w:r>
      <w:r w:rsidR="008B7D43" w:rsidRPr="00F85607">
        <w:rPr>
          <w:rFonts w:ascii="Book Antiqua" w:eastAsia="Times New Roman" w:hAnsi="Book Antiqua" w:cs="Times New Roman"/>
          <w:color w:val="333333"/>
          <w:sz w:val="20"/>
          <w:lang w:eastAsia="en-GB"/>
        </w:rPr>
        <w:t>s</w:t>
      </w:r>
      <w:r w:rsidRPr="00F85607">
        <w:rPr>
          <w:rFonts w:ascii="Book Antiqua" w:eastAsia="Times New Roman" w:hAnsi="Book Antiqua" w:cs="Times New Roman"/>
          <w:color w:val="333333"/>
          <w:sz w:val="20"/>
          <w:lang w:eastAsia="en-GB"/>
        </w:rPr>
        <w:t>.</w:t>
      </w:r>
      <w:r w:rsidRPr="00F85607">
        <w:rPr>
          <w:rFonts w:ascii="Book Antiqua" w:eastAsia="Times New Roman" w:hAnsi="Book Antiqua" w:cs="Times New Roman"/>
          <w:sz w:val="20"/>
          <w:lang w:eastAsia="en-GB"/>
        </w:rPr>
        <w:t xml:space="preserve"> 2) of</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the</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same</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kind</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sz w:val="20"/>
          <w:lang w:eastAsia="en-GB"/>
        </w:rPr>
        <w:t>or</w:t>
      </w:r>
      <w:r w:rsidRPr="00E86845">
        <w:rPr>
          <w:rFonts w:ascii="Book Antiqua" w:eastAsia="Times New Roman" w:hAnsi="Book Antiqua" w:cs="Times New Roman"/>
          <w:sz w:val="20"/>
          <w:lang w:eastAsia="en-GB"/>
        </w:rPr>
        <w:t xml:space="preserve"> </w:t>
      </w:r>
      <w:hyperlink r:id="rId6" w:history="1">
        <w:r w:rsidRPr="00F85607">
          <w:rPr>
            <w:rFonts w:ascii="Book Antiqua" w:eastAsia="Times New Roman" w:hAnsi="Book Antiqua" w:cs="Times New Roman"/>
            <w:sz w:val="20"/>
            <w:lang w:eastAsia="en-GB"/>
          </w:rPr>
          <w:t>nature</w:t>
        </w:r>
      </w:hyperlink>
      <w:r w:rsidRPr="00F85607">
        <w:rPr>
          <w:rFonts w:ascii="Book Antiqua" w:eastAsia="Times New Roman" w:hAnsi="Book Antiqua" w:cs="Times New Roman"/>
          <w:sz w:val="20"/>
          <w:lang w:eastAsia="en-GB"/>
        </w:rPr>
        <w:t>;</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essentially</w:t>
      </w:r>
      <w:r w:rsidRPr="00E86845">
        <w:rPr>
          <w:rFonts w:ascii="Book Antiqua" w:eastAsia="Times New Roman" w:hAnsi="Book Antiqua" w:cs="Times New Roman"/>
          <w:sz w:val="20"/>
          <w:lang w:eastAsia="en-GB"/>
        </w:rPr>
        <w:t xml:space="preserve"> </w:t>
      </w:r>
      <w:r w:rsidRPr="00F85607">
        <w:rPr>
          <w:rFonts w:ascii="Book Antiqua" w:eastAsia="Times New Roman" w:hAnsi="Book Antiqua" w:cs="Times New Roman"/>
          <w:color w:val="333333"/>
          <w:sz w:val="20"/>
          <w:lang w:eastAsia="en-GB"/>
        </w:rPr>
        <w:t>alike.</w:t>
      </w:r>
    </w:p>
    <w:p w:rsidR="00CC3669" w:rsidRPr="00F85607" w:rsidRDefault="001F3F61" w:rsidP="008B7D43">
      <w:pPr>
        <w:jc w:val="both"/>
        <w:rPr>
          <w:rFonts w:ascii="Book Antiqua" w:hAnsi="Book Antiqua" w:cs="Arial"/>
          <w:sz w:val="20"/>
        </w:rPr>
      </w:pPr>
      <w:r w:rsidRPr="00F85607">
        <w:rPr>
          <w:rFonts w:ascii="Book Antiqua" w:hAnsi="Book Antiqua"/>
          <w:b/>
          <w:bCs/>
          <w:sz w:val="20"/>
        </w:rPr>
        <w:t>Homosocial</w:t>
      </w:r>
      <w:r w:rsidR="00F85607">
        <w:rPr>
          <w:rFonts w:ascii="Book Antiqua" w:hAnsi="Book Antiqua"/>
          <w:b/>
          <w:bCs/>
          <w:sz w:val="20"/>
        </w:rPr>
        <w:t>/Homosocial</w:t>
      </w:r>
      <w:r w:rsidR="00F85607" w:rsidRPr="00F85607">
        <w:rPr>
          <w:rFonts w:ascii="Book Antiqua" w:hAnsi="Book Antiqua"/>
          <w:b/>
          <w:bCs/>
          <w:sz w:val="20"/>
        </w:rPr>
        <w:t>ity</w:t>
      </w:r>
      <w:r w:rsidRPr="00F85607">
        <w:rPr>
          <w:rFonts w:ascii="Book Antiqua" w:hAnsi="Book Antiqua"/>
          <w:b/>
          <w:bCs/>
          <w:sz w:val="20"/>
        </w:rPr>
        <w:t>:</w:t>
      </w:r>
      <w:r w:rsidRPr="00F85607">
        <w:rPr>
          <w:rFonts w:ascii="Book Antiqua" w:hAnsi="Book Antiqua"/>
          <w:sz w:val="20"/>
        </w:rPr>
        <w:t xml:space="preserve"> describes same-sex relationships that are not of a </w:t>
      </w:r>
      <w:hyperlink r:id="rId7" w:tooltip="Romance (love)" w:history="1">
        <w:r w:rsidRPr="00F85607">
          <w:rPr>
            <w:rStyle w:val="Hyperlink"/>
            <w:rFonts w:ascii="Book Antiqua" w:hAnsi="Book Antiqua"/>
            <w:color w:val="auto"/>
            <w:sz w:val="20"/>
            <w:u w:val="none"/>
          </w:rPr>
          <w:t>romantic</w:t>
        </w:r>
      </w:hyperlink>
      <w:r w:rsidRPr="00F85607">
        <w:rPr>
          <w:rFonts w:ascii="Book Antiqua" w:hAnsi="Book Antiqua"/>
          <w:sz w:val="20"/>
        </w:rPr>
        <w:t xml:space="preserve"> or sexual nature. The opposite of homosocial is </w:t>
      </w:r>
      <w:hyperlink r:id="rId8" w:tooltip="Heterosociality" w:history="1">
        <w:r w:rsidRPr="00F85607">
          <w:rPr>
            <w:rStyle w:val="Hyperlink"/>
            <w:rFonts w:ascii="Book Antiqua" w:hAnsi="Book Antiqua"/>
            <w:color w:val="auto"/>
            <w:sz w:val="20"/>
            <w:u w:val="none"/>
          </w:rPr>
          <w:t>heterosocial</w:t>
        </w:r>
      </w:hyperlink>
      <w:r w:rsidRPr="00F85607">
        <w:rPr>
          <w:rFonts w:ascii="Book Antiqua" w:hAnsi="Book Antiqua"/>
          <w:sz w:val="20"/>
        </w:rPr>
        <w:t xml:space="preserve">, preferring non-sexual relations with the opposite sex. The term is often used by </w:t>
      </w:r>
      <w:hyperlink r:id="rId9" w:tooltip="Feminism" w:history="1">
        <w:r w:rsidRPr="00F85607">
          <w:rPr>
            <w:rStyle w:val="Hyperlink"/>
            <w:rFonts w:ascii="Book Antiqua" w:hAnsi="Book Antiqua"/>
            <w:color w:val="auto"/>
            <w:sz w:val="20"/>
            <w:u w:val="none"/>
          </w:rPr>
          <w:t>feminists</w:t>
        </w:r>
      </w:hyperlink>
      <w:r w:rsidRPr="00F85607">
        <w:rPr>
          <w:rFonts w:ascii="Book Antiqua" w:hAnsi="Book Antiqua"/>
          <w:sz w:val="20"/>
        </w:rPr>
        <w:t xml:space="preserve"> to emphasize aspects of solidarity between males.</w:t>
      </w:r>
      <w:r w:rsidRPr="00F85607">
        <w:rPr>
          <w:rFonts w:ascii="Arial" w:hAnsi="Arial" w:cs="Arial"/>
          <w:sz w:val="20"/>
        </w:rPr>
        <w:t xml:space="preserve"> </w:t>
      </w:r>
      <w:r w:rsidRPr="00F85607">
        <w:rPr>
          <w:rFonts w:ascii="Book Antiqua" w:hAnsi="Book Antiqua" w:cs="Arial"/>
          <w:sz w:val="20"/>
        </w:rPr>
        <w:t>According to Sedgwick the female homosocial continuum functions very differently from the male continuum.  A lesbian, for example, can be easily accepted as a champion of women’s rights including heterosexuals), but a gay man would not be looked upon as a champion of men’s rights in the same way (a gay man is not a “re</w:t>
      </w:r>
      <w:r w:rsidR="006C0779" w:rsidRPr="00F85607">
        <w:rPr>
          <w:rFonts w:ascii="Book Antiqua" w:hAnsi="Book Antiqua" w:cs="Arial"/>
          <w:sz w:val="20"/>
        </w:rPr>
        <w:t xml:space="preserve">al man”).  This male continuum </w:t>
      </w:r>
      <w:r w:rsidRPr="00F85607">
        <w:rPr>
          <w:rFonts w:ascii="Book Antiqua" w:hAnsi="Book Antiqua" w:cs="Arial"/>
          <w:sz w:val="20"/>
        </w:rPr>
        <w:t xml:space="preserve">is a social construct forced upon men.  </w:t>
      </w:r>
    </w:p>
    <w:p w:rsidR="001F3F61" w:rsidRPr="00F85607" w:rsidRDefault="00CC3669" w:rsidP="008B7D43">
      <w:pPr>
        <w:jc w:val="both"/>
        <w:rPr>
          <w:rFonts w:ascii="Book Antiqua" w:eastAsia="Times New Roman" w:hAnsi="Book Antiqua" w:cs="Times New Roman"/>
          <w:sz w:val="20"/>
          <w:lang w:eastAsia="en-GB"/>
        </w:rPr>
      </w:pPr>
      <w:r w:rsidRPr="00F85607">
        <w:rPr>
          <w:rFonts w:ascii="Book Antiqua" w:hAnsi="Book Antiqua" w:cs="Arial"/>
          <w:sz w:val="20"/>
        </w:rPr>
        <w:t>I</w:t>
      </w:r>
      <w:r w:rsidR="001F3F61" w:rsidRPr="00F85607">
        <w:rPr>
          <w:rFonts w:ascii="Book Antiqua" w:hAnsi="Book Antiqua" w:cs="Arial"/>
          <w:sz w:val="20"/>
        </w:rPr>
        <w:t xml:space="preserve">n </w:t>
      </w:r>
      <w:r w:rsidRPr="00F85607">
        <w:rPr>
          <w:rFonts w:ascii="Book Antiqua" w:hAnsi="Book Antiqua" w:cs="Arial"/>
          <w:sz w:val="20"/>
        </w:rPr>
        <w:t>the 18</w:t>
      </w:r>
      <w:r w:rsidRPr="00F85607">
        <w:rPr>
          <w:rFonts w:ascii="Book Antiqua" w:hAnsi="Book Antiqua" w:cs="Arial"/>
          <w:sz w:val="20"/>
          <w:vertAlign w:val="superscript"/>
        </w:rPr>
        <w:t>th</w:t>
      </w:r>
      <w:r w:rsidRPr="00F85607">
        <w:rPr>
          <w:rFonts w:ascii="Book Antiqua" w:hAnsi="Book Antiqua" w:cs="Arial"/>
          <w:sz w:val="20"/>
        </w:rPr>
        <w:t>-20</w:t>
      </w:r>
      <w:r w:rsidRPr="00F85607">
        <w:rPr>
          <w:rFonts w:ascii="Book Antiqua" w:hAnsi="Book Antiqua" w:cs="Arial"/>
          <w:sz w:val="20"/>
          <w:vertAlign w:val="superscript"/>
        </w:rPr>
        <w:t>th</w:t>
      </w:r>
      <w:r w:rsidRPr="00F85607">
        <w:rPr>
          <w:rFonts w:ascii="Book Antiqua" w:hAnsi="Book Antiqua" w:cs="Arial"/>
          <w:sz w:val="20"/>
        </w:rPr>
        <w:t xml:space="preserve"> centuries</w:t>
      </w:r>
      <w:r w:rsidR="001F3F61" w:rsidRPr="00F85607">
        <w:rPr>
          <w:rFonts w:ascii="Book Antiqua" w:hAnsi="Book Antiqua" w:cs="Arial"/>
          <w:sz w:val="20"/>
        </w:rPr>
        <w:t xml:space="preserve"> men </w:t>
      </w:r>
      <w:r w:rsidRPr="00F85607">
        <w:rPr>
          <w:rFonts w:ascii="Book Antiqua" w:hAnsi="Book Antiqua" w:cs="Arial"/>
          <w:sz w:val="20"/>
        </w:rPr>
        <w:t>were</w:t>
      </w:r>
      <w:r w:rsidR="001F3F61" w:rsidRPr="00F85607">
        <w:rPr>
          <w:rFonts w:ascii="Book Antiqua" w:hAnsi="Book Antiqua" w:cs="Arial"/>
          <w:sz w:val="20"/>
        </w:rPr>
        <w:t xml:space="preserve"> encouraged to develop intimate homosocial bonds with each other, but </w:t>
      </w:r>
      <w:r w:rsidRPr="00F85607">
        <w:rPr>
          <w:rFonts w:ascii="Book Antiqua" w:hAnsi="Book Antiqua" w:cs="Arial"/>
          <w:sz w:val="20"/>
        </w:rPr>
        <w:t xml:space="preserve">were </w:t>
      </w:r>
      <w:r w:rsidR="001F3F61" w:rsidRPr="00F85607">
        <w:rPr>
          <w:rFonts w:ascii="Book Antiqua" w:hAnsi="Book Antiqua" w:cs="Arial"/>
          <w:sz w:val="20"/>
        </w:rPr>
        <w:t xml:space="preserve">not to allow these relationships to </w:t>
      </w:r>
      <w:r w:rsidRPr="00F85607">
        <w:rPr>
          <w:rFonts w:ascii="Book Antiqua" w:hAnsi="Book Antiqua" w:cs="Arial"/>
          <w:sz w:val="20"/>
        </w:rPr>
        <w:t>become</w:t>
      </w:r>
      <w:r w:rsidR="001F3F61" w:rsidRPr="00F85607">
        <w:rPr>
          <w:rFonts w:ascii="Book Antiqua" w:hAnsi="Book Antiqua" w:cs="Arial"/>
          <w:sz w:val="20"/>
        </w:rPr>
        <w:t xml:space="preserve"> </w:t>
      </w:r>
      <w:r w:rsidRPr="00F85607">
        <w:rPr>
          <w:rFonts w:ascii="Book Antiqua" w:hAnsi="Book Antiqua" w:cs="Arial"/>
          <w:sz w:val="20"/>
        </w:rPr>
        <w:t xml:space="preserve">feelings of homosexual desire which was prohibited and violently persecuted. </w:t>
      </w:r>
      <w:r w:rsidR="001F3F61" w:rsidRPr="00F85607">
        <w:rPr>
          <w:rFonts w:ascii="Book Antiqua" w:hAnsi="Book Antiqua" w:cs="Arial"/>
          <w:sz w:val="20"/>
        </w:rPr>
        <w:t xml:space="preserve">This can cause great </w:t>
      </w:r>
      <w:r w:rsidRPr="00F85607">
        <w:rPr>
          <w:rFonts w:ascii="Book Antiqua" w:hAnsi="Book Antiqua" w:cs="Arial"/>
          <w:sz w:val="20"/>
        </w:rPr>
        <w:t>stress in male relationships</w:t>
      </w:r>
      <w:r w:rsidR="001F3F61" w:rsidRPr="00F85607">
        <w:rPr>
          <w:rFonts w:ascii="Book Antiqua" w:hAnsi="Book Antiqua" w:cs="Arial"/>
          <w:sz w:val="20"/>
        </w:rPr>
        <w:t xml:space="preserve"> </w:t>
      </w:r>
      <w:r w:rsidRPr="00F85607">
        <w:rPr>
          <w:rFonts w:ascii="Book Antiqua" w:hAnsi="Book Antiqua" w:cs="Arial"/>
          <w:sz w:val="20"/>
        </w:rPr>
        <w:t xml:space="preserve">which </w:t>
      </w:r>
      <w:r w:rsidR="001F3F61" w:rsidRPr="00F85607">
        <w:rPr>
          <w:rFonts w:ascii="Book Antiqua" w:hAnsi="Book Antiqua" w:cs="Arial"/>
          <w:sz w:val="20"/>
        </w:rPr>
        <w:t xml:space="preserve">gets directed into </w:t>
      </w:r>
      <w:r w:rsidR="001F3F61" w:rsidRPr="00F85607">
        <w:rPr>
          <w:rFonts w:ascii="Book Antiqua" w:hAnsi="Book Antiqua" w:cs="Arial"/>
          <w:b/>
          <w:sz w:val="20"/>
        </w:rPr>
        <w:t>love triangles</w:t>
      </w:r>
      <w:r w:rsidR="009D5E7E" w:rsidRPr="00F85607">
        <w:rPr>
          <w:rFonts w:ascii="Book Antiqua" w:hAnsi="Book Antiqua" w:cs="Arial"/>
          <w:b/>
          <w:sz w:val="20"/>
        </w:rPr>
        <w:t xml:space="preserve"> </w:t>
      </w:r>
      <w:r w:rsidR="009D5E7E" w:rsidRPr="00F85607">
        <w:rPr>
          <w:rFonts w:ascii="Book Antiqua" w:hAnsi="Book Antiqua" w:cs="Arial"/>
          <w:sz w:val="20"/>
        </w:rPr>
        <w:t>(love rivalries esp. in literature)</w:t>
      </w:r>
      <w:r w:rsidR="001F3F61" w:rsidRPr="00F85607">
        <w:rPr>
          <w:rFonts w:ascii="Book Antiqua" w:hAnsi="Book Antiqua" w:cs="Arial"/>
          <w:sz w:val="20"/>
        </w:rPr>
        <w:t>.  Men can int</w:t>
      </w:r>
      <w:r w:rsidRPr="00F85607">
        <w:rPr>
          <w:rFonts w:ascii="Book Antiqua" w:hAnsi="Book Antiqua" w:cs="Arial"/>
          <w:sz w:val="20"/>
        </w:rPr>
        <w:t>eract with each other as rivals, fulfilling</w:t>
      </w:r>
      <w:r w:rsidR="001F3F61" w:rsidRPr="00F85607">
        <w:rPr>
          <w:rFonts w:ascii="Book Antiqua" w:hAnsi="Book Antiqua" w:cs="Arial"/>
          <w:sz w:val="20"/>
        </w:rPr>
        <w:t xml:space="preserve"> their homosocial needs without appearing homosexual.  Sedgwick argues that the bonds between the men are at least as important, and probably more so, than the bonds between the men and the women.  Also, because sex and gender are represented differently for men, men’s relationships with each other are allowed to become very complex (for women, sex and gender are the same, there is no real power, and so the relationships stay relatively simple).  Thus, for Sedgwick, the triangle is never symmetrical, but a sensitive register precisely for delineating relationships of power and meaning.</w:t>
      </w:r>
    </w:p>
    <w:p w:rsidR="00E86845" w:rsidRPr="00F85607" w:rsidRDefault="00E86845" w:rsidP="008B7D43">
      <w:pPr>
        <w:jc w:val="both"/>
        <w:rPr>
          <w:rFonts w:ascii="Book Antiqua" w:hAnsi="Book Antiqua"/>
          <w:sz w:val="20"/>
        </w:rPr>
      </w:pPr>
      <w:r w:rsidRPr="00F85607">
        <w:rPr>
          <w:rFonts w:ascii="Book Antiqua" w:eastAsia="Times New Roman" w:hAnsi="Book Antiqua" w:cs="Times New Roman"/>
          <w:b/>
          <w:sz w:val="20"/>
          <w:lang w:eastAsia="en-GB"/>
        </w:rPr>
        <w:t xml:space="preserve">Performativity: </w:t>
      </w:r>
      <w:r w:rsidRPr="00F85607">
        <w:rPr>
          <w:rFonts w:ascii="Book Antiqua" w:eastAsia="Times New Roman" w:hAnsi="Book Antiqua" w:cs="Times New Roman"/>
          <w:sz w:val="20"/>
          <w:lang w:eastAsia="en-GB"/>
        </w:rPr>
        <w:t xml:space="preserve">Butler argues that </w:t>
      </w:r>
      <w:r w:rsidRPr="00F85607">
        <w:rPr>
          <w:rFonts w:ascii="Book Antiqua" w:hAnsi="Book Antiqua"/>
          <w:sz w:val="20"/>
        </w:rPr>
        <w:t xml:space="preserve">social reality is not a given but is continually created as an illusion through </w:t>
      </w:r>
      <w:r w:rsidRPr="00F85607">
        <w:rPr>
          <w:rFonts w:ascii="Book Antiqua" w:hAnsi="Book Antiqua"/>
          <w:b/>
          <w:sz w:val="20"/>
        </w:rPr>
        <w:t>language, gesture</w:t>
      </w:r>
      <w:r w:rsidRPr="00F85607">
        <w:rPr>
          <w:rFonts w:ascii="Book Antiqua" w:hAnsi="Book Antiqua"/>
          <w:sz w:val="20"/>
        </w:rPr>
        <w:t xml:space="preserve">, and all manner of </w:t>
      </w:r>
      <w:r w:rsidRPr="00F85607">
        <w:rPr>
          <w:rFonts w:ascii="Book Antiqua" w:hAnsi="Book Antiqua"/>
          <w:b/>
          <w:sz w:val="20"/>
        </w:rPr>
        <w:t>symbolic social sign</w:t>
      </w:r>
      <w:r w:rsidRPr="00F85607">
        <w:rPr>
          <w:rFonts w:ascii="Book Antiqua" w:hAnsi="Book Antiqua"/>
          <w:sz w:val="20"/>
        </w:rPr>
        <w:t xml:space="preserve">. Butler </w:t>
      </w:r>
      <w:r w:rsidR="008B7D43" w:rsidRPr="00F85607">
        <w:rPr>
          <w:rFonts w:ascii="Book Antiqua" w:hAnsi="Book Antiqua"/>
          <w:sz w:val="20"/>
        </w:rPr>
        <w:t>explores</w:t>
      </w:r>
      <w:r w:rsidRPr="00F85607">
        <w:rPr>
          <w:rFonts w:ascii="Book Antiqua" w:hAnsi="Book Antiqua"/>
          <w:sz w:val="20"/>
        </w:rPr>
        <w:t xml:space="preserve"> the ways that linguistic constructions create our reality through the speech acts we participate in every day. By endlessly citing the conventions and ideologies of the social world around us, we enact </w:t>
      </w:r>
      <w:r w:rsidR="00CC3669" w:rsidRPr="00F85607">
        <w:rPr>
          <w:rFonts w:ascii="Book Antiqua" w:hAnsi="Book Antiqua"/>
          <w:sz w:val="20"/>
        </w:rPr>
        <w:t xml:space="preserve">and </w:t>
      </w:r>
      <w:r w:rsidR="00CC3669" w:rsidRPr="00F85607">
        <w:rPr>
          <w:rFonts w:ascii="Book Antiqua" w:hAnsi="Book Antiqua"/>
          <w:b/>
          <w:sz w:val="20"/>
        </w:rPr>
        <w:t>perform</w:t>
      </w:r>
      <w:r w:rsidR="00CC3669" w:rsidRPr="00F85607">
        <w:rPr>
          <w:rFonts w:ascii="Book Antiqua" w:hAnsi="Book Antiqua"/>
          <w:sz w:val="20"/>
        </w:rPr>
        <w:t xml:space="preserve"> </w:t>
      </w:r>
      <w:r w:rsidRPr="00F85607">
        <w:rPr>
          <w:rFonts w:ascii="Book Antiqua" w:hAnsi="Book Antiqua"/>
          <w:sz w:val="20"/>
        </w:rPr>
        <w:t>that reality</w:t>
      </w:r>
      <w:r w:rsidR="00CC3669" w:rsidRPr="00F85607">
        <w:rPr>
          <w:rFonts w:ascii="Book Antiqua" w:hAnsi="Book Antiqua"/>
          <w:sz w:val="20"/>
        </w:rPr>
        <w:t xml:space="preserve">. </w:t>
      </w:r>
      <w:r w:rsidRPr="00F85607">
        <w:rPr>
          <w:rFonts w:ascii="Book Antiqua" w:hAnsi="Book Antiqua"/>
          <w:sz w:val="20"/>
        </w:rPr>
        <w:t xml:space="preserve">In the act of performing the conventions of reality, by embodying those fictions in our actions, we make those artificial conventions appear to be natural and necessary. By enacting conventions, we do make them "real" to some extent (after all, our ideologies have "real" consequences for people) but that does not make them any less artificial. In particular, Butler </w:t>
      </w:r>
      <w:r w:rsidR="00CC3669" w:rsidRPr="00F85607">
        <w:rPr>
          <w:rFonts w:ascii="Book Antiqua" w:hAnsi="Book Antiqua"/>
          <w:sz w:val="20"/>
        </w:rPr>
        <w:t>is concerned</w:t>
      </w:r>
      <w:r w:rsidRPr="00F85607">
        <w:rPr>
          <w:rFonts w:ascii="Book Antiqua" w:hAnsi="Book Antiqua"/>
          <w:sz w:val="20"/>
        </w:rPr>
        <w:t xml:space="preserve"> with those "gender acts" that similarly lead to material changes in one's existence and even in one's bodily self</w:t>
      </w:r>
      <w:r w:rsidR="008B7D43" w:rsidRPr="00F85607">
        <w:rPr>
          <w:rFonts w:ascii="Book Antiqua" w:hAnsi="Book Antiqua"/>
          <w:sz w:val="20"/>
        </w:rPr>
        <w:t>.</w:t>
      </w:r>
      <w:r w:rsidRPr="00F85607">
        <w:rPr>
          <w:rFonts w:ascii="Book Antiqua" w:hAnsi="Book Antiqua"/>
          <w:sz w:val="20"/>
        </w:rPr>
        <w:t xml:space="preserve"> </w:t>
      </w:r>
      <w:r w:rsidR="00CC3669" w:rsidRPr="00F85607">
        <w:rPr>
          <w:rFonts w:ascii="Book Antiqua" w:hAnsi="Book Antiqua"/>
          <w:sz w:val="20"/>
        </w:rPr>
        <w:t>T</w:t>
      </w:r>
      <w:r w:rsidRPr="00F85607">
        <w:rPr>
          <w:rFonts w:ascii="Book Antiqua" w:hAnsi="Book Antiqua"/>
          <w:sz w:val="20"/>
        </w:rPr>
        <w:t xml:space="preserve">he enactment of gender norms has "real" consequences, including the creation of our sense of subjectivity but that does not make our subjectivity any less constructed. </w:t>
      </w:r>
    </w:p>
    <w:p w:rsidR="004D1884" w:rsidRDefault="004D1884" w:rsidP="00CC3669">
      <w:pPr>
        <w:jc w:val="both"/>
        <w:rPr>
          <w:rFonts w:ascii="Book Antiqua" w:hAnsi="Book Antiqua"/>
          <w:sz w:val="20"/>
        </w:rPr>
      </w:pPr>
    </w:p>
    <w:p w:rsidR="00E10A8F" w:rsidRDefault="00E10A8F" w:rsidP="00CC3669">
      <w:pPr>
        <w:jc w:val="both"/>
        <w:rPr>
          <w:rFonts w:ascii="Book Antiqua" w:hAnsi="Book Antiqua"/>
          <w:sz w:val="20"/>
        </w:rPr>
      </w:pPr>
    </w:p>
    <w:p w:rsidR="00984D83" w:rsidRDefault="00984D83" w:rsidP="008B7D43">
      <w:pPr>
        <w:jc w:val="both"/>
        <w:rPr>
          <w:rFonts w:ascii="Book Antiqua" w:eastAsia="Times New Roman" w:hAnsi="Book Antiqua" w:cs="Times New Roman"/>
          <w:b/>
          <w:lang w:eastAsia="en-GB"/>
        </w:rPr>
      </w:pPr>
      <w:r>
        <w:rPr>
          <w:rFonts w:ascii="Book Antiqua" w:eastAsia="Times New Roman" w:hAnsi="Book Antiqua" w:cs="Times New Roman"/>
          <w:b/>
          <w:lang w:eastAsia="en-GB"/>
        </w:rPr>
        <w:lastRenderedPageBreak/>
        <w:t>Misc Notes</w:t>
      </w:r>
    </w:p>
    <w:p w:rsidR="008B7D43" w:rsidRPr="008B7D43" w:rsidRDefault="008B7D43" w:rsidP="008B7D43">
      <w:pPr>
        <w:jc w:val="both"/>
        <w:rPr>
          <w:rFonts w:ascii="Book Antiqua" w:eastAsia="Times New Roman" w:hAnsi="Book Antiqua" w:cs="Times New Roman"/>
          <w:b/>
          <w:lang w:eastAsia="en-GB"/>
        </w:rPr>
      </w:pPr>
      <w:r w:rsidRPr="008B7D43">
        <w:rPr>
          <w:rFonts w:ascii="Book Antiqua" w:eastAsia="Times New Roman" w:hAnsi="Book Antiqua" w:cs="Times New Roman"/>
          <w:b/>
          <w:lang w:eastAsia="en-GB"/>
        </w:rPr>
        <w:t xml:space="preserve">Eve Sedgwick (Lodge 31) </w:t>
      </w:r>
    </w:p>
    <w:p w:rsidR="00D9098F" w:rsidRPr="008B7D43" w:rsidRDefault="00D9098F" w:rsidP="008B7D43">
      <w:pPr>
        <w:jc w:val="both"/>
        <w:rPr>
          <w:rFonts w:ascii="Book Antiqua" w:hAnsi="Book Antiqua"/>
        </w:rPr>
      </w:pPr>
      <w:r w:rsidRPr="008B7D43">
        <w:rPr>
          <w:rFonts w:ascii="Book Antiqua" w:hAnsi="Book Antiqua"/>
        </w:rPr>
        <w:t xml:space="preserve">Eve </w:t>
      </w:r>
      <w:proofErr w:type="spellStart"/>
      <w:r w:rsidRPr="008B7D43">
        <w:rPr>
          <w:rFonts w:ascii="Book Antiqua" w:hAnsi="Book Antiqua"/>
        </w:rPr>
        <w:t>Kosofsky</w:t>
      </w:r>
      <w:proofErr w:type="spellEnd"/>
      <w:r w:rsidRPr="008B7D43">
        <w:rPr>
          <w:rFonts w:ascii="Book Antiqua" w:hAnsi="Book Antiqua"/>
        </w:rPr>
        <w:t xml:space="preserve"> Sedgwick, writer and literary theorist, born 2 May 1950; died 12 April 2009 (breast cancer)</w:t>
      </w:r>
    </w:p>
    <w:p w:rsidR="00EC577E" w:rsidRPr="008B7D43" w:rsidRDefault="002E777A" w:rsidP="008B7D43">
      <w:pPr>
        <w:jc w:val="both"/>
        <w:rPr>
          <w:rFonts w:ascii="Book Antiqua" w:hAnsi="Book Antiqua"/>
        </w:rPr>
      </w:pPr>
      <w:r>
        <w:rPr>
          <w:rFonts w:ascii="Book Antiqua" w:hAnsi="Book Antiqua"/>
        </w:rPr>
        <w:t>O</w:t>
      </w:r>
      <w:r w:rsidR="00EC577E" w:rsidRPr="008B7D43">
        <w:rPr>
          <w:rFonts w:ascii="Book Antiqua" w:hAnsi="Book Antiqua"/>
        </w:rPr>
        <w:t>ne of the sharpest and most committed exponents of queer theory, the exploration of sexual perspectives other than that of conventional straightness in literature and the humanities. Though herself heterosexual, she was fascinated by the complex nature of relationships and desire, declaring herself proud of "having a life where work and love are impossible to tell apart".</w:t>
      </w:r>
    </w:p>
    <w:p w:rsidR="00EC577E" w:rsidRPr="008B7D43" w:rsidRDefault="00EC577E" w:rsidP="008B7D43">
      <w:pPr>
        <w:jc w:val="both"/>
        <w:rPr>
          <w:rFonts w:ascii="Book Antiqua" w:hAnsi="Book Antiqua"/>
        </w:rPr>
      </w:pPr>
      <w:r w:rsidRPr="008B7D43">
        <w:rPr>
          <w:rFonts w:ascii="Book Antiqua" w:hAnsi="Book Antiqua"/>
        </w:rPr>
        <w:t xml:space="preserve">Queer theory rejects labels such as gay and straight, </w:t>
      </w:r>
      <w:proofErr w:type="spellStart"/>
      <w:r w:rsidRPr="008B7D43">
        <w:rPr>
          <w:rFonts w:ascii="Book Antiqua" w:hAnsi="Book Antiqua"/>
        </w:rPr>
        <w:t>referring</w:t>
      </w:r>
      <w:proofErr w:type="spellEnd"/>
      <w:r w:rsidRPr="008B7D43">
        <w:rPr>
          <w:rFonts w:ascii="Book Antiqua" w:hAnsi="Book Antiqua"/>
        </w:rPr>
        <w:t xml:space="preserve"> instead to a sense of identity that subverts presumed norms and social codes. Sedgwick and her colleagues recognised social perceptions of sexuality as worthy of contemplation, drawing inspiration from the French philosopher Michel Foucault, and with roots in both the gay and lesbian studies of the 1980s and traditional literary academia. To Sedgwick, "queer" was "the open mesh of possibilities, gaps, overlaps, dissonances and resonances, lapses and excesses of meaning when the constituent elements of anyone's gender, of anyone's sexuality aren't made (or can't be made) to signify monolithically".</w:t>
      </w:r>
    </w:p>
    <w:p w:rsidR="00EC577E" w:rsidRPr="008B7D43" w:rsidRDefault="00EC577E" w:rsidP="008B7D43">
      <w:pPr>
        <w:jc w:val="both"/>
        <w:rPr>
          <w:rFonts w:ascii="Book Antiqua" w:hAnsi="Book Antiqua"/>
        </w:rPr>
      </w:pPr>
      <w:r w:rsidRPr="008B7D43">
        <w:rPr>
          <w:rFonts w:ascii="Book Antiqua" w:hAnsi="Book Antiqua"/>
        </w:rPr>
        <w:t>“It’s about trying to understand different kinds of sexual desire and how the culture defines them,” she told The New York Times in 1998, explaining the function of queer theory. “It’s about how you can’t understand relations between men and women unless you understand the relationship between people of the same gender, including the possibility of a sexual relationship between them.”</w:t>
      </w:r>
    </w:p>
    <w:p w:rsidR="00EC577E" w:rsidRPr="008B7D43" w:rsidRDefault="00EC577E" w:rsidP="008B7D43">
      <w:pPr>
        <w:jc w:val="both"/>
        <w:rPr>
          <w:rFonts w:ascii="Book Antiqua" w:hAnsi="Book Antiqua"/>
        </w:rPr>
      </w:pPr>
      <w:r w:rsidRPr="008B7D43">
        <w:rPr>
          <w:rFonts w:ascii="Book Antiqua" w:hAnsi="Book Antiqua"/>
        </w:rPr>
        <w:t>Her first book, Between Men: English Literature and Male Homosocial Desire (1985), explored male bonds in 19th-century novels, considering authors such as Dickens and the "erotic triangles" of homosexual, homosocial and homophobic relations depicted.</w:t>
      </w:r>
    </w:p>
    <w:p w:rsidR="00EC577E" w:rsidRPr="008B7D43" w:rsidRDefault="00EC577E" w:rsidP="008B7D43">
      <w:pPr>
        <w:jc w:val="both"/>
        <w:rPr>
          <w:rFonts w:ascii="Book Antiqua" w:hAnsi="Book Antiqua"/>
        </w:rPr>
      </w:pPr>
      <w:r w:rsidRPr="008B7D43">
        <w:rPr>
          <w:rFonts w:ascii="Book Antiqua" w:hAnsi="Book Antiqua"/>
        </w:rPr>
        <w:t>Sedgwick's ideas are perhaps best outlined in Epistemology of the Closet (1990), acknowledged by many, including her fellow pioneer in queer theory Judith Butler, as a founding text of the field.</w:t>
      </w:r>
    </w:p>
    <w:p w:rsidR="00EC577E" w:rsidRPr="008B7D43" w:rsidRDefault="00EC577E" w:rsidP="008B7D43">
      <w:pPr>
        <w:jc w:val="both"/>
        <w:rPr>
          <w:rFonts w:ascii="Book Antiqua" w:hAnsi="Book Antiqua"/>
        </w:rPr>
      </w:pPr>
      <w:r w:rsidRPr="008B7D43">
        <w:rPr>
          <w:rFonts w:ascii="Book Antiqua" w:hAnsi="Book Antiqua"/>
        </w:rPr>
        <w:t>"An understanding of virtually any aspect of modern western culture must be, not merely incomplete, but damaged in its central substance to the degree that it does not incorporate a critical analysis of modern homo/heterosexual definition."</w:t>
      </w:r>
    </w:p>
    <w:p w:rsidR="00D9098F" w:rsidRDefault="00D9098F" w:rsidP="008B7D43">
      <w:pPr>
        <w:jc w:val="both"/>
        <w:rPr>
          <w:rFonts w:ascii="Book Antiqua" w:hAnsi="Book Antiqua"/>
        </w:rPr>
      </w:pPr>
    </w:p>
    <w:p w:rsidR="00797AB2" w:rsidRDefault="00797AB2" w:rsidP="008B7D43">
      <w:pPr>
        <w:jc w:val="both"/>
        <w:rPr>
          <w:rFonts w:ascii="Book Antiqua" w:hAnsi="Book Antiqua"/>
        </w:rPr>
      </w:pPr>
    </w:p>
    <w:p w:rsidR="00797AB2" w:rsidRDefault="00797AB2" w:rsidP="008B7D43">
      <w:pPr>
        <w:jc w:val="both"/>
        <w:rPr>
          <w:rFonts w:ascii="Book Antiqua" w:hAnsi="Book Antiqua"/>
        </w:rPr>
      </w:pPr>
    </w:p>
    <w:p w:rsidR="00266D81" w:rsidRDefault="00266D81" w:rsidP="008B7D43">
      <w:pPr>
        <w:jc w:val="both"/>
        <w:rPr>
          <w:rFonts w:ascii="Book Antiqua" w:hAnsi="Book Antiqua"/>
        </w:rPr>
      </w:pPr>
    </w:p>
    <w:p w:rsidR="00266D81" w:rsidRDefault="00266D81" w:rsidP="008B7D43">
      <w:pPr>
        <w:jc w:val="both"/>
        <w:rPr>
          <w:rFonts w:ascii="Book Antiqua" w:hAnsi="Book Antiqua"/>
        </w:rPr>
      </w:pPr>
    </w:p>
    <w:p w:rsidR="00266D81" w:rsidRDefault="00266D81" w:rsidP="008B7D43">
      <w:pPr>
        <w:jc w:val="both"/>
        <w:rPr>
          <w:rFonts w:ascii="Book Antiqua" w:hAnsi="Book Antiqua"/>
        </w:rPr>
      </w:pPr>
    </w:p>
    <w:p w:rsidR="00266D81" w:rsidRDefault="00266D81" w:rsidP="008B7D43">
      <w:pPr>
        <w:jc w:val="both"/>
        <w:rPr>
          <w:rFonts w:ascii="Book Antiqua" w:hAnsi="Book Antiqua"/>
        </w:rPr>
      </w:pPr>
    </w:p>
    <w:p w:rsidR="00266D81" w:rsidRDefault="00266D81" w:rsidP="008B7D43">
      <w:pPr>
        <w:jc w:val="both"/>
        <w:rPr>
          <w:rFonts w:ascii="Book Antiqua" w:hAnsi="Book Antiqua"/>
        </w:rPr>
      </w:pPr>
    </w:p>
    <w:p w:rsidR="00266D81" w:rsidRDefault="00266D81" w:rsidP="008B7D43">
      <w:pPr>
        <w:jc w:val="both"/>
        <w:rPr>
          <w:rFonts w:ascii="Book Antiqua" w:hAnsi="Book Antiqua"/>
        </w:rPr>
      </w:pPr>
    </w:p>
    <w:p w:rsidR="00266D81" w:rsidRPr="008B7D43" w:rsidRDefault="00984D83" w:rsidP="008B7D43">
      <w:pPr>
        <w:jc w:val="both"/>
        <w:rPr>
          <w:rFonts w:ascii="Book Antiqua" w:hAnsi="Book Antiqua"/>
        </w:rPr>
      </w:pPr>
      <w:r>
        <w:rPr>
          <w:rFonts w:ascii="Book Antiqua" w:hAnsi="Book Antiqua"/>
        </w:rPr>
        <w:lastRenderedPageBreak/>
        <w:t>Misc Notes</w:t>
      </w:r>
    </w:p>
    <w:p w:rsidR="00D9098F" w:rsidRPr="00797AB2" w:rsidRDefault="00D9098F" w:rsidP="008B7D43">
      <w:pPr>
        <w:jc w:val="both"/>
        <w:rPr>
          <w:rFonts w:ascii="Book Antiqua" w:eastAsia="Times New Roman" w:hAnsi="Book Antiqua" w:cs="Times New Roman"/>
          <w:b/>
          <w:lang w:eastAsia="en-GB"/>
        </w:rPr>
      </w:pPr>
      <w:r w:rsidRPr="00797AB2">
        <w:rPr>
          <w:rFonts w:ascii="Book Antiqua" w:hAnsi="Book Antiqua"/>
          <w:b/>
        </w:rPr>
        <w:t>J</w:t>
      </w:r>
      <w:r w:rsidRPr="00797AB2">
        <w:rPr>
          <w:rFonts w:ascii="Book Antiqua" w:eastAsia="Times New Roman" w:hAnsi="Book Antiqua" w:cs="Times New Roman"/>
          <w:b/>
          <w:lang w:eastAsia="en-GB"/>
        </w:rPr>
        <w:t>udith Butler (Lodge 38)</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argued that feminism had made a mistake by trying to assert that 'women' were a group with common characteristics and interests. That approach, Butler said, performed 'an unwitting regulation and reification of gender relations' -- </w:t>
      </w:r>
      <w:r w:rsidRPr="008B7D43">
        <w:rPr>
          <w:rFonts w:ascii="Book Antiqua" w:hAnsi="Book Antiqua" w:cs="Arial"/>
          <w:b/>
          <w:sz w:val="22"/>
          <w:szCs w:val="22"/>
        </w:rPr>
        <w:t>reinforcing a binary view of gender</w:t>
      </w:r>
      <w:r w:rsidRPr="008B7D43">
        <w:rPr>
          <w:rFonts w:ascii="Book Antiqua" w:hAnsi="Book Antiqua" w:cs="Arial"/>
          <w:sz w:val="22"/>
          <w:szCs w:val="22"/>
        </w:rPr>
        <w:t xml:space="preserve">. Rather than opening up possibilities for a person to form and choose their own individual identity, therefore, feminism had closed the options down.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notes that feminists rejected the idea that biology is destiny, but then developed an account of patriarchal culture which assumed that masculine and feminine genders would inevitably be built, by culture, upon 'male' and 'female' bodies, </w:t>
      </w:r>
      <w:r w:rsidRPr="008B7D43">
        <w:rPr>
          <w:rFonts w:ascii="Book Antiqua" w:hAnsi="Book Antiqua" w:cs="Arial"/>
          <w:b/>
          <w:sz w:val="22"/>
          <w:szCs w:val="22"/>
        </w:rPr>
        <w:t>making the same destiny just as inescapable</w:t>
      </w:r>
      <w:r w:rsidRPr="008B7D43">
        <w:rPr>
          <w:rFonts w:ascii="Book Antiqua" w:hAnsi="Book Antiqua" w:cs="Arial"/>
          <w:sz w:val="22"/>
          <w:szCs w:val="22"/>
        </w:rPr>
        <w:t xml:space="preserve">. That argument allows no room for choice, difference or resistance.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prefers 'those historical and anthropological positions that understand gender as a relation among socially constituted subjects in specifiable contexts'. In other words, rather than being a fixed attribute in a person, </w:t>
      </w:r>
      <w:r w:rsidRPr="008B7D43">
        <w:rPr>
          <w:rFonts w:ascii="Book Antiqua" w:hAnsi="Book Antiqua" w:cs="Arial"/>
          <w:b/>
          <w:sz w:val="22"/>
          <w:szCs w:val="22"/>
        </w:rPr>
        <w:t>gender should be seen as a fluid variable which shifts and changes in different contexts and at different times</w:t>
      </w:r>
      <w:r w:rsidRPr="008B7D43">
        <w:rPr>
          <w:rFonts w:ascii="Book Antiqua" w:hAnsi="Book Antiqua" w:cs="Arial"/>
          <w:sz w:val="22"/>
          <w:szCs w:val="22"/>
        </w:rPr>
        <w:t xml:space="preserve">.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argues that sex (male, female) is seen to cause gender (masculine, feminine) which is seen to cause desire (towards the other gender). This is seen as a kind of continuum. Butler's approach -- inspired in part by </w:t>
      </w:r>
      <w:hyperlink r:id="rId10" w:history="1">
        <w:r w:rsidRPr="008B7D43">
          <w:rPr>
            <w:rStyle w:val="Hyperlink"/>
            <w:rFonts w:ascii="Book Antiqua" w:hAnsi="Book Antiqua" w:cs="Arial"/>
            <w:sz w:val="22"/>
            <w:szCs w:val="22"/>
          </w:rPr>
          <w:t>Foucault</w:t>
        </w:r>
      </w:hyperlink>
      <w:r w:rsidRPr="008B7D43">
        <w:rPr>
          <w:rFonts w:ascii="Book Antiqua" w:hAnsi="Book Antiqua" w:cs="Arial"/>
          <w:sz w:val="22"/>
          <w:szCs w:val="22"/>
        </w:rPr>
        <w:t xml:space="preserve"> -- is basically to smash the supposed links between these, so that gender and desire are flexible, free-floating and not 'caused' by other stable factors.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says: 'There is no gender identity behind the expressions of gender; ... identity is </w:t>
      </w:r>
      <w:proofErr w:type="spellStart"/>
      <w:r w:rsidRPr="008B7D43">
        <w:rPr>
          <w:rFonts w:ascii="Book Antiqua" w:hAnsi="Book Antiqua" w:cs="Arial"/>
          <w:sz w:val="22"/>
          <w:szCs w:val="22"/>
        </w:rPr>
        <w:t>performatively</w:t>
      </w:r>
      <w:proofErr w:type="spellEnd"/>
      <w:r w:rsidRPr="008B7D43">
        <w:rPr>
          <w:rFonts w:ascii="Book Antiqua" w:hAnsi="Book Antiqua" w:cs="Arial"/>
          <w:sz w:val="22"/>
          <w:szCs w:val="22"/>
        </w:rPr>
        <w:t xml:space="preserve"> constituted by the very "expressions" that are said to be its results.' (</w:t>
      </w:r>
      <w:r w:rsidRPr="008B7D43">
        <w:rPr>
          <w:rFonts w:ascii="Book Antiqua" w:hAnsi="Book Antiqua" w:cs="Arial"/>
          <w:i/>
          <w:iCs/>
          <w:sz w:val="22"/>
          <w:szCs w:val="22"/>
        </w:rPr>
        <w:t>Gender Trouble</w:t>
      </w:r>
      <w:r w:rsidRPr="008B7D43">
        <w:rPr>
          <w:rFonts w:ascii="Book Antiqua" w:hAnsi="Book Antiqua" w:cs="Arial"/>
          <w:sz w:val="22"/>
          <w:szCs w:val="22"/>
        </w:rPr>
        <w:t xml:space="preserve">, p. 25). In other words, gender is a performance; it's what you </w:t>
      </w:r>
      <w:r w:rsidRPr="008B7D43">
        <w:rPr>
          <w:rFonts w:ascii="Book Antiqua" w:hAnsi="Book Antiqua" w:cs="Arial"/>
          <w:i/>
          <w:iCs/>
          <w:sz w:val="22"/>
          <w:szCs w:val="22"/>
        </w:rPr>
        <w:t>do</w:t>
      </w:r>
      <w:r w:rsidRPr="008B7D43">
        <w:rPr>
          <w:rFonts w:ascii="Book Antiqua" w:hAnsi="Book Antiqua" w:cs="Arial"/>
          <w:sz w:val="22"/>
          <w:szCs w:val="22"/>
        </w:rPr>
        <w:t xml:space="preserve"> at particular times, rather than a universal </w:t>
      </w:r>
      <w:r w:rsidRPr="008B7D43">
        <w:rPr>
          <w:rFonts w:ascii="Book Antiqua" w:hAnsi="Book Antiqua" w:cs="Arial"/>
          <w:i/>
          <w:iCs/>
          <w:sz w:val="22"/>
          <w:szCs w:val="22"/>
        </w:rPr>
        <w:t>who you are</w:t>
      </w:r>
      <w:r w:rsidRPr="008B7D43">
        <w:rPr>
          <w:rFonts w:ascii="Book Antiqua" w:hAnsi="Book Antiqua" w:cs="Arial"/>
          <w:sz w:val="22"/>
          <w:szCs w:val="22"/>
        </w:rPr>
        <w:t xml:space="preserve">.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suggests that certain cultural configurations of gender have seized a hegemonic hold (i.e. they have come to seem natural in our culture as it presently is) -- but, she suggests, it doesn't have to be that way. Rather than proposing some utopian vision, with no idea of how we might get to such a state, Butler calls for subversive action in the present: 'gender trouble' -- the mobilization, subversive confusion, and proliferation of genders -- and therefore identity.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Butler argues that we all put on a gender performance, whether traditional or not, anyway, and so it is not a question of whether to </w:t>
      </w:r>
      <w:r w:rsidRPr="008B7D43">
        <w:rPr>
          <w:rFonts w:ascii="Book Antiqua" w:hAnsi="Book Antiqua" w:cs="Arial"/>
          <w:i/>
          <w:iCs/>
          <w:sz w:val="22"/>
          <w:szCs w:val="22"/>
        </w:rPr>
        <w:t>do</w:t>
      </w:r>
      <w:r w:rsidRPr="008B7D43">
        <w:rPr>
          <w:rFonts w:ascii="Book Antiqua" w:hAnsi="Book Antiqua" w:cs="Arial"/>
          <w:sz w:val="22"/>
          <w:szCs w:val="22"/>
        </w:rPr>
        <w:t xml:space="preserve"> a gender performance, but what form that performance will take. By choosing to be different about it, we might work to change gender norms and the binary understanding of masculinity and femininity.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This idea of identity as free-floating, as not connected to an 'essence', but instead a performance, is one of the key ideas in </w:t>
      </w:r>
      <w:hyperlink r:id="rId11" w:history="1">
        <w:r w:rsidRPr="008B7D43">
          <w:rPr>
            <w:rStyle w:val="Hyperlink"/>
            <w:rFonts w:ascii="Book Antiqua" w:hAnsi="Book Antiqua" w:cs="Arial"/>
            <w:sz w:val="22"/>
            <w:szCs w:val="22"/>
          </w:rPr>
          <w:t>queer theory</w:t>
        </w:r>
      </w:hyperlink>
      <w:r w:rsidRPr="008B7D43">
        <w:rPr>
          <w:rFonts w:ascii="Book Antiqua" w:hAnsi="Book Antiqua" w:cs="Arial"/>
          <w:sz w:val="22"/>
          <w:szCs w:val="22"/>
        </w:rPr>
        <w:t xml:space="preserve">. Seen in this way, our identities, gendered and otherwise, do not express some authentic inner "core" self but are the dramatic </w:t>
      </w:r>
      <w:r w:rsidRPr="008B7D43">
        <w:rPr>
          <w:rFonts w:ascii="Book Antiqua" w:hAnsi="Book Antiqua" w:cs="Arial"/>
          <w:i/>
          <w:iCs/>
          <w:sz w:val="22"/>
          <w:szCs w:val="22"/>
        </w:rPr>
        <w:t>effect</w:t>
      </w:r>
      <w:r w:rsidRPr="008B7D43">
        <w:rPr>
          <w:rFonts w:ascii="Book Antiqua" w:hAnsi="Book Antiqua" w:cs="Arial"/>
          <w:sz w:val="22"/>
          <w:szCs w:val="22"/>
        </w:rPr>
        <w:t xml:space="preserve"> (rather than the cause) of our performances.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David </w:t>
      </w:r>
      <w:proofErr w:type="spellStart"/>
      <w:r w:rsidRPr="008B7D43">
        <w:rPr>
          <w:rFonts w:ascii="Book Antiqua" w:hAnsi="Book Antiqua" w:cs="Arial"/>
          <w:sz w:val="22"/>
          <w:szCs w:val="22"/>
        </w:rPr>
        <w:t>Halperin</w:t>
      </w:r>
      <w:proofErr w:type="spellEnd"/>
      <w:r w:rsidRPr="008B7D43">
        <w:rPr>
          <w:rFonts w:ascii="Book Antiqua" w:hAnsi="Book Antiqua" w:cs="Arial"/>
          <w:sz w:val="22"/>
          <w:szCs w:val="22"/>
        </w:rPr>
        <w:t xml:space="preserve"> has said, 'Queer is by definition whatever is at odds with the normal, the legitimate, the dominant. </w:t>
      </w:r>
      <w:r w:rsidRPr="008B7D43">
        <w:rPr>
          <w:rFonts w:ascii="Book Antiqua" w:hAnsi="Book Antiqua" w:cs="Arial"/>
          <w:i/>
          <w:iCs/>
          <w:sz w:val="22"/>
          <w:szCs w:val="22"/>
        </w:rPr>
        <w:t>There is nothing in particular to which it necessarily refers</w:t>
      </w:r>
      <w:r w:rsidRPr="008B7D43">
        <w:rPr>
          <w:rFonts w:ascii="Book Antiqua" w:hAnsi="Book Antiqua" w:cs="Arial"/>
          <w:sz w:val="22"/>
          <w:szCs w:val="22"/>
        </w:rPr>
        <w:t xml:space="preserve">. It is an identity without an essence.' </w:t>
      </w:r>
    </w:p>
    <w:p w:rsidR="00913748" w:rsidRPr="008B7D43" w:rsidRDefault="00913748" w:rsidP="008B7D43">
      <w:pPr>
        <w:pStyle w:val="NormalWeb"/>
        <w:jc w:val="both"/>
        <w:rPr>
          <w:rFonts w:ascii="Book Antiqua" w:hAnsi="Book Antiqua" w:cs="Arial"/>
          <w:sz w:val="22"/>
          <w:szCs w:val="22"/>
        </w:rPr>
      </w:pPr>
      <w:r w:rsidRPr="008B7D43">
        <w:rPr>
          <w:rFonts w:ascii="Book Antiqua" w:hAnsi="Book Antiqua" w:cs="Arial"/>
          <w:sz w:val="22"/>
          <w:szCs w:val="22"/>
        </w:rPr>
        <w:t xml:space="preserve">It's not (necessarily) just a view on sexuality, or gender. It also suggests that the confines of any identity can potentially be reinvented by its owner... </w:t>
      </w:r>
    </w:p>
    <w:p w:rsidR="008467F5" w:rsidRDefault="008467F5" w:rsidP="00797AB2">
      <w:pPr>
        <w:pStyle w:val="NormalWeb"/>
        <w:jc w:val="both"/>
        <w:rPr>
          <w:rFonts w:ascii="Book Antiqua" w:hAnsi="Book Antiqua" w:cs="Arial"/>
          <w:sz w:val="22"/>
          <w:szCs w:val="22"/>
        </w:rPr>
      </w:pPr>
    </w:p>
    <w:sectPr w:rsidR="008467F5" w:rsidSect="00E10A8F">
      <w:pgSz w:w="11906" w:h="16838"/>
      <w:pgMar w:top="568" w:right="1440" w:bottom="284"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1C1245"/>
    <w:multiLevelType w:val="hybridMultilevel"/>
    <w:tmpl w:val="036A4A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85E7ECA"/>
    <w:multiLevelType w:val="multilevel"/>
    <w:tmpl w:val="C8C48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defaultTabStop w:val="720"/>
  <w:characterSpacingControl w:val="doNotCompress"/>
  <w:compat/>
  <w:rsids>
    <w:rsidRoot w:val="00EC577E"/>
    <w:rsid w:val="00151A4C"/>
    <w:rsid w:val="001F3F61"/>
    <w:rsid w:val="00266D81"/>
    <w:rsid w:val="00293A6D"/>
    <w:rsid w:val="002E777A"/>
    <w:rsid w:val="00361228"/>
    <w:rsid w:val="00495EA3"/>
    <w:rsid w:val="004D1884"/>
    <w:rsid w:val="005C74B8"/>
    <w:rsid w:val="0060464A"/>
    <w:rsid w:val="006C0779"/>
    <w:rsid w:val="006E6D15"/>
    <w:rsid w:val="00797AB2"/>
    <w:rsid w:val="00841239"/>
    <w:rsid w:val="008467F5"/>
    <w:rsid w:val="008B7D43"/>
    <w:rsid w:val="00913748"/>
    <w:rsid w:val="00984D83"/>
    <w:rsid w:val="009D345B"/>
    <w:rsid w:val="009D5E7E"/>
    <w:rsid w:val="00AF3E17"/>
    <w:rsid w:val="00B065D5"/>
    <w:rsid w:val="00B1424D"/>
    <w:rsid w:val="00B92E0E"/>
    <w:rsid w:val="00BA0B44"/>
    <w:rsid w:val="00CB200D"/>
    <w:rsid w:val="00CC3669"/>
    <w:rsid w:val="00CD11B1"/>
    <w:rsid w:val="00CE1501"/>
    <w:rsid w:val="00D9098F"/>
    <w:rsid w:val="00E10A8F"/>
    <w:rsid w:val="00E86845"/>
    <w:rsid w:val="00EC577E"/>
    <w:rsid w:val="00F172B0"/>
    <w:rsid w:val="00F8560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77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C577E"/>
    <w:rPr>
      <w:color w:val="0000FF"/>
      <w:u w:val="single"/>
    </w:rPr>
  </w:style>
  <w:style w:type="paragraph" w:styleId="NormalWeb">
    <w:name w:val="Normal (Web)"/>
    <w:basedOn w:val="Normal"/>
    <w:uiPriority w:val="99"/>
    <w:unhideWhenUsed/>
    <w:rsid w:val="0091374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wc">
    <w:name w:val="hwc"/>
    <w:basedOn w:val="DefaultParagraphFont"/>
    <w:rsid w:val="00E86845"/>
  </w:style>
  <w:style w:type="character" w:customStyle="1" w:styleId="ital-inline">
    <w:name w:val="ital-inline"/>
    <w:basedOn w:val="DefaultParagraphFont"/>
    <w:rsid w:val="00E86845"/>
  </w:style>
  <w:style w:type="character" w:customStyle="1" w:styleId="labset">
    <w:name w:val="labset"/>
    <w:basedOn w:val="DefaultParagraphFont"/>
    <w:rsid w:val="00E86845"/>
  </w:style>
  <w:style w:type="character" w:styleId="Emphasis">
    <w:name w:val="Emphasis"/>
    <w:basedOn w:val="DefaultParagraphFont"/>
    <w:uiPriority w:val="20"/>
    <w:qFormat/>
    <w:rsid w:val="00E86845"/>
    <w:rPr>
      <w:i/>
      <w:iCs/>
    </w:rPr>
  </w:style>
  <w:style w:type="paragraph" w:styleId="BalloonText">
    <w:name w:val="Balloon Text"/>
    <w:basedOn w:val="Normal"/>
    <w:link w:val="BalloonTextChar"/>
    <w:uiPriority w:val="99"/>
    <w:semiHidden/>
    <w:unhideWhenUsed/>
    <w:rsid w:val="002E77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777A"/>
    <w:rPr>
      <w:rFonts w:ascii="Tahoma" w:hAnsi="Tahoma" w:cs="Tahoma"/>
      <w:sz w:val="16"/>
      <w:szCs w:val="16"/>
    </w:rPr>
  </w:style>
  <w:style w:type="paragraph" w:styleId="ListParagraph">
    <w:name w:val="List Paragraph"/>
    <w:basedOn w:val="Normal"/>
    <w:uiPriority w:val="34"/>
    <w:qFormat/>
    <w:rsid w:val="00E10A8F"/>
    <w:pPr>
      <w:ind w:left="720"/>
      <w:contextualSpacing/>
    </w:pPr>
  </w:style>
</w:styles>
</file>

<file path=word/webSettings.xml><?xml version="1.0" encoding="utf-8"?>
<w:webSettings xmlns:r="http://schemas.openxmlformats.org/officeDocument/2006/relationships" xmlns:w="http://schemas.openxmlformats.org/wordprocessingml/2006/main">
  <w:divs>
    <w:div w:id="300381092">
      <w:bodyDiv w:val="1"/>
      <w:marLeft w:val="0"/>
      <w:marRight w:val="0"/>
      <w:marTop w:val="0"/>
      <w:marBottom w:val="0"/>
      <w:divBdr>
        <w:top w:val="none" w:sz="0" w:space="0" w:color="auto"/>
        <w:left w:val="none" w:sz="0" w:space="0" w:color="auto"/>
        <w:bottom w:val="none" w:sz="0" w:space="0" w:color="auto"/>
        <w:right w:val="none" w:sz="0" w:space="0" w:color="auto"/>
      </w:divBdr>
    </w:div>
    <w:div w:id="884098285">
      <w:bodyDiv w:val="1"/>
      <w:marLeft w:val="0"/>
      <w:marRight w:val="0"/>
      <w:marTop w:val="0"/>
      <w:marBottom w:val="0"/>
      <w:divBdr>
        <w:top w:val="none" w:sz="0" w:space="0" w:color="auto"/>
        <w:left w:val="none" w:sz="0" w:space="0" w:color="auto"/>
        <w:bottom w:val="none" w:sz="0" w:space="0" w:color="auto"/>
        <w:right w:val="none" w:sz="0" w:space="0" w:color="auto"/>
      </w:divBdr>
      <w:divsChild>
        <w:div w:id="311103386">
          <w:marLeft w:val="0"/>
          <w:marRight w:val="0"/>
          <w:marTop w:val="0"/>
          <w:marBottom w:val="0"/>
          <w:divBdr>
            <w:top w:val="none" w:sz="0" w:space="0" w:color="auto"/>
            <w:left w:val="none" w:sz="0" w:space="0" w:color="auto"/>
            <w:bottom w:val="none" w:sz="0" w:space="0" w:color="auto"/>
            <w:right w:val="none" w:sz="0" w:space="0" w:color="auto"/>
          </w:divBdr>
          <w:divsChild>
            <w:div w:id="1220022257">
              <w:marLeft w:val="0"/>
              <w:marRight w:val="0"/>
              <w:marTop w:val="0"/>
              <w:marBottom w:val="0"/>
              <w:divBdr>
                <w:top w:val="none" w:sz="0" w:space="0" w:color="auto"/>
                <w:left w:val="none" w:sz="0" w:space="0" w:color="auto"/>
                <w:bottom w:val="none" w:sz="0" w:space="0" w:color="auto"/>
                <w:right w:val="none" w:sz="0" w:space="0" w:color="auto"/>
              </w:divBdr>
            </w:div>
          </w:divsChild>
        </w:div>
        <w:div w:id="1762145185">
          <w:marLeft w:val="0"/>
          <w:marRight w:val="0"/>
          <w:marTop w:val="0"/>
          <w:marBottom w:val="0"/>
          <w:divBdr>
            <w:top w:val="none" w:sz="0" w:space="0" w:color="auto"/>
            <w:left w:val="none" w:sz="0" w:space="0" w:color="auto"/>
            <w:bottom w:val="none" w:sz="0" w:space="0" w:color="auto"/>
            <w:right w:val="none" w:sz="0" w:space="0" w:color="auto"/>
          </w:divBdr>
          <w:divsChild>
            <w:div w:id="10910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560447">
      <w:bodyDiv w:val="1"/>
      <w:marLeft w:val="0"/>
      <w:marRight w:val="0"/>
      <w:marTop w:val="0"/>
      <w:marBottom w:val="0"/>
      <w:divBdr>
        <w:top w:val="none" w:sz="0" w:space="0" w:color="auto"/>
        <w:left w:val="none" w:sz="0" w:space="0" w:color="auto"/>
        <w:bottom w:val="none" w:sz="0" w:space="0" w:color="auto"/>
        <w:right w:val="none" w:sz="0" w:space="0" w:color="auto"/>
      </w:divBdr>
    </w:div>
    <w:div w:id="2067947639">
      <w:bodyDiv w:val="1"/>
      <w:marLeft w:val="0"/>
      <w:marRight w:val="0"/>
      <w:marTop w:val="0"/>
      <w:marBottom w:val="0"/>
      <w:divBdr>
        <w:top w:val="none" w:sz="0" w:space="0" w:color="auto"/>
        <w:left w:val="none" w:sz="0" w:space="0" w:color="auto"/>
        <w:bottom w:val="none" w:sz="0" w:space="0" w:color="auto"/>
        <w:right w:val="none" w:sz="0" w:space="0" w:color="auto"/>
      </w:divBdr>
      <w:divsChild>
        <w:div w:id="751318305">
          <w:marLeft w:val="0"/>
          <w:marRight w:val="0"/>
          <w:marTop w:val="0"/>
          <w:marBottom w:val="0"/>
          <w:divBdr>
            <w:top w:val="none" w:sz="0" w:space="0" w:color="auto"/>
            <w:left w:val="none" w:sz="0" w:space="0" w:color="auto"/>
            <w:bottom w:val="none" w:sz="0" w:space="0" w:color="auto"/>
            <w:right w:val="none" w:sz="0" w:space="0" w:color="auto"/>
          </w:divBdr>
          <w:divsChild>
            <w:div w:id="1740327175">
              <w:marLeft w:val="0"/>
              <w:marRight w:val="0"/>
              <w:marTop w:val="0"/>
              <w:marBottom w:val="0"/>
              <w:divBdr>
                <w:top w:val="none" w:sz="0" w:space="0" w:color="auto"/>
                <w:left w:val="none" w:sz="0" w:space="0" w:color="auto"/>
                <w:bottom w:val="none" w:sz="0" w:space="0" w:color="auto"/>
                <w:right w:val="none" w:sz="0" w:space="0" w:color="auto"/>
              </w:divBdr>
            </w:div>
          </w:divsChild>
        </w:div>
        <w:div w:id="339897791">
          <w:marLeft w:val="0"/>
          <w:marRight w:val="0"/>
          <w:marTop w:val="0"/>
          <w:marBottom w:val="0"/>
          <w:divBdr>
            <w:top w:val="none" w:sz="0" w:space="0" w:color="auto"/>
            <w:left w:val="none" w:sz="0" w:space="0" w:color="auto"/>
            <w:bottom w:val="none" w:sz="0" w:space="0" w:color="auto"/>
            <w:right w:val="none" w:sz="0" w:space="0" w:color="auto"/>
          </w:divBdr>
          <w:divsChild>
            <w:div w:id="1442071844">
              <w:marLeft w:val="0"/>
              <w:marRight w:val="0"/>
              <w:marTop w:val="0"/>
              <w:marBottom w:val="0"/>
              <w:divBdr>
                <w:top w:val="none" w:sz="0" w:space="0" w:color="auto"/>
                <w:left w:val="none" w:sz="0" w:space="0" w:color="auto"/>
                <w:bottom w:val="none" w:sz="0" w:space="0" w:color="auto"/>
                <w:right w:val="none" w:sz="0" w:space="0" w:color="auto"/>
              </w:divBdr>
            </w:div>
          </w:divsChild>
        </w:div>
        <w:div w:id="801071050">
          <w:marLeft w:val="0"/>
          <w:marRight w:val="0"/>
          <w:marTop w:val="0"/>
          <w:marBottom w:val="0"/>
          <w:divBdr>
            <w:top w:val="none" w:sz="0" w:space="0" w:color="auto"/>
            <w:left w:val="none" w:sz="0" w:space="0" w:color="auto"/>
            <w:bottom w:val="none" w:sz="0" w:space="0" w:color="auto"/>
            <w:right w:val="none" w:sz="0" w:space="0" w:color="auto"/>
          </w:divBdr>
          <w:divsChild>
            <w:div w:id="191053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Heterosociality"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en.wikipedia.org/wiki/Romance_%28love%29"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ictionary.reference.com/browse/nature" TargetMode="External"/><Relationship Id="rId11" Type="http://schemas.openxmlformats.org/officeDocument/2006/relationships/hyperlink" Target="http://www.theory.org.uk/ctr-quee.htm" TargetMode="External"/><Relationship Id="rId5" Type="http://schemas.openxmlformats.org/officeDocument/2006/relationships/image" Target="media/image1.png"/><Relationship Id="rId10" Type="http://schemas.openxmlformats.org/officeDocument/2006/relationships/hyperlink" Target="http://www.theory.org.uk/ctr-fouc.htm" TargetMode="External"/><Relationship Id="rId4" Type="http://schemas.openxmlformats.org/officeDocument/2006/relationships/webSettings" Target="webSettings.xml"/><Relationship Id="rId9" Type="http://schemas.openxmlformats.org/officeDocument/2006/relationships/hyperlink" Target="http://en.wikipedia.org/wiki/Feminis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1363</Words>
  <Characters>7771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2</cp:revision>
  <cp:lastPrinted>2014-02-03T13:21:00Z</cp:lastPrinted>
  <dcterms:created xsi:type="dcterms:W3CDTF">2014-10-26T19:15:00Z</dcterms:created>
  <dcterms:modified xsi:type="dcterms:W3CDTF">2014-10-26T19:15:00Z</dcterms:modified>
</cp:coreProperties>
</file>