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22CD" w:rsidRPr="00A567AD" w:rsidRDefault="00C122CD" w:rsidP="00C122CD">
      <w:pPr>
        <w:pStyle w:val="Title"/>
        <w:jc w:val="center"/>
        <w:rPr>
          <w:b/>
        </w:rPr>
      </w:pPr>
      <w:r w:rsidRPr="00A567AD">
        <w:rPr>
          <w:b/>
        </w:rPr>
        <w:t>Hanif Kureishi -</w:t>
      </w:r>
    </w:p>
    <w:p w:rsidR="00F37941" w:rsidRPr="008411FA" w:rsidRDefault="00C122CD" w:rsidP="00C122CD">
      <w:pPr>
        <w:pStyle w:val="Title"/>
        <w:jc w:val="center"/>
        <w:rPr>
          <w:i/>
        </w:rPr>
      </w:pPr>
      <w:r w:rsidRPr="00A567AD">
        <w:rPr>
          <w:b/>
          <w:i/>
        </w:rPr>
        <w:t>The Buddha of Suburbia</w:t>
      </w:r>
    </w:p>
    <w:p w:rsidR="003C32DD" w:rsidRPr="007737E8" w:rsidRDefault="001804E1" w:rsidP="00F37941">
      <w:pPr>
        <w:pStyle w:val="BodyTextIndent"/>
        <w:numPr>
          <w:ilvl w:val="0"/>
          <w:numId w:val="1"/>
        </w:numPr>
        <w:rPr>
          <w:rFonts w:ascii="Calibri" w:hAnsi="Calibri" w:cs="Arial"/>
          <w:sz w:val="22"/>
          <w:szCs w:val="22"/>
        </w:rPr>
      </w:pPr>
      <w:proofErr w:type="spellStart"/>
      <w:r w:rsidRPr="007737E8">
        <w:rPr>
          <w:rFonts w:ascii="Calibri" w:hAnsi="Calibri" w:cs="Arial"/>
          <w:sz w:val="22"/>
          <w:szCs w:val="22"/>
        </w:rPr>
        <w:t>Hanif</w:t>
      </w:r>
      <w:proofErr w:type="spellEnd"/>
      <w:r w:rsidRPr="007737E8">
        <w:rPr>
          <w:rFonts w:ascii="Calibri" w:hAnsi="Calibri" w:cs="Arial"/>
          <w:sz w:val="22"/>
          <w:szCs w:val="22"/>
        </w:rPr>
        <w:t xml:space="preserve"> </w:t>
      </w:r>
      <w:proofErr w:type="spellStart"/>
      <w:r w:rsidRPr="007737E8">
        <w:rPr>
          <w:rFonts w:ascii="Calibri" w:hAnsi="Calibri" w:cs="Arial"/>
          <w:sz w:val="22"/>
          <w:szCs w:val="22"/>
        </w:rPr>
        <w:t>Kureishi</w:t>
      </w:r>
      <w:proofErr w:type="spellEnd"/>
      <w:r w:rsidRPr="007737E8">
        <w:rPr>
          <w:rFonts w:ascii="Calibri" w:hAnsi="Calibri" w:cs="Arial"/>
          <w:sz w:val="22"/>
          <w:szCs w:val="22"/>
        </w:rPr>
        <w:t xml:space="preserve"> in the opening of his novel </w:t>
      </w:r>
      <w:r w:rsidRPr="007737E8">
        <w:rPr>
          <w:rFonts w:ascii="Calibri" w:hAnsi="Calibri" w:cs="Arial"/>
          <w:i/>
          <w:sz w:val="22"/>
          <w:szCs w:val="22"/>
        </w:rPr>
        <w:t>The Buddha of Suburbia</w:t>
      </w:r>
      <w:r w:rsidRPr="007737E8">
        <w:rPr>
          <w:rFonts w:ascii="Calibri" w:hAnsi="Calibri" w:cs="Arial"/>
          <w:sz w:val="22"/>
          <w:szCs w:val="22"/>
        </w:rPr>
        <w:t xml:space="preserve"> ironically addresses the challenge to Englishness resulting from the exclusion of so called non "white" members of British society (</w:t>
      </w:r>
      <w:proofErr w:type="spellStart"/>
      <w:r w:rsidRPr="007737E8">
        <w:rPr>
          <w:rFonts w:ascii="Calibri" w:hAnsi="Calibri" w:cs="Arial"/>
          <w:sz w:val="22"/>
          <w:szCs w:val="22"/>
        </w:rPr>
        <w:t>Maslen</w:t>
      </w:r>
      <w:proofErr w:type="spellEnd"/>
      <w:r w:rsidRPr="007737E8">
        <w:rPr>
          <w:rFonts w:ascii="Calibri" w:hAnsi="Calibri" w:cs="Arial"/>
          <w:sz w:val="22"/>
          <w:szCs w:val="22"/>
        </w:rPr>
        <w:t xml:space="preserve"> 43).</w:t>
      </w:r>
    </w:p>
    <w:p w:rsidR="00F37941" w:rsidRPr="007737E8" w:rsidRDefault="001804E1" w:rsidP="00F37941">
      <w:pPr>
        <w:pStyle w:val="BodyTextIndent"/>
        <w:ind w:left="720" w:firstLine="0"/>
        <w:rPr>
          <w:rFonts w:ascii="Calibri" w:hAnsi="Calibri" w:cs="Arial"/>
          <w:sz w:val="22"/>
          <w:szCs w:val="22"/>
        </w:rPr>
      </w:pPr>
      <w:r w:rsidRPr="007737E8">
        <w:rPr>
          <w:rFonts w:ascii="Calibri" w:hAnsi="Calibri" w:cs="Arial"/>
          <w:sz w:val="22"/>
          <w:szCs w:val="22"/>
        </w:rPr>
        <w:tab/>
      </w:r>
      <w:r w:rsidR="00F37941" w:rsidRPr="007737E8">
        <w:rPr>
          <w:rFonts w:ascii="Calibri" w:hAnsi="Calibri" w:cs="Arial"/>
          <w:sz w:val="22"/>
          <w:szCs w:val="22"/>
        </w:rPr>
        <w:t xml:space="preserve">"I am an Englishman born and bred, almost. I am often considered to be a funny kind </w:t>
      </w:r>
      <w:r w:rsidRPr="007737E8">
        <w:rPr>
          <w:rFonts w:ascii="Calibri" w:hAnsi="Calibri" w:cs="Arial"/>
          <w:sz w:val="22"/>
          <w:szCs w:val="22"/>
        </w:rPr>
        <w:tab/>
      </w:r>
      <w:r w:rsidR="00F37941" w:rsidRPr="007737E8">
        <w:rPr>
          <w:rFonts w:ascii="Calibri" w:hAnsi="Calibri" w:cs="Arial"/>
          <w:sz w:val="22"/>
          <w:szCs w:val="22"/>
        </w:rPr>
        <w:t xml:space="preserve">of Englishman, a new breed as it were, having emerged from two old histories. But I </w:t>
      </w:r>
      <w:r w:rsidRPr="007737E8">
        <w:rPr>
          <w:rFonts w:ascii="Calibri" w:hAnsi="Calibri" w:cs="Arial"/>
          <w:sz w:val="22"/>
          <w:szCs w:val="22"/>
        </w:rPr>
        <w:tab/>
      </w:r>
      <w:r w:rsidR="00F37941" w:rsidRPr="007737E8">
        <w:rPr>
          <w:rFonts w:ascii="Calibri" w:hAnsi="Calibri" w:cs="Arial"/>
          <w:sz w:val="22"/>
          <w:szCs w:val="22"/>
        </w:rPr>
        <w:t xml:space="preserve">don't care - Englishman I am (though not proud of it), from the South London </w:t>
      </w:r>
      <w:r w:rsidRPr="007737E8">
        <w:rPr>
          <w:rFonts w:ascii="Calibri" w:hAnsi="Calibri" w:cs="Arial"/>
          <w:sz w:val="22"/>
          <w:szCs w:val="22"/>
        </w:rPr>
        <w:tab/>
      </w:r>
      <w:r w:rsidR="00F37941" w:rsidRPr="007737E8">
        <w:rPr>
          <w:rFonts w:ascii="Calibri" w:hAnsi="Calibri" w:cs="Arial"/>
          <w:sz w:val="22"/>
          <w:szCs w:val="22"/>
        </w:rPr>
        <w:t>suburbs and going somewhere." (3)</w:t>
      </w:r>
    </w:p>
    <w:p w:rsidR="00350BB4" w:rsidRPr="007737E8" w:rsidRDefault="00F37941" w:rsidP="00F37941">
      <w:pPr>
        <w:pStyle w:val="BodyTextIndent"/>
        <w:ind w:left="720" w:firstLine="0"/>
        <w:rPr>
          <w:rFonts w:ascii="Calibri" w:hAnsi="Calibri" w:cs="Arial"/>
          <w:sz w:val="22"/>
          <w:szCs w:val="22"/>
        </w:rPr>
      </w:pPr>
      <w:r w:rsidRPr="007737E8">
        <w:rPr>
          <w:rFonts w:ascii="Calibri" w:hAnsi="Calibri" w:cs="Arial"/>
          <w:sz w:val="22"/>
          <w:szCs w:val="22"/>
        </w:rPr>
        <w:t xml:space="preserve">Simon </w:t>
      </w:r>
      <w:proofErr w:type="spellStart"/>
      <w:r w:rsidRPr="007737E8">
        <w:rPr>
          <w:rFonts w:ascii="Calibri" w:hAnsi="Calibri" w:cs="Arial"/>
          <w:sz w:val="22"/>
          <w:szCs w:val="22"/>
        </w:rPr>
        <w:t>Gikandi</w:t>
      </w:r>
      <w:proofErr w:type="spellEnd"/>
      <w:r w:rsidRPr="007737E8">
        <w:rPr>
          <w:rFonts w:ascii="Calibri" w:hAnsi="Calibri" w:cs="Arial"/>
          <w:sz w:val="22"/>
          <w:szCs w:val="22"/>
        </w:rPr>
        <w:t xml:space="preserve"> observes in </w:t>
      </w:r>
      <w:r w:rsidRPr="007737E8">
        <w:rPr>
          <w:rFonts w:ascii="Calibri" w:hAnsi="Calibri" w:cs="Arial"/>
          <w:i/>
          <w:sz w:val="22"/>
          <w:szCs w:val="22"/>
        </w:rPr>
        <w:t>Maps of Englishness,</w:t>
      </w:r>
      <w:r w:rsidRPr="007737E8">
        <w:rPr>
          <w:rFonts w:ascii="Calibri" w:hAnsi="Calibri" w:cs="Arial"/>
          <w:sz w:val="22"/>
          <w:szCs w:val="22"/>
        </w:rPr>
        <w:t xml:space="preserve"> that when </w:t>
      </w:r>
      <w:proofErr w:type="spellStart"/>
      <w:r w:rsidRPr="007737E8">
        <w:rPr>
          <w:rFonts w:ascii="Calibri" w:hAnsi="Calibri" w:cs="Arial"/>
          <w:sz w:val="22"/>
          <w:szCs w:val="22"/>
        </w:rPr>
        <w:t>Kureishi's</w:t>
      </w:r>
      <w:proofErr w:type="spellEnd"/>
      <w:r w:rsidRPr="007737E8">
        <w:rPr>
          <w:rFonts w:ascii="Calibri" w:hAnsi="Calibri" w:cs="Arial"/>
          <w:sz w:val="22"/>
          <w:szCs w:val="22"/>
        </w:rPr>
        <w:t xml:space="preserve"> protagonist identifies himself as English it is based on the belief that in England, value is ascribed to the logic of a secular and enlightened English culture, and in this way he can position himself as a true Englishman, and cast the unreason of the racists as a departure from the national norm (204). How does </w:t>
      </w:r>
      <w:proofErr w:type="spellStart"/>
      <w:r w:rsidRPr="007737E8">
        <w:rPr>
          <w:rFonts w:ascii="Calibri" w:hAnsi="Calibri" w:cs="Arial"/>
          <w:sz w:val="22"/>
          <w:szCs w:val="22"/>
        </w:rPr>
        <w:t>Kureishi</w:t>
      </w:r>
      <w:proofErr w:type="spellEnd"/>
      <w:r w:rsidRPr="007737E8">
        <w:rPr>
          <w:rFonts w:ascii="Calibri" w:hAnsi="Calibri" w:cs="Arial"/>
          <w:sz w:val="22"/>
          <w:szCs w:val="22"/>
        </w:rPr>
        <w:t xml:space="preserve"> explore the </w:t>
      </w:r>
      <w:proofErr w:type="spellStart"/>
      <w:r w:rsidRPr="007737E8">
        <w:rPr>
          <w:rFonts w:ascii="Calibri" w:hAnsi="Calibri" w:cs="Arial"/>
          <w:sz w:val="22"/>
          <w:szCs w:val="22"/>
        </w:rPr>
        <w:t>reconceptualization</w:t>
      </w:r>
      <w:proofErr w:type="spellEnd"/>
      <w:r w:rsidRPr="007737E8">
        <w:rPr>
          <w:rFonts w:ascii="Calibri" w:hAnsi="Calibri" w:cs="Arial"/>
          <w:sz w:val="22"/>
          <w:szCs w:val="22"/>
        </w:rPr>
        <w:t xml:space="preserve"> of </w:t>
      </w:r>
      <w:proofErr w:type="spellStart"/>
      <w:r w:rsidRPr="007737E8">
        <w:rPr>
          <w:rFonts w:ascii="Calibri" w:hAnsi="Calibri" w:cs="Arial"/>
          <w:sz w:val="22"/>
          <w:szCs w:val="22"/>
        </w:rPr>
        <w:t>Britishness</w:t>
      </w:r>
      <w:proofErr w:type="spellEnd"/>
      <w:r w:rsidRPr="007737E8">
        <w:rPr>
          <w:rFonts w:ascii="Calibri" w:hAnsi="Calibri" w:cs="Arial"/>
          <w:sz w:val="22"/>
          <w:szCs w:val="22"/>
        </w:rPr>
        <w:t>?</w:t>
      </w:r>
    </w:p>
    <w:p w:rsidR="006C0255" w:rsidRPr="007737E8" w:rsidRDefault="001804E1" w:rsidP="008173F1">
      <w:pPr>
        <w:pStyle w:val="BodyTextIndent"/>
        <w:numPr>
          <w:ilvl w:val="0"/>
          <w:numId w:val="1"/>
        </w:numPr>
        <w:rPr>
          <w:rFonts w:ascii="Calibri" w:hAnsi="Calibri" w:cs="Arial"/>
          <w:sz w:val="22"/>
          <w:szCs w:val="22"/>
        </w:rPr>
      </w:pPr>
      <w:r w:rsidRPr="007737E8">
        <w:rPr>
          <w:rFonts w:ascii="Calibri" w:hAnsi="Calibri" w:cs="Calibri"/>
          <w:sz w:val="22"/>
          <w:szCs w:val="22"/>
        </w:rPr>
        <w:t>Explore how</w:t>
      </w:r>
      <w:r w:rsidR="006C0255" w:rsidRPr="007737E8">
        <w:rPr>
          <w:rFonts w:ascii="Calibri" w:hAnsi="Calibri" w:cs="Calibri"/>
          <w:sz w:val="22"/>
          <w:szCs w:val="22"/>
        </w:rPr>
        <w:t xml:space="preserve"> </w:t>
      </w:r>
      <w:proofErr w:type="spellStart"/>
      <w:r w:rsidR="006C0255" w:rsidRPr="007737E8">
        <w:rPr>
          <w:rFonts w:ascii="Calibri" w:hAnsi="Calibri" w:cs="Calibri"/>
          <w:sz w:val="22"/>
          <w:szCs w:val="22"/>
        </w:rPr>
        <w:t>Kureishi's</w:t>
      </w:r>
      <w:proofErr w:type="spellEnd"/>
      <w:r w:rsidR="006C0255" w:rsidRPr="007737E8">
        <w:rPr>
          <w:rFonts w:ascii="Calibri" w:hAnsi="Calibri" w:cs="Calibri"/>
          <w:sz w:val="22"/>
          <w:szCs w:val="22"/>
        </w:rPr>
        <w:t xml:space="preserve"> novel register</w:t>
      </w:r>
      <w:r w:rsidR="007737E8" w:rsidRPr="007737E8">
        <w:rPr>
          <w:rFonts w:ascii="Calibri" w:hAnsi="Calibri" w:cs="Calibri"/>
          <w:sz w:val="22"/>
          <w:szCs w:val="22"/>
        </w:rPr>
        <w:t>s</w:t>
      </w:r>
      <w:r w:rsidR="006C0255" w:rsidRPr="007737E8">
        <w:rPr>
          <w:rFonts w:ascii="Calibri" w:hAnsi="Calibri" w:cs="Calibri"/>
          <w:sz w:val="22"/>
          <w:szCs w:val="22"/>
        </w:rPr>
        <w:t xml:space="preserve"> and respond</w:t>
      </w:r>
      <w:r w:rsidR="007737E8" w:rsidRPr="007737E8">
        <w:rPr>
          <w:rFonts w:ascii="Calibri" w:hAnsi="Calibri" w:cs="Calibri"/>
          <w:sz w:val="22"/>
          <w:szCs w:val="22"/>
        </w:rPr>
        <w:t>s</w:t>
      </w:r>
      <w:r w:rsidR="006C0255" w:rsidRPr="007737E8">
        <w:rPr>
          <w:rFonts w:ascii="Calibri" w:hAnsi="Calibri" w:cs="Calibri"/>
          <w:sz w:val="22"/>
          <w:szCs w:val="22"/>
        </w:rPr>
        <w:t xml:space="preserve"> to</w:t>
      </w:r>
      <w:r w:rsidR="007737E8" w:rsidRPr="007737E8">
        <w:rPr>
          <w:rFonts w:ascii="Calibri" w:hAnsi="Calibri" w:cs="Calibri"/>
          <w:sz w:val="22"/>
          <w:szCs w:val="22"/>
        </w:rPr>
        <w:t xml:space="preserve"> the</w:t>
      </w:r>
      <w:r w:rsidR="006C0255" w:rsidRPr="007737E8">
        <w:rPr>
          <w:rFonts w:ascii="Calibri" w:hAnsi="Calibri" w:cs="Calibri"/>
          <w:sz w:val="22"/>
          <w:szCs w:val="22"/>
        </w:rPr>
        <w:t xml:space="preserve"> social, historical, economic an</w:t>
      </w:r>
      <w:r w:rsidR="00D630EB">
        <w:rPr>
          <w:rFonts w:ascii="Calibri" w:hAnsi="Calibri" w:cs="Calibri"/>
          <w:sz w:val="22"/>
          <w:szCs w:val="22"/>
        </w:rPr>
        <w:t>d political changes of the time.</w:t>
      </w:r>
    </w:p>
    <w:p w:rsidR="006C0255" w:rsidRPr="007737E8" w:rsidRDefault="006C0255" w:rsidP="008173F1">
      <w:pPr>
        <w:pStyle w:val="BodyTextIndent"/>
        <w:numPr>
          <w:ilvl w:val="0"/>
          <w:numId w:val="1"/>
        </w:numPr>
        <w:rPr>
          <w:rFonts w:ascii="Calibri" w:hAnsi="Calibri" w:cs="Arial"/>
          <w:sz w:val="22"/>
          <w:szCs w:val="22"/>
        </w:rPr>
      </w:pPr>
      <w:r w:rsidRPr="007737E8">
        <w:rPr>
          <w:rFonts w:ascii="Calibri" w:hAnsi="Calibri" w:cs="Calibri"/>
          <w:sz w:val="22"/>
          <w:szCs w:val="22"/>
        </w:rPr>
        <w:t xml:space="preserve">How </w:t>
      </w:r>
      <w:r w:rsidR="00276B06" w:rsidRPr="007737E8">
        <w:rPr>
          <w:rFonts w:ascii="Calibri" w:hAnsi="Calibri" w:cs="Calibri"/>
          <w:sz w:val="22"/>
          <w:szCs w:val="22"/>
        </w:rPr>
        <w:t>do</w:t>
      </w:r>
      <w:r w:rsidRPr="007737E8">
        <w:rPr>
          <w:rFonts w:ascii="Calibri" w:hAnsi="Calibri" w:cs="Calibri"/>
          <w:sz w:val="22"/>
          <w:szCs w:val="22"/>
        </w:rPr>
        <w:t xml:space="preserve"> </w:t>
      </w:r>
      <w:proofErr w:type="spellStart"/>
      <w:r w:rsidRPr="007737E8">
        <w:rPr>
          <w:rFonts w:ascii="Calibri" w:hAnsi="Calibri" w:cs="Calibri"/>
          <w:sz w:val="22"/>
          <w:szCs w:val="22"/>
        </w:rPr>
        <w:t>Karim</w:t>
      </w:r>
      <w:proofErr w:type="spellEnd"/>
      <w:r w:rsidRPr="007737E8">
        <w:rPr>
          <w:rFonts w:ascii="Calibri" w:hAnsi="Calibri" w:cs="Calibri"/>
          <w:sz w:val="22"/>
          <w:szCs w:val="22"/>
        </w:rPr>
        <w:t xml:space="preserve"> and </w:t>
      </w:r>
      <w:r w:rsidR="00276B06">
        <w:rPr>
          <w:rFonts w:ascii="Calibri" w:hAnsi="Calibri" w:cs="Calibri"/>
          <w:sz w:val="22"/>
          <w:szCs w:val="22"/>
        </w:rPr>
        <w:t xml:space="preserve">the </w:t>
      </w:r>
      <w:r w:rsidRPr="007737E8">
        <w:rPr>
          <w:rFonts w:ascii="Calibri" w:hAnsi="Calibri" w:cs="Calibri"/>
          <w:sz w:val="22"/>
          <w:szCs w:val="22"/>
        </w:rPr>
        <w:t xml:space="preserve">other characters use music and fashion to register the changing </w:t>
      </w:r>
      <w:r w:rsidR="00D630EB">
        <w:rPr>
          <w:rFonts w:ascii="Calibri" w:hAnsi="Calibri" w:cs="Calibri"/>
          <w:sz w:val="22"/>
          <w:szCs w:val="22"/>
        </w:rPr>
        <w:t>mood of English society</w:t>
      </w:r>
      <w:r w:rsidRPr="007737E8">
        <w:rPr>
          <w:rFonts w:ascii="Calibri" w:hAnsi="Calibri" w:cs="Calibri"/>
          <w:sz w:val="22"/>
          <w:szCs w:val="22"/>
        </w:rPr>
        <w:t>? Find some detailed descriptions of the outfits the characters wear and how others react to the</w:t>
      </w:r>
      <w:r w:rsidR="00D630EB">
        <w:rPr>
          <w:rFonts w:ascii="Calibri" w:hAnsi="Calibri" w:cs="Calibri"/>
          <w:sz w:val="22"/>
          <w:szCs w:val="22"/>
        </w:rPr>
        <w:t>ir</w:t>
      </w:r>
      <w:r w:rsidRPr="007737E8">
        <w:rPr>
          <w:rFonts w:ascii="Calibri" w:hAnsi="Calibri" w:cs="Calibri"/>
          <w:sz w:val="22"/>
          <w:szCs w:val="22"/>
        </w:rPr>
        <w:t xml:space="preserve"> choice of clothes.</w:t>
      </w:r>
    </w:p>
    <w:p w:rsidR="006C0255" w:rsidRPr="007737E8" w:rsidRDefault="006C0255" w:rsidP="008173F1">
      <w:pPr>
        <w:pStyle w:val="BodyTextIndent"/>
        <w:numPr>
          <w:ilvl w:val="0"/>
          <w:numId w:val="1"/>
        </w:numPr>
        <w:rPr>
          <w:rFonts w:ascii="Calibri" w:hAnsi="Calibri" w:cs="Arial"/>
          <w:sz w:val="22"/>
          <w:szCs w:val="22"/>
        </w:rPr>
      </w:pPr>
      <w:r w:rsidRPr="007737E8">
        <w:rPr>
          <w:rFonts w:ascii="Calibri" w:hAnsi="Calibri" w:cs="Calibri"/>
          <w:sz w:val="22"/>
          <w:szCs w:val="22"/>
        </w:rPr>
        <w:t xml:space="preserve">How does Kureishi represent the migrant experience of the 1970's, and how does the text explore the "myth of return" that came to embody the predicament of many immigrants by choice or circumstance? Compare Anwar, </w:t>
      </w:r>
      <w:proofErr w:type="spellStart"/>
      <w:r w:rsidRPr="007737E8">
        <w:rPr>
          <w:rFonts w:ascii="Calibri" w:hAnsi="Calibri" w:cs="Calibri"/>
          <w:sz w:val="22"/>
          <w:szCs w:val="22"/>
        </w:rPr>
        <w:t>Karim's</w:t>
      </w:r>
      <w:proofErr w:type="spellEnd"/>
      <w:r w:rsidRPr="007737E8">
        <w:rPr>
          <w:rFonts w:ascii="Calibri" w:hAnsi="Calibri" w:cs="Calibri"/>
          <w:sz w:val="22"/>
          <w:szCs w:val="22"/>
        </w:rPr>
        <w:t xml:space="preserve"> dad</w:t>
      </w:r>
      <w:r w:rsidR="00D630EB">
        <w:rPr>
          <w:rFonts w:ascii="Calibri" w:hAnsi="Calibri" w:cs="Calibri"/>
          <w:sz w:val="22"/>
          <w:szCs w:val="22"/>
        </w:rPr>
        <w:t xml:space="preserve"> </w:t>
      </w:r>
      <w:proofErr w:type="spellStart"/>
      <w:r w:rsidR="00D630EB">
        <w:rPr>
          <w:rFonts w:ascii="Calibri" w:hAnsi="Calibri" w:cs="Calibri"/>
          <w:sz w:val="22"/>
          <w:szCs w:val="22"/>
        </w:rPr>
        <w:t>Haroon</w:t>
      </w:r>
      <w:proofErr w:type="spellEnd"/>
      <w:r w:rsidRPr="007737E8">
        <w:rPr>
          <w:rFonts w:ascii="Calibri" w:hAnsi="Calibri" w:cs="Calibri"/>
          <w:sz w:val="22"/>
          <w:szCs w:val="22"/>
        </w:rPr>
        <w:t xml:space="preserve">, </w:t>
      </w:r>
      <w:proofErr w:type="spellStart"/>
      <w:r w:rsidRPr="007737E8">
        <w:rPr>
          <w:rFonts w:ascii="Calibri" w:hAnsi="Calibri" w:cs="Calibri"/>
          <w:sz w:val="22"/>
          <w:szCs w:val="22"/>
        </w:rPr>
        <w:t>Jamila's</w:t>
      </w:r>
      <w:proofErr w:type="spellEnd"/>
      <w:r w:rsidRPr="007737E8">
        <w:rPr>
          <w:rFonts w:ascii="Calibri" w:hAnsi="Calibri" w:cs="Calibri"/>
          <w:sz w:val="22"/>
          <w:szCs w:val="22"/>
        </w:rPr>
        <w:t xml:space="preserve"> mum</w:t>
      </w:r>
      <w:r w:rsidR="00D630EB">
        <w:rPr>
          <w:rFonts w:ascii="Calibri" w:hAnsi="Calibri" w:cs="Calibri"/>
          <w:sz w:val="22"/>
          <w:szCs w:val="22"/>
        </w:rPr>
        <w:t xml:space="preserve"> </w:t>
      </w:r>
      <w:proofErr w:type="spellStart"/>
      <w:r w:rsidR="00D630EB">
        <w:rPr>
          <w:rFonts w:ascii="Calibri" w:hAnsi="Calibri" w:cs="Calibri"/>
          <w:sz w:val="22"/>
          <w:szCs w:val="22"/>
        </w:rPr>
        <w:t>Jeeta</w:t>
      </w:r>
      <w:proofErr w:type="spellEnd"/>
      <w:r w:rsidRPr="007737E8">
        <w:rPr>
          <w:rFonts w:ascii="Calibri" w:hAnsi="Calibri" w:cs="Calibri"/>
          <w:sz w:val="22"/>
          <w:szCs w:val="22"/>
        </w:rPr>
        <w:t xml:space="preserve">, and </w:t>
      </w:r>
      <w:proofErr w:type="spellStart"/>
      <w:r w:rsidRPr="007737E8">
        <w:rPr>
          <w:rFonts w:ascii="Calibri" w:hAnsi="Calibri" w:cs="Calibri"/>
          <w:sz w:val="22"/>
          <w:szCs w:val="22"/>
        </w:rPr>
        <w:t>Changez</w:t>
      </w:r>
      <w:proofErr w:type="spellEnd"/>
      <w:r w:rsidRPr="007737E8">
        <w:rPr>
          <w:rFonts w:ascii="Calibri" w:hAnsi="Calibri" w:cs="Calibri"/>
          <w:sz w:val="22"/>
          <w:szCs w:val="22"/>
        </w:rPr>
        <w:t>.</w:t>
      </w:r>
    </w:p>
    <w:p w:rsidR="006C0255" w:rsidRPr="00056FE2" w:rsidRDefault="00D630EB" w:rsidP="00D630EB">
      <w:pPr>
        <w:pStyle w:val="BodyTextIndent"/>
        <w:numPr>
          <w:ilvl w:val="0"/>
          <w:numId w:val="1"/>
        </w:numPr>
        <w:rPr>
          <w:rFonts w:ascii="Calibri" w:hAnsi="Calibri" w:cs="Arial"/>
          <w:sz w:val="22"/>
          <w:szCs w:val="22"/>
        </w:rPr>
      </w:pPr>
      <w:r w:rsidRPr="00D630EB">
        <w:rPr>
          <w:rFonts w:ascii="Calibri" w:hAnsi="Calibri" w:cs="Arial"/>
          <w:i/>
          <w:sz w:val="22"/>
          <w:szCs w:val="22"/>
        </w:rPr>
        <w:t>The Buddha of Suburbia</w:t>
      </w:r>
      <w:r w:rsidR="00506F79" w:rsidRPr="00D630EB">
        <w:rPr>
          <w:rFonts w:ascii="Calibri" w:hAnsi="Calibri" w:cs="Arial"/>
          <w:sz w:val="22"/>
          <w:szCs w:val="22"/>
        </w:rPr>
        <w:t xml:space="preserve"> </w:t>
      </w:r>
      <w:r w:rsidRPr="00D630EB">
        <w:rPr>
          <w:rFonts w:ascii="Calibri" w:hAnsi="Calibri" w:cs="Arial"/>
          <w:sz w:val="22"/>
          <w:szCs w:val="22"/>
        </w:rPr>
        <w:t>is</w:t>
      </w:r>
      <w:r w:rsidR="00506F79" w:rsidRPr="00D630EB">
        <w:rPr>
          <w:rFonts w:ascii="Calibri" w:hAnsi="Calibri" w:cs="Arial"/>
          <w:sz w:val="22"/>
          <w:szCs w:val="22"/>
        </w:rPr>
        <w:t xml:space="preserve"> about a mixed-race teenager who is desperate to escape his suburban life in South London, </w:t>
      </w:r>
      <w:proofErr w:type="spellStart"/>
      <w:r>
        <w:rPr>
          <w:rFonts w:ascii="Calibri" w:hAnsi="Calibri" w:cs="Arial"/>
          <w:sz w:val="22"/>
          <w:szCs w:val="22"/>
        </w:rPr>
        <w:t>Kureishi</w:t>
      </w:r>
      <w:proofErr w:type="spellEnd"/>
      <w:r>
        <w:rPr>
          <w:rFonts w:ascii="Calibri" w:hAnsi="Calibri" w:cs="Arial"/>
          <w:sz w:val="22"/>
          <w:szCs w:val="22"/>
        </w:rPr>
        <w:t xml:space="preserve"> has been</w:t>
      </w:r>
      <w:r w:rsidR="00506F79" w:rsidRPr="00D630EB">
        <w:rPr>
          <w:rFonts w:ascii="Calibri" w:hAnsi="Calibri" w:cs="Arial"/>
          <w:sz w:val="22"/>
          <w:szCs w:val="22"/>
        </w:rPr>
        <w:t xml:space="preserve"> credited with bringing the stories of British Asians and non-whites into the mainstream. </w:t>
      </w:r>
      <w:r w:rsidR="006C0255" w:rsidRPr="00D630EB">
        <w:rPr>
          <w:rFonts w:ascii="Calibri" w:hAnsi="Calibri" w:cs="Calibri"/>
          <w:sz w:val="22"/>
          <w:szCs w:val="22"/>
        </w:rPr>
        <w:t>Examine how Kureis</w:t>
      </w:r>
      <w:r w:rsidR="00B94A38" w:rsidRPr="00D630EB">
        <w:rPr>
          <w:rFonts w:ascii="Calibri" w:hAnsi="Calibri" w:cs="Calibri"/>
          <w:sz w:val="22"/>
          <w:szCs w:val="22"/>
        </w:rPr>
        <w:t xml:space="preserve">hi </w:t>
      </w:r>
      <w:r w:rsidRPr="00D630EB">
        <w:rPr>
          <w:rFonts w:ascii="Calibri" w:hAnsi="Calibri" w:cs="Calibri"/>
          <w:sz w:val="22"/>
          <w:szCs w:val="22"/>
        </w:rPr>
        <w:t>chooses</w:t>
      </w:r>
      <w:r w:rsidR="00B94A38" w:rsidRPr="00D630EB">
        <w:rPr>
          <w:rFonts w:ascii="Calibri" w:hAnsi="Calibri" w:cs="Calibri"/>
          <w:sz w:val="22"/>
          <w:szCs w:val="22"/>
        </w:rPr>
        <w:t xml:space="preserve"> to represent and contrast the experience of first generation immigrants with that of their children, and how </w:t>
      </w:r>
      <w:r w:rsidR="00506F79" w:rsidRPr="00D630EB">
        <w:rPr>
          <w:rFonts w:ascii="Calibri" w:hAnsi="Calibri" w:cs="Calibri"/>
          <w:sz w:val="22"/>
          <w:szCs w:val="22"/>
        </w:rPr>
        <w:t>Kureishi interrogates preconceived perceptions of subordinate groups.</w:t>
      </w:r>
      <w:r w:rsidR="00B94A38" w:rsidRPr="00D630EB">
        <w:rPr>
          <w:rFonts w:ascii="Calibri" w:hAnsi="Calibri" w:cs="Calibri"/>
          <w:sz w:val="22"/>
          <w:szCs w:val="22"/>
        </w:rPr>
        <w:t xml:space="preserve"> </w:t>
      </w:r>
    </w:p>
    <w:p w:rsidR="00056FE2" w:rsidRPr="00D630EB" w:rsidRDefault="00495A88" w:rsidP="00D630EB">
      <w:pPr>
        <w:pStyle w:val="BodyTextIndent"/>
        <w:numPr>
          <w:ilvl w:val="0"/>
          <w:numId w:val="1"/>
        </w:numPr>
        <w:rPr>
          <w:rFonts w:ascii="Calibri" w:hAnsi="Calibri" w:cs="Arial"/>
          <w:sz w:val="22"/>
          <w:szCs w:val="22"/>
        </w:rPr>
      </w:pPr>
      <w:r>
        <w:rPr>
          <w:rFonts w:ascii="Calibri" w:hAnsi="Calibri" w:cs="Calibri"/>
          <w:sz w:val="22"/>
          <w:szCs w:val="22"/>
        </w:rPr>
        <w:t xml:space="preserve">The novel has been deemed a </w:t>
      </w:r>
      <w:proofErr w:type="spellStart"/>
      <w:r>
        <w:rPr>
          <w:rFonts w:ascii="Calibri" w:hAnsi="Calibri" w:cs="Calibri"/>
          <w:sz w:val="22"/>
          <w:szCs w:val="22"/>
        </w:rPr>
        <w:t>B</w:t>
      </w:r>
      <w:r w:rsidR="00056FE2">
        <w:rPr>
          <w:rFonts w:ascii="Calibri" w:hAnsi="Calibri" w:cs="Calibri"/>
          <w:sz w:val="22"/>
          <w:szCs w:val="22"/>
        </w:rPr>
        <w:t>ildungsroman</w:t>
      </w:r>
      <w:proofErr w:type="spellEnd"/>
      <w:r w:rsidR="00056FE2">
        <w:rPr>
          <w:rFonts w:ascii="Calibri" w:hAnsi="Calibri" w:cs="Calibri"/>
          <w:sz w:val="22"/>
          <w:szCs w:val="22"/>
        </w:rPr>
        <w:t xml:space="preserve">, how do </w:t>
      </w:r>
      <w:proofErr w:type="spellStart"/>
      <w:r w:rsidR="00056FE2">
        <w:rPr>
          <w:rFonts w:ascii="Calibri" w:hAnsi="Calibri" w:cs="Calibri"/>
          <w:sz w:val="22"/>
          <w:szCs w:val="22"/>
        </w:rPr>
        <w:t>Karim</w:t>
      </w:r>
      <w:proofErr w:type="spellEnd"/>
      <w:r w:rsidR="00056FE2">
        <w:rPr>
          <w:rFonts w:ascii="Calibri" w:hAnsi="Calibri" w:cs="Calibri"/>
          <w:sz w:val="22"/>
          <w:szCs w:val="22"/>
        </w:rPr>
        <w:t xml:space="preserve"> and </w:t>
      </w:r>
      <w:proofErr w:type="spellStart"/>
      <w:r w:rsidR="00056FE2">
        <w:rPr>
          <w:rFonts w:ascii="Calibri" w:hAnsi="Calibri" w:cs="Calibri"/>
          <w:sz w:val="22"/>
          <w:szCs w:val="22"/>
        </w:rPr>
        <w:t>Jamila</w:t>
      </w:r>
      <w:proofErr w:type="spellEnd"/>
      <w:r w:rsidR="00056FE2">
        <w:rPr>
          <w:rFonts w:ascii="Calibri" w:hAnsi="Calibri" w:cs="Calibri"/>
          <w:sz w:val="22"/>
          <w:szCs w:val="22"/>
        </w:rPr>
        <w:t xml:space="preserve"> change over the course of the novel?</w:t>
      </w:r>
    </w:p>
    <w:p w:rsidR="00102292" w:rsidRDefault="00B249EF" w:rsidP="00506F79">
      <w:pPr>
        <w:pStyle w:val="BodyTextIndent"/>
        <w:ind w:left="720" w:firstLine="0"/>
        <w:rPr>
          <w:rFonts w:ascii="Calibri" w:hAnsi="Calibri" w:cs="Arial"/>
          <w:sz w:val="22"/>
          <w:szCs w:val="22"/>
        </w:rPr>
      </w:pPr>
      <w:r>
        <w:rPr>
          <w:noProof/>
          <w:color w:val="0000FF"/>
          <w:lang w:eastAsia="en-GB"/>
        </w:rPr>
        <w:drawing>
          <wp:inline distT="0" distB="0" distL="0" distR="0">
            <wp:extent cx="1628775" cy="2190750"/>
            <wp:effectExtent l="19050" t="0" r="9525" b="0"/>
            <wp:docPr id="1" name="irc_mi" descr="http://www.bfi.org.uk/sites/bfi.org.uk/files/page/buddha-of-suburbia-the-1993-001-270x203.jp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bfi.org.uk/sites/bfi.org.uk/files/page/buddha-of-suburbia-the-1993-001-270x203.jpg">
                      <a:hlinkClick r:id="rId5"/>
                    </pic:cNvPr>
                    <pic:cNvPicPr>
                      <a:picLocks noChangeAspect="1" noChangeArrowheads="1"/>
                    </pic:cNvPicPr>
                  </pic:nvPicPr>
                  <pic:blipFill>
                    <a:blip r:embed="rId6" cstate="print"/>
                    <a:srcRect/>
                    <a:stretch>
                      <a:fillRect/>
                    </a:stretch>
                  </pic:blipFill>
                  <pic:spPr bwMode="auto">
                    <a:xfrm>
                      <a:off x="0" y="0"/>
                      <a:ext cx="1628775" cy="2190750"/>
                    </a:xfrm>
                    <a:prstGeom prst="rect">
                      <a:avLst/>
                    </a:prstGeom>
                    <a:noFill/>
                    <a:ln w="9525">
                      <a:noFill/>
                      <a:miter lim="800000"/>
                      <a:headEnd/>
                      <a:tailEnd/>
                    </a:ln>
                  </pic:spPr>
                </pic:pic>
              </a:graphicData>
            </a:graphic>
          </wp:inline>
        </w:drawing>
      </w:r>
      <w:r w:rsidRPr="00B249EF">
        <w:t xml:space="preserve"> </w:t>
      </w:r>
      <w:r>
        <w:rPr>
          <w:noProof/>
          <w:color w:val="0000FF"/>
          <w:lang w:eastAsia="en-GB"/>
        </w:rPr>
        <w:drawing>
          <wp:inline distT="0" distB="0" distL="0" distR="0">
            <wp:extent cx="1676400" cy="2190750"/>
            <wp:effectExtent l="19050" t="0" r="0" b="0"/>
            <wp:docPr id="4" name="irc_mi" descr="http://www.wired.com/images_blogs/underwire/2012/09/punk_book.jpg">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wired.com/images_blogs/underwire/2012/09/punk_book.jpg">
                      <a:hlinkClick r:id="rId7"/>
                    </pic:cNvPr>
                    <pic:cNvPicPr>
                      <a:picLocks noChangeAspect="1" noChangeArrowheads="1"/>
                    </pic:cNvPicPr>
                  </pic:nvPicPr>
                  <pic:blipFill>
                    <a:blip r:embed="rId8" cstate="print"/>
                    <a:srcRect/>
                    <a:stretch>
                      <a:fillRect/>
                    </a:stretch>
                  </pic:blipFill>
                  <pic:spPr bwMode="auto">
                    <a:xfrm>
                      <a:off x="0" y="0"/>
                      <a:ext cx="1676400" cy="2190750"/>
                    </a:xfrm>
                    <a:prstGeom prst="rect">
                      <a:avLst/>
                    </a:prstGeom>
                    <a:noFill/>
                    <a:ln w="9525">
                      <a:noFill/>
                      <a:miter lim="800000"/>
                      <a:headEnd/>
                      <a:tailEnd/>
                    </a:ln>
                  </pic:spPr>
                </pic:pic>
              </a:graphicData>
            </a:graphic>
          </wp:inline>
        </w:drawing>
      </w:r>
      <w:r w:rsidR="00A2562C" w:rsidRPr="00A2562C">
        <w:t xml:space="preserve"> </w:t>
      </w:r>
      <w:r w:rsidR="00A2562C">
        <w:rPr>
          <w:noProof/>
          <w:color w:val="0000FF"/>
          <w:lang w:eastAsia="en-GB"/>
        </w:rPr>
        <w:drawing>
          <wp:inline distT="0" distB="0" distL="0" distR="0">
            <wp:extent cx="1571625" cy="2190750"/>
            <wp:effectExtent l="19050" t="0" r="9525" b="0"/>
            <wp:docPr id="7" name="irc_mi" descr="http://giornaledibarganews.com/wp-content/uploads/2009/10/buddha.jpg">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giornaledibarganews.com/wp-content/uploads/2009/10/buddha.jpg">
                      <a:hlinkClick r:id="rId9"/>
                    </pic:cNvPr>
                    <pic:cNvPicPr>
                      <a:picLocks noChangeAspect="1" noChangeArrowheads="1"/>
                    </pic:cNvPicPr>
                  </pic:nvPicPr>
                  <pic:blipFill>
                    <a:blip r:embed="rId10" cstate="print"/>
                    <a:srcRect/>
                    <a:stretch>
                      <a:fillRect/>
                    </a:stretch>
                  </pic:blipFill>
                  <pic:spPr bwMode="auto">
                    <a:xfrm>
                      <a:off x="0" y="0"/>
                      <a:ext cx="1571625" cy="2190750"/>
                    </a:xfrm>
                    <a:prstGeom prst="rect">
                      <a:avLst/>
                    </a:prstGeom>
                    <a:noFill/>
                    <a:ln w="9525">
                      <a:noFill/>
                      <a:miter lim="800000"/>
                      <a:headEnd/>
                      <a:tailEnd/>
                    </a:ln>
                  </pic:spPr>
                </pic:pic>
              </a:graphicData>
            </a:graphic>
          </wp:inline>
        </w:drawing>
      </w:r>
    </w:p>
    <w:p w:rsidR="00102292" w:rsidRPr="00102292" w:rsidRDefault="00102292" w:rsidP="00102292"/>
    <w:p w:rsidR="00102292" w:rsidRPr="00102292" w:rsidRDefault="00102292" w:rsidP="00102292"/>
    <w:p w:rsidR="00102292" w:rsidRDefault="00102292" w:rsidP="00102292"/>
    <w:p w:rsidR="00312E8A" w:rsidRDefault="00102292" w:rsidP="00102292">
      <w:pPr>
        <w:tabs>
          <w:tab w:val="left" w:pos="2445"/>
        </w:tabs>
      </w:pPr>
      <w:r>
        <w:tab/>
      </w:r>
    </w:p>
    <w:p w:rsidR="00A133F9" w:rsidRDefault="00A133F9" w:rsidP="00E47EDD">
      <w:pPr>
        <w:pStyle w:val="BodyTextIndent"/>
        <w:ind w:left="360" w:firstLine="0"/>
        <w:jc w:val="center"/>
        <w:rPr>
          <w:rFonts w:ascii="Calibri" w:hAnsi="Calibri" w:cs="Calibri"/>
          <w:b/>
          <w:i/>
          <w:sz w:val="22"/>
          <w:szCs w:val="22"/>
        </w:rPr>
      </w:pPr>
      <w:r>
        <w:rPr>
          <w:rFonts w:ascii="Calibri" w:hAnsi="Calibri" w:cs="Calibri"/>
          <w:b/>
          <w:i/>
          <w:sz w:val="22"/>
          <w:szCs w:val="22"/>
        </w:rPr>
        <w:lastRenderedPageBreak/>
        <w:t>Starter:</w:t>
      </w:r>
    </w:p>
    <w:p w:rsidR="00102292" w:rsidRDefault="00102292" w:rsidP="00E47EDD">
      <w:pPr>
        <w:pStyle w:val="BodyTextIndent"/>
        <w:ind w:left="360" w:firstLine="0"/>
        <w:jc w:val="center"/>
        <w:rPr>
          <w:rFonts w:ascii="Calibri" w:hAnsi="Calibri" w:cs="Calibri"/>
          <w:b/>
          <w:i/>
          <w:sz w:val="22"/>
          <w:szCs w:val="22"/>
        </w:rPr>
      </w:pPr>
      <w:r w:rsidRPr="00102292">
        <w:rPr>
          <w:rFonts w:ascii="Calibri" w:hAnsi="Calibri" w:cs="Calibri"/>
          <w:b/>
          <w:i/>
          <w:sz w:val="22"/>
          <w:szCs w:val="22"/>
        </w:rPr>
        <w:t xml:space="preserve">Not so dissimilar from Margaret Thatcher's governmental policies that branded postcolonial immigration responsible for the social fragmentation of British </w:t>
      </w:r>
      <w:r>
        <w:rPr>
          <w:rFonts w:ascii="Calibri" w:hAnsi="Calibri" w:cs="Calibri"/>
          <w:b/>
          <w:i/>
          <w:sz w:val="22"/>
          <w:szCs w:val="22"/>
        </w:rPr>
        <w:t>society,</w:t>
      </w:r>
      <w:r w:rsidRPr="00102292">
        <w:rPr>
          <w:rFonts w:ascii="Calibri" w:hAnsi="Calibri" w:cs="Calibri"/>
          <w:b/>
          <w:i/>
          <w:sz w:val="22"/>
          <w:szCs w:val="22"/>
        </w:rPr>
        <w:t xml:space="preserve"> there is a renewed concern from the state that Britain is becoming a "community of communities". How can we compare the Britain </w:t>
      </w:r>
      <w:proofErr w:type="spellStart"/>
      <w:r w:rsidRPr="00102292">
        <w:rPr>
          <w:rFonts w:ascii="Calibri" w:hAnsi="Calibri" w:cs="Calibri"/>
          <w:b/>
          <w:i/>
          <w:sz w:val="22"/>
          <w:szCs w:val="22"/>
        </w:rPr>
        <w:t>Kureishi</w:t>
      </w:r>
      <w:proofErr w:type="spellEnd"/>
      <w:r w:rsidRPr="00102292">
        <w:rPr>
          <w:rFonts w:ascii="Calibri" w:hAnsi="Calibri" w:cs="Calibri"/>
          <w:b/>
          <w:i/>
          <w:sz w:val="22"/>
          <w:szCs w:val="22"/>
        </w:rPr>
        <w:t xml:space="preserve"> was writing from in the late 1980's, with the Britain he was writing about in the late 1970's, and the Britain we live in today?</w:t>
      </w:r>
    </w:p>
    <w:p w:rsidR="00FE2DD5" w:rsidRPr="00102292" w:rsidRDefault="00FE2DD5" w:rsidP="00E47EDD">
      <w:pPr>
        <w:pStyle w:val="BodyTextIndent"/>
        <w:ind w:left="360" w:firstLine="0"/>
        <w:jc w:val="center"/>
        <w:rPr>
          <w:rFonts w:ascii="Calibri" w:hAnsi="Calibri" w:cs="Arial"/>
          <w:b/>
          <w:i/>
          <w:sz w:val="22"/>
          <w:szCs w:val="22"/>
        </w:rPr>
      </w:pPr>
    </w:p>
    <w:p w:rsidR="00102292" w:rsidRPr="00102292" w:rsidRDefault="008115BD" w:rsidP="00E47EDD">
      <w:pPr>
        <w:tabs>
          <w:tab w:val="left" w:pos="2445"/>
        </w:tabs>
        <w:jc w:val="center"/>
      </w:pPr>
      <w:r>
        <w:rPr>
          <w:rFonts w:ascii="Arial" w:hAnsi="Arial" w:cs="Arial"/>
          <w:noProof/>
          <w:sz w:val="20"/>
          <w:szCs w:val="20"/>
          <w:lang w:eastAsia="en-GB"/>
        </w:rPr>
        <w:drawing>
          <wp:inline distT="0" distB="0" distL="0" distR="0">
            <wp:extent cx="2495550" cy="1323975"/>
            <wp:effectExtent l="0" t="0" r="0" b="9525"/>
            <wp:docPr id="3" name="il_fi" descr="http://2.bp.blogspot.com/-Rkt-4NPWj44/TbSMX4bfOQI/AAAAAAAABH8/f2R9rrPlgFc/s1600/charles+and+dia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2.bp.blogspot.com/-Rkt-4NPWj44/TbSMX4bfOQI/AAAAAAAABH8/f2R9rrPlgFc/s1600/charles+and+diana.jpg"/>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495550" cy="1323975"/>
                    </a:xfrm>
                    <a:prstGeom prst="rect">
                      <a:avLst/>
                    </a:prstGeom>
                    <a:noFill/>
                    <a:ln>
                      <a:noFill/>
                    </a:ln>
                  </pic:spPr>
                </pic:pic>
              </a:graphicData>
            </a:graphic>
          </wp:inline>
        </w:drawing>
      </w:r>
      <w:r w:rsidR="00FE2DD5">
        <w:rPr>
          <w:rFonts w:ascii="Arial" w:hAnsi="Arial" w:cs="Arial"/>
          <w:noProof/>
          <w:sz w:val="20"/>
          <w:szCs w:val="20"/>
          <w:lang w:eastAsia="en-GB"/>
        </w:rPr>
        <w:drawing>
          <wp:inline distT="0" distB="0" distL="0" distR="0">
            <wp:extent cx="2543175" cy="1333500"/>
            <wp:effectExtent l="0" t="0" r="0" b="0"/>
            <wp:docPr id="2" name="il_fi" descr="http://cdn04.cdn.justjared.com/wp-content/uploads/2011/04/first-kiss/kate-middleton-prince-william-royal-wedding-first-kiss-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cdn04.cdn.justjared.com/wp-content/uploads/2011/04/first-kiss/kate-middleton-prince-william-royal-wedding-first-kiss-04.jpg"/>
                    <pic:cNvPicPr>
                      <a:picLocks noChangeAspect="1" noChangeArrowheads="1"/>
                    </pic:cNvPicPr>
                  </pic:nvPicPr>
                  <pic:blipFill>
                    <a:blip r:embed="rId1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44038" cy="1333953"/>
                    </a:xfrm>
                    <a:prstGeom prst="rect">
                      <a:avLst/>
                    </a:prstGeom>
                    <a:noFill/>
                    <a:ln>
                      <a:noFill/>
                    </a:ln>
                  </pic:spPr>
                </pic:pic>
              </a:graphicData>
            </a:graphic>
          </wp:inline>
        </w:drawing>
      </w:r>
      <w:r w:rsidR="00052F21">
        <w:rPr>
          <w:rFonts w:ascii="Arial" w:hAnsi="Arial" w:cs="Arial"/>
          <w:noProof/>
          <w:sz w:val="20"/>
          <w:szCs w:val="20"/>
          <w:lang w:eastAsia="en-GB"/>
        </w:rPr>
        <w:drawing>
          <wp:inline distT="0" distB="0" distL="0" distR="0">
            <wp:extent cx="2505075" cy="1466850"/>
            <wp:effectExtent l="0" t="0" r="9525" b="0"/>
            <wp:docPr id="5" name="il_fi" descr="http://news.bbc.co.uk/media/images/38553000/jpg/_38553279_brixton2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news.bbc.co.uk/media/images/38553000/jpg/_38553279_brixton238.jpg"/>
                    <pic:cNvPicPr>
                      <a:picLocks noChangeAspect="1" noChangeArrowheads="1"/>
                    </pic:cNvPicPr>
                  </pic:nvPicPr>
                  <pic:blipFill>
                    <a:blip r:embed="rId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05075" cy="1466850"/>
                    </a:xfrm>
                    <a:prstGeom prst="rect">
                      <a:avLst/>
                    </a:prstGeom>
                    <a:noFill/>
                    <a:ln>
                      <a:noFill/>
                    </a:ln>
                  </pic:spPr>
                </pic:pic>
              </a:graphicData>
            </a:graphic>
          </wp:inline>
        </w:drawing>
      </w:r>
      <w:r w:rsidR="00052F21">
        <w:rPr>
          <w:rFonts w:ascii="Arial" w:hAnsi="Arial" w:cs="Arial"/>
          <w:noProof/>
          <w:sz w:val="20"/>
          <w:szCs w:val="20"/>
          <w:lang w:eastAsia="en-GB"/>
        </w:rPr>
        <w:drawing>
          <wp:inline distT="0" distB="0" distL="0" distR="0">
            <wp:extent cx="2571750" cy="1457325"/>
            <wp:effectExtent l="0" t="0" r="0" b="0"/>
            <wp:docPr id="6" name="il_fi" descr="http://www.catholic-convert.com/wp-content/uploads/riot_lond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catholic-convert.com/wp-content/uploads/riot_london.jpg"/>
                    <pic:cNvPicPr>
                      <a:picLocks noChangeAspect="1" noChangeArrowheads="1"/>
                    </pic:cNvPicPr>
                  </pic:nvPicPr>
                  <pic:blipFill>
                    <a:blip r:embed="rId1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73818" cy="1458497"/>
                    </a:xfrm>
                    <a:prstGeom prst="rect">
                      <a:avLst/>
                    </a:prstGeom>
                    <a:noFill/>
                    <a:ln>
                      <a:noFill/>
                    </a:ln>
                  </pic:spPr>
                </pic:pic>
              </a:graphicData>
            </a:graphic>
          </wp:inline>
        </w:drawing>
      </w:r>
      <w:r w:rsidR="00897272">
        <w:rPr>
          <w:rFonts w:ascii="Arial" w:hAnsi="Arial" w:cs="Arial"/>
          <w:noProof/>
          <w:sz w:val="20"/>
          <w:szCs w:val="20"/>
          <w:lang w:eastAsia="en-GB"/>
        </w:rPr>
        <w:drawing>
          <wp:inline distT="0" distB="0" distL="0" distR="0">
            <wp:extent cx="2505075" cy="1562100"/>
            <wp:effectExtent l="0" t="0" r="0" b="0"/>
            <wp:docPr id="8" name="il_fi" descr="http://static.guim.co.uk/sys-images/Money/Pix/pictures/2008/09/19/ThatcherRexNilsJorgensen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static.guim.co.uk/sys-images/Money/Pix/pictures/2008/09/19/ThatcherRexNilsJorgensen300.jpg"/>
                    <pic:cNvPicPr>
                      <a:picLocks noChangeAspect="1" noChangeArrowheads="1"/>
                    </pic:cNvPicPr>
                  </pic:nvPicPr>
                  <pic:blipFill>
                    <a:blip r:embed="rId1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05075" cy="1562100"/>
                    </a:xfrm>
                    <a:prstGeom prst="rect">
                      <a:avLst/>
                    </a:prstGeom>
                    <a:noFill/>
                    <a:ln>
                      <a:noFill/>
                    </a:ln>
                  </pic:spPr>
                </pic:pic>
              </a:graphicData>
            </a:graphic>
          </wp:inline>
        </w:drawing>
      </w:r>
      <w:r w:rsidR="00A243D4">
        <w:rPr>
          <w:rFonts w:ascii="Arial" w:hAnsi="Arial" w:cs="Arial"/>
          <w:noProof/>
          <w:sz w:val="20"/>
          <w:szCs w:val="20"/>
          <w:lang w:eastAsia="en-GB"/>
        </w:rPr>
        <w:drawing>
          <wp:inline distT="0" distB="0" distL="0" distR="0">
            <wp:extent cx="2571750" cy="1562100"/>
            <wp:effectExtent l="0" t="0" r="0" b="0"/>
            <wp:docPr id="9" name="il_fi" descr="http://www.thetimes.co.uk/tto/multimedia/archive/00250/David_Cameron_-_50p_250614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thetimes.co.uk/tto/multimedia/archive/00250/David_Cameron_-_50p_250614a.jpg"/>
                    <pic:cNvPicPr>
                      <a:picLocks noChangeAspect="1" noChangeArrowheads="1"/>
                    </pic:cNvPicPr>
                  </pic:nvPicPr>
                  <pic:blipFill>
                    <a:blip r:embed="rId1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73671" cy="1563267"/>
                    </a:xfrm>
                    <a:prstGeom prst="rect">
                      <a:avLst/>
                    </a:prstGeom>
                    <a:noFill/>
                    <a:ln>
                      <a:noFill/>
                    </a:ln>
                  </pic:spPr>
                </pic:pic>
              </a:graphicData>
            </a:graphic>
          </wp:inline>
        </w:drawing>
      </w:r>
      <w:r w:rsidR="00420C22">
        <w:rPr>
          <w:rFonts w:ascii="Arial" w:hAnsi="Arial" w:cs="Arial"/>
          <w:noProof/>
          <w:sz w:val="20"/>
          <w:szCs w:val="20"/>
          <w:lang w:eastAsia="en-GB"/>
        </w:rPr>
        <w:drawing>
          <wp:inline distT="0" distB="0" distL="0" distR="0">
            <wp:extent cx="2505075" cy="1495425"/>
            <wp:effectExtent l="0" t="0" r="0" b="0"/>
            <wp:docPr id="10" name="il_fi" descr="http://www.sterlingtimes.co.uk/rivers_of_bloo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sterlingtimes.co.uk/rivers_of_blood.jpg"/>
                    <pic:cNvPicPr>
                      <a:picLocks noChangeAspect="1" noChangeArrowheads="1"/>
                    </pic:cNvPicPr>
                  </pic:nvPicPr>
                  <pic:blipFill>
                    <a:blip r:embed="rId1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05075" cy="1495425"/>
                    </a:xfrm>
                    <a:prstGeom prst="rect">
                      <a:avLst/>
                    </a:prstGeom>
                    <a:noFill/>
                    <a:ln>
                      <a:noFill/>
                    </a:ln>
                  </pic:spPr>
                </pic:pic>
              </a:graphicData>
            </a:graphic>
          </wp:inline>
        </w:drawing>
      </w:r>
      <w:r w:rsidR="00DF68A6">
        <w:rPr>
          <w:rFonts w:ascii="Arial" w:hAnsi="Arial" w:cs="Arial"/>
          <w:noProof/>
          <w:sz w:val="20"/>
          <w:szCs w:val="20"/>
          <w:lang w:eastAsia="en-GB"/>
        </w:rPr>
        <w:drawing>
          <wp:inline distT="0" distB="0" distL="0" distR="0">
            <wp:extent cx="2571750" cy="1495425"/>
            <wp:effectExtent l="0" t="0" r="0" b="0"/>
            <wp:docPr id="11" name="il_fi" descr="http://blogs.telegraph.co.uk/news/files/2011/03/bnp_1413178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blogs.telegraph.co.uk/news/files/2011/03/bnp_1413178a.jpg"/>
                    <pic:cNvPicPr>
                      <a:picLocks noChangeAspect="1" noChangeArrowheads="1"/>
                    </pic:cNvPicPr>
                  </pic:nvPicPr>
                  <pic:blipFill>
                    <a:blip r:embed="rId1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71750" cy="1495425"/>
                    </a:xfrm>
                    <a:prstGeom prst="rect">
                      <a:avLst/>
                    </a:prstGeom>
                    <a:noFill/>
                    <a:ln>
                      <a:noFill/>
                    </a:ln>
                  </pic:spPr>
                </pic:pic>
              </a:graphicData>
            </a:graphic>
          </wp:inline>
        </w:drawing>
      </w:r>
      <w:r w:rsidR="00E62E31">
        <w:rPr>
          <w:rFonts w:ascii="Arial" w:hAnsi="Arial" w:cs="Arial"/>
          <w:noProof/>
          <w:sz w:val="20"/>
          <w:szCs w:val="20"/>
          <w:lang w:eastAsia="en-GB"/>
        </w:rPr>
        <w:drawing>
          <wp:inline distT="0" distB="0" distL="0" distR="0">
            <wp:extent cx="2505075" cy="1771650"/>
            <wp:effectExtent l="0" t="0" r="0" b="0"/>
            <wp:docPr id="12" name="il_fi" descr="http://www.mediaessentials.co.uk/wp-content/uploads/2012/07/Sex-Pistol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mediaessentials.co.uk/wp-content/uploads/2012/07/Sex-Pistols.jpg"/>
                    <pic:cNvPicPr>
                      <a:picLocks noChangeAspect="1" noChangeArrowheads="1"/>
                    </pic:cNvPicPr>
                  </pic:nvPicPr>
                  <pic:blipFill>
                    <a:blip r:embed="rId1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07209" cy="1773159"/>
                    </a:xfrm>
                    <a:prstGeom prst="rect">
                      <a:avLst/>
                    </a:prstGeom>
                    <a:noFill/>
                    <a:ln>
                      <a:noFill/>
                    </a:ln>
                  </pic:spPr>
                </pic:pic>
              </a:graphicData>
            </a:graphic>
          </wp:inline>
        </w:drawing>
      </w:r>
      <w:r w:rsidR="00D80304" w:rsidRPr="00D80304">
        <w:rPr>
          <w:noProof/>
          <w:lang w:eastAsia="en-GB"/>
        </w:rPr>
        <w:t xml:space="preserve"> </w:t>
      </w:r>
      <w:bookmarkStart w:id="0" w:name="_GoBack"/>
      <w:r w:rsidR="00D80304">
        <w:rPr>
          <w:noProof/>
          <w:lang w:eastAsia="en-GB"/>
        </w:rPr>
        <w:drawing>
          <wp:inline distT="0" distB="0" distL="0" distR="0">
            <wp:extent cx="2543175" cy="1762125"/>
            <wp:effectExtent l="0" t="0" r="9525" b="9525"/>
            <wp:docPr id="14" name="Picture 14" descr="The Kominas, Al-Thawra, Fun-Da-Mental, Poetic Pilgrimage &amp; Michael Muhammad Kn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The Kominas, Al-Thawra, Fun-Da-Mental, Poetic Pilgrimage &amp; Michael Muhammad Knight"/>
                    <pic:cNvPicPr>
                      <a:picLocks noChangeAspect="1" noChangeArrowheads="1"/>
                    </pic:cNvPicPr>
                  </pic:nvPicPr>
                  <pic:blipFill>
                    <a:blip r:embed="rId2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43175" cy="1762125"/>
                    </a:xfrm>
                    <a:prstGeom prst="rect">
                      <a:avLst/>
                    </a:prstGeom>
                    <a:noFill/>
                    <a:ln>
                      <a:noFill/>
                    </a:ln>
                  </pic:spPr>
                </pic:pic>
              </a:graphicData>
            </a:graphic>
          </wp:inline>
        </w:drawing>
      </w:r>
      <w:bookmarkEnd w:id="0"/>
    </w:p>
    <w:sectPr w:rsidR="00102292" w:rsidRPr="00102292" w:rsidSect="00350BB4">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B5496A"/>
    <w:multiLevelType w:val="hybridMultilevel"/>
    <w:tmpl w:val="425AEB60"/>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3EF92302"/>
    <w:multiLevelType w:val="hybridMultilevel"/>
    <w:tmpl w:val="6DE2D35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4F344338"/>
    <w:multiLevelType w:val="hybridMultilevel"/>
    <w:tmpl w:val="C13832C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F37941"/>
    <w:rsid w:val="00023C26"/>
    <w:rsid w:val="000502AE"/>
    <w:rsid w:val="00052F21"/>
    <w:rsid w:val="00056FE2"/>
    <w:rsid w:val="000D1A4E"/>
    <w:rsid w:val="00102292"/>
    <w:rsid w:val="001804E1"/>
    <w:rsid w:val="00273456"/>
    <w:rsid w:val="00276B06"/>
    <w:rsid w:val="00312E8A"/>
    <w:rsid w:val="00350BB4"/>
    <w:rsid w:val="003C32DD"/>
    <w:rsid w:val="00420C22"/>
    <w:rsid w:val="00442315"/>
    <w:rsid w:val="00495A88"/>
    <w:rsid w:val="00506F79"/>
    <w:rsid w:val="005850AA"/>
    <w:rsid w:val="006C0255"/>
    <w:rsid w:val="007737E8"/>
    <w:rsid w:val="007A7624"/>
    <w:rsid w:val="008115BD"/>
    <w:rsid w:val="0081590C"/>
    <w:rsid w:val="008173F1"/>
    <w:rsid w:val="008411FA"/>
    <w:rsid w:val="008567DC"/>
    <w:rsid w:val="00897272"/>
    <w:rsid w:val="009248C1"/>
    <w:rsid w:val="00982E1A"/>
    <w:rsid w:val="00A133F9"/>
    <w:rsid w:val="00A243D4"/>
    <w:rsid w:val="00A2562C"/>
    <w:rsid w:val="00A457EF"/>
    <w:rsid w:val="00A567AD"/>
    <w:rsid w:val="00AE3714"/>
    <w:rsid w:val="00B249EF"/>
    <w:rsid w:val="00B94A38"/>
    <w:rsid w:val="00BC5543"/>
    <w:rsid w:val="00C122CD"/>
    <w:rsid w:val="00C6140B"/>
    <w:rsid w:val="00CA522F"/>
    <w:rsid w:val="00CE66C1"/>
    <w:rsid w:val="00D630EB"/>
    <w:rsid w:val="00D80304"/>
    <w:rsid w:val="00DE6D23"/>
    <w:rsid w:val="00DF68A6"/>
    <w:rsid w:val="00E47EDD"/>
    <w:rsid w:val="00E62E31"/>
    <w:rsid w:val="00EB3645"/>
    <w:rsid w:val="00F37941"/>
    <w:rsid w:val="00F447B7"/>
    <w:rsid w:val="00F47596"/>
    <w:rsid w:val="00FE2DD5"/>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794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semiHidden/>
    <w:rsid w:val="00F37941"/>
    <w:pPr>
      <w:ind w:firstLine="720"/>
    </w:pPr>
    <w:rPr>
      <w:rFonts w:ascii="Tahoma" w:hAnsi="Tahoma" w:cs="Tahoma"/>
    </w:rPr>
  </w:style>
  <w:style w:type="character" w:customStyle="1" w:styleId="BodyTextIndentChar">
    <w:name w:val="Body Text Indent Char"/>
    <w:basedOn w:val="DefaultParagraphFont"/>
    <w:link w:val="BodyTextIndent"/>
    <w:semiHidden/>
    <w:rsid w:val="00F37941"/>
    <w:rPr>
      <w:rFonts w:ascii="Tahoma" w:eastAsia="Times New Roman" w:hAnsi="Tahoma" w:cs="Tahoma"/>
      <w:sz w:val="24"/>
      <w:szCs w:val="24"/>
    </w:rPr>
  </w:style>
  <w:style w:type="paragraph" w:styleId="Title">
    <w:name w:val="Title"/>
    <w:basedOn w:val="Normal"/>
    <w:next w:val="Normal"/>
    <w:link w:val="TitleChar"/>
    <w:uiPriority w:val="10"/>
    <w:qFormat/>
    <w:rsid w:val="00C122CD"/>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122CD"/>
    <w:rPr>
      <w:rFonts w:asciiTheme="majorHAnsi" w:eastAsiaTheme="majorEastAsia" w:hAnsiTheme="majorHAnsi" w:cstheme="majorBidi"/>
      <w:color w:val="17365D" w:themeColor="text2" w:themeShade="BF"/>
      <w:spacing w:val="5"/>
      <w:kern w:val="28"/>
      <w:sz w:val="52"/>
      <w:szCs w:val="52"/>
    </w:rPr>
  </w:style>
  <w:style w:type="paragraph" w:styleId="BalloonText">
    <w:name w:val="Balloon Text"/>
    <w:basedOn w:val="Normal"/>
    <w:link w:val="BalloonTextChar"/>
    <w:uiPriority w:val="99"/>
    <w:semiHidden/>
    <w:unhideWhenUsed/>
    <w:rsid w:val="00B249EF"/>
    <w:rPr>
      <w:rFonts w:ascii="Tahoma" w:hAnsi="Tahoma" w:cs="Tahoma"/>
      <w:sz w:val="16"/>
      <w:szCs w:val="16"/>
    </w:rPr>
  </w:style>
  <w:style w:type="character" w:customStyle="1" w:styleId="BalloonTextChar">
    <w:name w:val="Balloon Text Char"/>
    <w:basedOn w:val="DefaultParagraphFont"/>
    <w:link w:val="BalloonText"/>
    <w:uiPriority w:val="99"/>
    <w:semiHidden/>
    <w:rsid w:val="00B249EF"/>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794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semiHidden/>
    <w:rsid w:val="00F37941"/>
    <w:pPr>
      <w:ind w:firstLine="720"/>
    </w:pPr>
    <w:rPr>
      <w:rFonts w:ascii="Tahoma" w:hAnsi="Tahoma" w:cs="Tahoma"/>
    </w:rPr>
  </w:style>
  <w:style w:type="character" w:customStyle="1" w:styleId="BodyTextIndentChar">
    <w:name w:val="Body Text Indent Char"/>
    <w:basedOn w:val="DefaultParagraphFont"/>
    <w:link w:val="BodyTextIndent"/>
    <w:semiHidden/>
    <w:rsid w:val="00F37941"/>
    <w:rPr>
      <w:rFonts w:ascii="Tahoma" w:eastAsia="Times New Roman" w:hAnsi="Tahoma" w:cs="Tahoma"/>
      <w:sz w:val="24"/>
      <w:szCs w:val="24"/>
    </w:rPr>
  </w:style>
  <w:style w:type="paragraph" w:styleId="Title">
    <w:name w:val="Title"/>
    <w:basedOn w:val="Normal"/>
    <w:next w:val="Normal"/>
    <w:link w:val="TitleChar"/>
    <w:uiPriority w:val="10"/>
    <w:qFormat/>
    <w:rsid w:val="00C122CD"/>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122CD"/>
    <w:rPr>
      <w:rFonts w:asciiTheme="majorHAnsi" w:eastAsiaTheme="majorEastAsia" w:hAnsiTheme="majorHAnsi" w:cstheme="majorBidi"/>
      <w:color w:val="17365D" w:themeColor="text2" w:themeShade="BF"/>
      <w:spacing w:val="5"/>
      <w:kern w:val="28"/>
      <w:sz w:val="52"/>
      <w:szCs w:val="52"/>
    </w:rPr>
  </w:style>
  <w:style w:type="paragraph" w:styleId="BalloonText">
    <w:name w:val="Balloon Text"/>
    <w:basedOn w:val="Normal"/>
    <w:link w:val="BalloonTextChar"/>
    <w:uiPriority w:val="99"/>
    <w:semiHidden/>
    <w:unhideWhenUsed/>
    <w:rsid w:val="00B249EF"/>
    <w:rPr>
      <w:rFonts w:ascii="Tahoma" w:hAnsi="Tahoma" w:cs="Tahoma"/>
      <w:sz w:val="16"/>
      <w:szCs w:val="16"/>
    </w:rPr>
  </w:style>
  <w:style w:type="character" w:customStyle="1" w:styleId="BalloonTextChar">
    <w:name w:val="Balloon Text Char"/>
    <w:basedOn w:val="DefaultParagraphFont"/>
    <w:link w:val="BalloonText"/>
    <w:uiPriority w:val="99"/>
    <w:semiHidden/>
    <w:rsid w:val="00B249EF"/>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6.jpeg"/><Relationship Id="rId18" Type="http://schemas.openxmlformats.org/officeDocument/2006/relationships/image" Target="media/image11.jpeg"/><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www.google.co.uk/url?sa=i&amp;rct=j&amp;q=1970s+punk&amp;source=images&amp;cd=&amp;cad=rja&amp;docid=PsPESAkIgCVypM&amp;tbnid=mTadH0R4Fi9XfM:&amp;ved=0CAUQjRw&amp;url=http://www.wired.com/underwire/2012/09/william-gibson-part-2-twitter/3/&amp;ei=kvQOUfCNJuOx0AXa2YHQBQ&amp;bvm=bv.41867550,d.d2k&amp;psig=AFQjCNEzGQ9tI_Vaj0g87payUau882u9rw&amp;ust=1360021002141775" TargetMode="External"/><Relationship Id="rId12" Type="http://schemas.openxmlformats.org/officeDocument/2006/relationships/image" Target="media/image5.jpeg"/><Relationship Id="rId17" Type="http://schemas.openxmlformats.org/officeDocument/2006/relationships/image" Target="media/image10.jpeg"/><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image" Target="media/image13.jpeg"/><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4.jpeg"/><Relationship Id="rId5" Type="http://schemas.openxmlformats.org/officeDocument/2006/relationships/hyperlink" Target="http://www.google.co.uk/url?sa=i&amp;rct=j&amp;q=the+buddha+of+suburbia&amp;source=images&amp;cd=&amp;cad=rja&amp;docid=kH0DgWMoTJq9TM&amp;tbnid=M9I4QHSoiTb3DM:&amp;ved=0CAUQjRw&amp;url=http://www.bfi.org.uk/archive-collections/introduction-bfi-collections/bfi-mediatheques&amp;ei=DPQOUem9OfGT0QWPhIH4Bg&amp;bvm=bv.41867550,d.d2k&amp;psig=AFQjCNGkHUezbdLKUoUxpIPErUGIfVbZ3w&amp;ust=1360020848586187" TargetMode="External"/><Relationship Id="rId15" Type="http://schemas.openxmlformats.org/officeDocument/2006/relationships/image" Target="media/image8.jpeg"/><Relationship Id="rId23" Type="http://schemas.microsoft.com/office/2007/relationships/stylesWithEffects" Target="stylesWithEffects.xml"/><Relationship Id="rId10" Type="http://schemas.openxmlformats.org/officeDocument/2006/relationships/image" Target="media/image3.jpeg"/><Relationship Id="rId19" Type="http://schemas.openxmlformats.org/officeDocument/2006/relationships/image" Target="media/image12.jpeg"/><Relationship Id="rId4" Type="http://schemas.openxmlformats.org/officeDocument/2006/relationships/webSettings" Target="webSettings.xml"/><Relationship Id="rId9" Type="http://schemas.openxmlformats.org/officeDocument/2006/relationships/hyperlink" Target="http://www.google.co.uk/url?sa=i&amp;rct=j&amp;q=buddha+of+suburbia&amp;source=images&amp;cd=&amp;cad=rja&amp;docid=_xiffmpRBD4PCM&amp;tbnid=zwZqdRVa69xa9M:&amp;ved=0CAUQjRw&amp;url=http://www.giornaledibarganews.com/2009/10/09/barga-book-club-the-buddha-of-suburbia/&amp;ei=M_UOUdO2FurK0QWJpIHgAg&amp;bvm=bv.41867550,d.d2k&amp;psig=AFQjCNEg6fDgeuL1AZeei8MY84iyGKUEJw&amp;ust=1360021133930419" TargetMode="External"/><Relationship Id="rId14" Type="http://schemas.openxmlformats.org/officeDocument/2006/relationships/image" Target="media/image7.jpe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386</Words>
  <Characters>2202</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Roxanne</dc:creator>
  <cp:lastModifiedBy>Roxanne</cp:lastModifiedBy>
  <cp:revision>2</cp:revision>
  <dcterms:created xsi:type="dcterms:W3CDTF">2013-11-10T17:55:00Z</dcterms:created>
  <dcterms:modified xsi:type="dcterms:W3CDTF">2013-11-10T17:55:00Z</dcterms:modified>
</cp:coreProperties>
</file>