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7951" w:rsidRDefault="00CE2C8A">
      <w:pPr>
        <w:rPr>
          <w:b/>
          <w:u w:val="single"/>
        </w:rPr>
      </w:pPr>
      <w:r>
        <w:rPr>
          <w:noProof/>
          <w:color w:val="0000FF"/>
          <w:lang w:eastAsia="en-GB"/>
        </w:rPr>
        <w:drawing>
          <wp:inline distT="0" distB="0" distL="0" distR="0">
            <wp:extent cx="1162050" cy="1428750"/>
            <wp:effectExtent l="19050" t="0" r="0" b="0"/>
            <wp:docPr id="2" name="irc_mi" descr="https://encrypted-tbn0.gstatic.com/images?q=tbn:ANd9GcRTh-nMeTVApd7NJEKnAD0tWIgVwlXcW5kNu_VQa1R40jIhx5taYw">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encrypted-tbn0.gstatic.com/images?q=tbn:ANd9GcRTh-nMeTVApd7NJEKnAD0tWIgVwlXcW5kNu_VQa1R40jIhx5taYw">
                      <a:hlinkClick r:id="rId4"/>
                    </pic:cNvPr>
                    <pic:cNvPicPr>
                      <a:picLocks noChangeAspect="1" noChangeArrowheads="1"/>
                    </pic:cNvPicPr>
                  </pic:nvPicPr>
                  <pic:blipFill>
                    <a:blip r:embed="rId5" cstate="print"/>
                    <a:srcRect/>
                    <a:stretch>
                      <a:fillRect/>
                    </a:stretch>
                  </pic:blipFill>
                  <pic:spPr bwMode="auto">
                    <a:xfrm>
                      <a:off x="0" y="0"/>
                      <a:ext cx="1162050" cy="1428750"/>
                    </a:xfrm>
                    <a:prstGeom prst="rect">
                      <a:avLst/>
                    </a:prstGeom>
                    <a:noFill/>
                    <a:ln w="9525">
                      <a:noFill/>
                      <a:miter lim="800000"/>
                      <a:headEnd/>
                      <a:tailEnd/>
                    </a:ln>
                  </pic:spPr>
                </pic:pic>
              </a:graphicData>
            </a:graphic>
          </wp:inline>
        </w:drawing>
      </w:r>
      <w:r w:rsidR="00CF7951">
        <w:rPr>
          <w:noProof/>
          <w:color w:val="0000FF"/>
          <w:lang w:eastAsia="en-GB"/>
        </w:rPr>
        <w:drawing>
          <wp:inline distT="0" distB="0" distL="0" distR="0">
            <wp:extent cx="2181225" cy="1428750"/>
            <wp:effectExtent l="19050" t="0" r="9525" b="0"/>
            <wp:docPr id="1" name="irc_mi" descr="http://frindethie.files.wordpress.com/2011/05/fanon.jpg">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frindethie.files.wordpress.com/2011/05/fanon.jpg">
                      <a:hlinkClick r:id="rId6"/>
                    </pic:cNvPr>
                    <pic:cNvPicPr>
                      <a:picLocks noChangeAspect="1" noChangeArrowheads="1"/>
                    </pic:cNvPicPr>
                  </pic:nvPicPr>
                  <pic:blipFill>
                    <a:blip r:embed="rId7" cstate="print"/>
                    <a:srcRect/>
                    <a:stretch>
                      <a:fillRect/>
                    </a:stretch>
                  </pic:blipFill>
                  <pic:spPr bwMode="auto">
                    <a:xfrm>
                      <a:off x="0" y="0"/>
                      <a:ext cx="2181225" cy="1428750"/>
                    </a:xfrm>
                    <a:prstGeom prst="rect">
                      <a:avLst/>
                    </a:prstGeom>
                    <a:noFill/>
                    <a:ln w="9525">
                      <a:noFill/>
                      <a:miter lim="800000"/>
                      <a:headEnd/>
                      <a:tailEnd/>
                    </a:ln>
                  </pic:spPr>
                </pic:pic>
              </a:graphicData>
            </a:graphic>
          </wp:inline>
        </w:drawing>
      </w:r>
      <w:r>
        <w:rPr>
          <w:noProof/>
          <w:color w:val="0000FF"/>
          <w:lang w:eastAsia="en-GB"/>
        </w:rPr>
        <w:drawing>
          <wp:inline distT="0" distB="0" distL="0" distR="0">
            <wp:extent cx="2114550" cy="1428750"/>
            <wp:effectExtent l="19050" t="0" r="0" b="0"/>
            <wp:docPr id="7" name="irc_mi" descr="http://www.literaryramblings.com/wp-content/uploads/2012/04/blackskinwhitemask.jp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literaryramblings.com/wp-content/uploads/2012/04/blackskinwhitemask.jpg">
                      <a:hlinkClick r:id="rId8"/>
                    </pic:cNvPr>
                    <pic:cNvPicPr>
                      <a:picLocks noChangeAspect="1" noChangeArrowheads="1"/>
                    </pic:cNvPicPr>
                  </pic:nvPicPr>
                  <pic:blipFill>
                    <a:blip r:embed="rId9" cstate="print"/>
                    <a:srcRect/>
                    <a:stretch>
                      <a:fillRect/>
                    </a:stretch>
                  </pic:blipFill>
                  <pic:spPr bwMode="auto">
                    <a:xfrm>
                      <a:off x="0" y="0"/>
                      <a:ext cx="2114550" cy="1428750"/>
                    </a:xfrm>
                    <a:prstGeom prst="rect">
                      <a:avLst/>
                    </a:prstGeom>
                    <a:noFill/>
                    <a:ln w="9525">
                      <a:noFill/>
                      <a:miter lim="800000"/>
                      <a:headEnd/>
                      <a:tailEnd/>
                    </a:ln>
                  </pic:spPr>
                </pic:pic>
              </a:graphicData>
            </a:graphic>
          </wp:inline>
        </w:drawing>
      </w:r>
    </w:p>
    <w:p w:rsidR="006B5908" w:rsidRPr="00624D21" w:rsidRDefault="00004005" w:rsidP="006B5908">
      <w:pPr>
        <w:jc w:val="center"/>
        <w:rPr>
          <w:rFonts w:ascii="Book Antiqua" w:hAnsi="Book Antiqua"/>
          <w:b/>
          <w:sz w:val="23"/>
          <w:szCs w:val="23"/>
          <w:u w:val="single"/>
        </w:rPr>
      </w:pPr>
      <w:r>
        <w:rPr>
          <w:rFonts w:ascii="Book Antiqua" w:hAnsi="Book Antiqua"/>
          <w:b/>
          <w:sz w:val="23"/>
          <w:szCs w:val="23"/>
          <w:u w:val="single"/>
        </w:rPr>
        <w:t>Week 4</w:t>
      </w:r>
      <w:r w:rsidR="00EC0FD4" w:rsidRPr="00624D21">
        <w:rPr>
          <w:rFonts w:ascii="Book Antiqua" w:hAnsi="Book Antiqua"/>
          <w:b/>
          <w:sz w:val="23"/>
          <w:szCs w:val="23"/>
          <w:u w:val="single"/>
        </w:rPr>
        <w:t xml:space="preserve"> - Frantz Fanon’s The Negro and Language and </w:t>
      </w:r>
    </w:p>
    <w:p w:rsidR="00A97C17" w:rsidRPr="00624D21" w:rsidRDefault="00EC0FD4" w:rsidP="006B5908">
      <w:pPr>
        <w:jc w:val="center"/>
        <w:rPr>
          <w:rFonts w:ascii="Book Antiqua" w:hAnsi="Book Antiqua"/>
          <w:b/>
          <w:sz w:val="23"/>
          <w:szCs w:val="23"/>
          <w:u w:val="single"/>
        </w:rPr>
      </w:pPr>
      <w:r w:rsidRPr="00624D21">
        <w:rPr>
          <w:rFonts w:ascii="Book Antiqua" w:hAnsi="Book Antiqua"/>
          <w:b/>
          <w:sz w:val="23"/>
          <w:szCs w:val="23"/>
          <w:u w:val="single"/>
        </w:rPr>
        <w:t xml:space="preserve">Sam </w:t>
      </w:r>
      <w:proofErr w:type="spellStart"/>
      <w:r w:rsidRPr="00624D21">
        <w:rPr>
          <w:rFonts w:ascii="Book Antiqua" w:hAnsi="Book Antiqua"/>
          <w:b/>
          <w:sz w:val="23"/>
          <w:szCs w:val="23"/>
          <w:u w:val="single"/>
        </w:rPr>
        <w:t>Selvon’s</w:t>
      </w:r>
      <w:proofErr w:type="spellEnd"/>
      <w:r w:rsidRPr="00624D21">
        <w:rPr>
          <w:rFonts w:ascii="Book Antiqua" w:hAnsi="Book Antiqua"/>
          <w:b/>
          <w:sz w:val="23"/>
          <w:szCs w:val="23"/>
          <w:u w:val="single"/>
        </w:rPr>
        <w:t xml:space="preserve"> The Lonely Londoners</w:t>
      </w:r>
    </w:p>
    <w:p w:rsidR="00EC0FD4" w:rsidRPr="00624D21" w:rsidRDefault="00EC0FD4">
      <w:pPr>
        <w:rPr>
          <w:rFonts w:ascii="Book Antiqua" w:hAnsi="Book Antiqua"/>
          <w:sz w:val="23"/>
          <w:szCs w:val="23"/>
        </w:rPr>
      </w:pPr>
      <w:r w:rsidRPr="00624D21">
        <w:rPr>
          <w:rFonts w:ascii="Book Antiqua" w:hAnsi="Book Antiqua"/>
          <w:sz w:val="23"/>
          <w:szCs w:val="23"/>
        </w:rPr>
        <w:t>Friedrich Nietzsche - “Every profound spirit needs a mask: even more, around every profound spirit a mask is growing continually, owing to the constantly false, namely shallow, interpretation of every word, every step, every sign of life he gives.”</w:t>
      </w:r>
    </w:p>
    <w:p w:rsidR="009B21C5" w:rsidRPr="00624D21" w:rsidRDefault="009B21C5">
      <w:pPr>
        <w:rPr>
          <w:rFonts w:ascii="Book Antiqua" w:hAnsi="Book Antiqua"/>
          <w:b/>
          <w:sz w:val="23"/>
          <w:szCs w:val="23"/>
        </w:rPr>
      </w:pPr>
      <w:r w:rsidRPr="00624D21">
        <w:rPr>
          <w:rFonts w:ascii="Book Antiqua" w:hAnsi="Book Antiqua"/>
          <w:sz w:val="23"/>
          <w:szCs w:val="23"/>
        </w:rPr>
        <w:t xml:space="preserve">Fanon calls Black Skin, White Masks a </w:t>
      </w:r>
      <w:proofErr w:type="spellStart"/>
      <w:r w:rsidRPr="00624D21">
        <w:rPr>
          <w:rFonts w:ascii="Book Antiqua" w:hAnsi="Book Antiqua"/>
          <w:sz w:val="23"/>
          <w:szCs w:val="23"/>
        </w:rPr>
        <w:t>sociodiagnostic</w:t>
      </w:r>
      <w:proofErr w:type="spellEnd"/>
      <w:r w:rsidR="00153BD7" w:rsidRPr="00624D21">
        <w:rPr>
          <w:rFonts w:ascii="Book Antiqua" w:hAnsi="Book Antiqua"/>
          <w:sz w:val="23"/>
          <w:szCs w:val="23"/>
        </w:rPr>
        <w:t xml:space="preserve"> - that is, a clinical study of group racial identity. Its fundamental assumption is that the juxtaposition of the black and white races has created a very real form of collective mental illness. Both races are locked with</w:t>
      </w:r>
      <w:r w:rsidR="00017925">
        <w:rPr>
          <w:rFonts w:ascii="Book Antiqua" w:hAnsi="Book Antiqua"/>
          <w:sz w:val="23"/>
          <w:szCs w:val="23"/>
        </w:rPr>
        <w:t>in</w:t>
      </w:r>
      <w:r w:rsidR="00153BD7" w:rsidRPr="00624D21">
        <w:rPr>
          <w:rFonts w:ascii="Book Antiqua" w:hAnsi="Book Antiqua"/>
          <w:sz w:val="23"/>
          <w:szCs w:val="23"/>
        </w:rPr>
        <w:t xml:space="preserve"> </w:t>
      </w:r>
      <w:r w:rsidR="00F70460">
        <w:rPr>
          <w:rFonts w:ascii="Book Antiqua" w:hAnsi="Book Antiqua"/>
          <w:sz w:val="23"/>
          <w:szCs w:val="23"/>
        </w:rPr>
        <w:t>the constraints of colour, but F</w:t>
      </w:r>
      <w:r w:rsidR="00153BD7" w:rsidRPr="00624D21">
        <w:rPr>
          <w:rFonts w:ascii="Book Antiqua" w:hAnsi="Book Antiqua"/>
          <w:sz w:val="23"/>
          <w:szCs w:val="23"/>
        </w:rPr>
        <w:t xml:space="preserve">anon’s emphasis here is on the formation, meaning, and effects of “blackness”. Fanon explains, </w:t>
      </w:r>
      <w:r w:rsidR="00153BD7" w:rsidRPr="00624D21">
        <w:rPr>
          <w:rFonts w:ascii="Book Antiqua" w:hAnsi="Book Antiqua"/>
          <w:b/>
          <w:sz w:val="23"/>
          <w:szCs w:val="23"/>
        </w:rPr>
        <w:t>“The white man is sealed in his whiteness. The Black man in his blackness.”</w:t>
      </w:r>
    </w:p>
    <w:p w:rsidR="006B5908" w:rsidRPr="00624D21" w:rsidRDefault="006B5908" w:rsidP="006B5908">
      <w:pPr>
        <w:jc w:val="both"/>
        <w:rPr>
          <w:rStyle w:val="A2"/>
          <w:rFonts w:ascii="Book Antiqua" w:hAnsi="Book Antiqua"/>
          <w:sz w:val="23"/>
          <w:szCs w:val="23"/>
        </w:rPr>
      </w:pPr>
      <w:r w:rsidRPr="00624D21">
        <w:rPr>
          <w:rStyle w:val="A2"/>
          <w:rFonts w:ascii="Book Antiqua" w:hAnsi="Book Antiqua"/>
          <w:b/>
          <w:sz w:val="23"/>
          <w:szCs w:val="23"/>
        </w:rPr>
        <w:t>Question:</w:t>
      </w:r>
      <w:r w:rsidRPr="00624D21">
        <w:rPr>
          <w:rStyle w:val="A2"/>
          <w:rFonts w:ascii="Book Antiqua" w:hAnsi="Book Antiqua"/>
          <w:sz w:val="23"/>
          <w:szCs w:val="23"/>
        </w:rPr>
        <w:t xml:space="preserve"> To what extent does </w:t>
      </w:r>
      <w:proofErr w:type="spellStart"/>
      <w:r w:rsidRPr="00624D21">
        <w:rPr>
          <w:rStyle w:val="A2"/>
          <w:rFonts w:ascii="Book Antiqua" w:hAnsi="Book Antiqua"/>
          <w:sz w:val="23"/>
          <w:szCs w:val="23"/>
        </w:rPr>
        <w:t>Selvon</w:t>
      </w:r>
      <w:proofErr w:type="spellEnd"/>
      <w:r w:rsidRPr="00624D21">
        <w:rPr>
          <w:rStyle w:val="A2"/>
          <w:rFonts w:ascii="Book Antiqua" w:hAnsi="Book Antiqua"/>
          <w:sz w:val="23"/>
          <w:szCs w:val="23"/>
        </w:rPr>
        <w:t xml:space="preserve"> construct the black man as </w:t>
      </w:r>
      <w:r w:rsidRPr="00624D21">
        <w:rPr>
          <w:rStyle w:val="A2"/>
          <w:rFonts w:ascii="Book Antiqua" w:hAnsi="Book Antiqua"/>
          <w:i/>
          <w:sz w:val="23"/>
          <w:szCs w:val="23"/>
        </w:rPr>
        <w:t>the other</w:t>
      </w:r>
      <w:r w:rsidRPr="00624D21">
        <w:rPr>
          <w:rStyle w:val="A2"/>
          <w:rFonts w:ascii="Book Antiqua" w:hAnsi="Book Antiqua"/>
          <w:sz w:val="23"/>
          <w:szCs w:val="23"/>
        </w:rPr>
        <w:t xml:space="preserve"> and the </w:t>
      </w:r>
      <w:r w:rsidRPr="00624D21">
        <w:rPr>
          <w:rStyle w:val="A2"/>
          <w:rFonts w:ascii="Book Antiqua" w:hAnsi="Book Antiqua"/>
          <w:i/>
          <w:sz w:val="23"/>
          <w:szCs w:val="23"/>
        </w:rPr>
        <w:t>exotic other</w:t>
      </w:r>
      <w:r w:rsidRPr="00624D21">
        <w:rPr>
          <w:rStyle w:val="A2"/>
          <w:rFonts w:ascii="Book Antiqua" w:hAnsi="Book Antiqua"/>
          <w:sz w:val="23"/>
          <w:szCs w:val="23"/>
        </w:rPr>
        <w:t xml:space="preserve">? </w:t>
      </w:r>
    </w:p>
    <w:p w:rsidR="006B5908" w:rsidRPr="00624D21" w:rsidRDefault="006B5908" w:rsidP="006B5908">
      <w:pPr>
        <w:ind w:left="720"/>
        <w:jc w:val="both"/>
        <w:rPr>
          <w:rStyle w:val="A2"/>
          <w:rFonts w:ascii="Book Antiqua" w:hAnsi="Book Antiqua"/>
          <w:sz w:val="23"/>
          <w:szCs w:val="23"/>
        </w:rPr>
      </w:pPr>
      <w:r w:rsidRPr="00624D21">
        <w:rPr>
          <w:rStyle w:val="A2"/>
          <w:rFonts w:ascii="Book Antiqua" w:hAnsi="Book Antiqua"/>
          <w:sz w:val="23"/>
          <w:szCs w:val="23"/>
        </w:rPr>
        <w:t xml:space="preserve">‘A Negro behaves differently with a white man and with another Negro. That this self-division is a direct result of colonialist subjugation is beyond question.’ </w:t>
      </w:r>
    </w:p>
    <w:p w:rsidR="006B5908" w:rsidRPr="00624D21" w:rsidRDefault="006B5908" w:rsidP="006B5908">
      <w:pPr>
        <w:jc w:val="both"/>
        <w:rPr>
          <w:rStyle w:val="A2"/>
          <w:rFonts w:ascii="Book Antiqua" w:hAnsi="Book Antiqua"/>
          <w:sz w:val="23"/>
          <w:szCs w:val="23"/>
        </w:rPr>
      </w:pPr>
      <w:r w:rsidRPr="00624D21">
        <w:rPr>
          <w:rStyle w:val="A2"/>
          <w:rFonts w:ascii="Book Antiqua" w:hAnsi="Book Antiqua"/>
          <w:b/>
          <w:sz w:val="23"/>
          <w:szCs w:val="23"/>
        </w:rPr>
        <w:t>Question:</w:t>
      </w:r>
      <w:r w:rsidRPr="00624D21">
        <w:rPr>
          <w:rStyle w:val="A2"/>
          <w:rFonts w:ascii="Book Antiqua" w:hAnsi="Book Antiqua"/>
          <w:sz w:val="23"/>
          <w:szCs w:val="23"/>
        </w:rPr>
        <w:t xml:space="preserve"> Does this apply to our reading of </w:t>
      </w:r>
      <w:r w:rsidRPr="00624D21">
        <w:rPr>
          <w:rStyle w:val="A2"/>
          <w:rFonts w:ascii="Book Antiqua" w:hAnsi="Book Antiqua"/>
          <w:i/>
          <w:sz w:val="23"/>
          <w:szCs w:val="23"/>
        </w:rPr>
        <w:t>The Lonely Londoners</w:t>
      </w:r>
      <w:r w:rsidRPr="00624D21">
        <w:rPr>
          <w:rStyle w:val="A2"/>
          <w:rFonts w:ascii="Book Antiqua" w:hAnsi="Book Antiqua"/>
          <w:sz w:val="23"/>
          <w:szCs w:val="23"/>
        </w:rPr>
        <w:t xml:space="preserve">? How do black characters behave towards each other and is there a significant difference in the way they behave towards white characters?  </w:t>
      </w:r>
    </w:p>
    <w:p w:rsidR="006B5908" w:rsidRPr="00624D21" w:rsidRDefault="006B5908" w:rsidP="006B5908">
      <w:pPr>
        <w:jc w:val="both"/>
        <w:rPr>
          <w:rStyle w:val="A2"/>
          <w:rFonts w:ascii="Book Antiqua" w:hAnsi="Book Antiqua"/>
          <w:b/>
          <w:sz w:val="23"/>
          <w:szCs w:val="23"/>
        </w:rPr>
      </w:pPr>
      <w:r w:rsidRPr="00624D21">
        <w:rPr>
          <w:rStyle w:val="A2"/>
          <w:rFonts w:ascii="Book Antiqua" w:hAnsi="Book Antiqua"/>
          <w:b/>
          <w:sz w:val="23"/>
          <w:szCs w:val="23"/>
        </w:rPr>
        <w:t>Consider the following quotations from Fanon:</w:t>
      </w:r>
    </w:p>
    <w:p w:rsidR="006B5908" w:rsidRPr="00624D21" w:rsidRDefault="006B5908" w:rsidP="006B5908">
      <w:pPr>
        <w:autoSpaceDE w:val="0"/>
        <w:autoSpaceDN w:val="0"/>
        <w:adjustRightInd w:val="0"/>
        <w:spacing w:after="0" w:line="240" w:lineRule="auto"/>
        <w:ind w:left="720"/>
        <w:jc w:val="both"/>
        <w:rPr>
          <w:rFonts w:ascii="Book Antiqua" w:hAnsi="Book Antiqua" w:cs="Arial"/>
          <w:sz w:val="23"/>
          <w:szCs w:val="23"/>
        </w:rPr>
      </w:pPr>
      <w:r w:rsidRPr="00624D21">
        <w:rPr>
          <w:rFonts w:ascii="Book Antiqua" w:hAnsi="Book Antiqua" w:cs="Times New Roman"/>
          <w:sz w:val="23"/>
          <w:szCs w:val="23"/>
        </w:rPr>
        <w:t>A man who has a language consequently possesses the world expressed and implied by that language. What we are getting at becomes plain: Mastery of language affords remarkable power.</w:t>
      </w:r>
    </w:p>
    <w:p w:rsidR="006B5908" w:rsidRPr="00624D21" w:rsidRDefault="006B5908" w:rsidP="006B5908">
      <w:pPr>
        <w:autoSpaceDE w:val="0"/>
        <w:autoSpaceDN w:val="0"/>
        <w:adjustRightInd w:val="0"/>
        <w:spacing w:after="0" w:line="240" w:lineRule="auto"/>
        <w:ind w:left="720"/>
        <w:jc w:val="both"/>
        <w:rPr>
          <w:rFonts w:ascii="Book Antiqua" w:hAnsi="Book Antiqua" w:cs="Arial"/>
          <w:sz w:val="23"/>
          <w:szCs w:val="23"/>
        </w:rPr>
      </w:pP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r w:rsidRPr="00624D21">
        <w:rPr>
          <w:rFonts w:ascii="Book Antiqua" w:hAnsi="Book Antiqua" w:cs="Times New Roman"/>
          <w:sz w:val="23"/>
          <w:szCs w:val="23"/>
        </w:rPr>
        <w:t>Every colonized people - in other words, every people in whose soul an inferiority complex has been created by the death and burial of its local cultural originality - finds itself face to face with the language of the civilizing nation; that is, with the culture of the mother country. The colonized is elevated above just jungle status in proportion to his adoption of the mother country's cultural standards. He becomes whiter as he renounces his blackness, his jungle.</w:t>
      </w: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ind w:firstLine="720"/>
        <w:jc w:val="both"/>
        <w:rPr>
          <w:rFonts w:ascii="Book Antiqua" w:hAnsi="Book Antiqua" w:cs="Times New Roman"/>
          <w:sz w:val="23"/>
          <w:szCs w:val="23"/>
        </w:rPr>
      </w:pPr>
      <w:r w:rsidRPr="00624D21">
        <w:rPr>
          <w:rFonts w:ascii="Book Antiqua" w:hAnsi="Book Antiqua" w:cs="Times New Roman"/>
          <w:sz w:val="23"/>
          <w:szCs w:val="23"/>
        </w:rPr>
        <w:t>Every dialect is a way of thinking.</w:t>
      </w: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jc w:val="both"/>
        <w:rPr>
          <w:rFonts w:ascii="Book Antiqua" w:hAnsi="Book Antiqua" w:cs="Times New Roman"/>
          <w:sz w:val="23"/>
          <w:szCs w:val="23"/>
        </w:rPr>
      </w:pPr>
      <w:r w:rsidRPr="00624D21">
        <w:rPr>
          <w:rFonts w:ascii="Book Antiqua" w:hAnsi="Book Antiqua" w:cs="Times New Roman"/>
          <w:b/>
          <w:sz w:val="23"/>
          <w:szCs w:val="23"/>
        </w:rPr>
        <w:t>Question:</w:t>
      </w:r>
      <w:r w:rsidRPr="00624D21">
        <w:rPr>
          <w:rFonts w:ascii="Book Antiqua" w:hAnsi="Book Antiqua" w:cs="Times New Roman"/>
          <w:sz w:val="23"/>
          <w:szCs w:val="23"/>
        </w:rPr>
        <w:t xml:space="preserve"> Why is the Creole dialect so in important in </w:t>
      </w:r>
      <w:r w:rsidRPr="00624D21">
        <w:rPr>
          <w:rFonts w:ascii="Book Antiqua" w:hAnsi="Book Antiqua" w:cs="Times New Roman"/>
          <w:i/>
          <w:sz w:val="23"/>
          <w:szCs w:val="23"/>
        </w:rPr>
        <w:t>The Lonely Londoners</w:t>
      </w:r>
      <w:r w:rsidRPr="00624D21">
        <w:rPr>
          <w:rFonts w:ascii="Book Antiqua" w:hAnsi="Book Antiqua" w:cs="Times New Roman"/>
          <w:sz w:val="23"/>
          <w:szCs w:val="23"/>
        </w:rPr>
        <w:t>?</w:t>
      </w:r>
    </w:p>
    <w:p w:rsidR="006B5908" w:rsidRPr="00624D21" w:rsidRDefault="006B5908" w:rsidP="006B5908">
      <w:pPr>
        <w:autoSpaceDE w:val="0"/>
        <w:autoSpaceDN w:val="0"/>
        <w:adjustRightInd w:val="0"/>
        <w:spacing w:after="0" w:line="240" w:lineRule="auto"/>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jc w:val="both"/>
        <w:rPr>
          <w:rFonts w:ascii="Book Antiqua" w:hAnsi="Book Antiqua" w:cs="Times New Roman"/>
          <w:sz w:val="23"/>
          <w:szCs w:val="23"/>
        </w:rPr>
      </w:pPr>
      <w:r w:rsidRPr="00624D21">
        <w:rPr>
          <w:rFonts w:ascii="Book Antiqua" w:hAnsi="Book Antiqua" w:cs="Times New Roman"/>
          <w:b/>
          <w:sz w:val="23"/>
          <w:szCs w:val="23"/>
        </w:rPr>
        <w:t>Question:</w:t>
      </w:r>
      <w:r w:rsidRPr="00624D21">
        <w:rPr>
          <w:rFonts w:ascii="Book Antiqua" w:hAnsi="Book Antiqua" w:cs="Times New Roman"/>
          <w:sz w:val="23"/>
          <w:szCs w:val="23"/>
        </w:rPr>
        <w:t xml:space="preserve"> What is the role of language and place in </w:t>
      </w:r>
      <w:r w:rsidRPr="00624D21">
        <w:rPr>
          <w:rFonts w:ascii="Book Antiqua" w:hAnsi="Book Antiqua" w:cs="Times New Roman"/>
          <w:i/>
          <w:sz w:val="23"/>
          <w:szCs w:val="23"/>
        </w:rPr>
        <w:t>The Lonely Londoners</w:t>
      </w:r>
      <w:r w:rsidRPr="00624D21">
        <w:rPr>
          <w:rFonts w:ascii="Book Antiqua" w:hAnsi="Book Antiqua" w:cs="Times New Roman"/>
          <w:sz w:val="23"/>
          <w:szCs w:val="23"/>
        </w:rPr>
        <w:t>? Consider the following quotations:</w:t>
      </w:r>
    </w:p>
    <w:p w:rsidR="006B5908" w:rsidRPr="00624D21" w:rsidRDefault="006B5908" w:rsidP="006B5908">
      <w:pPr>
        <w:autoSpaceDE w:val="0"/>
        <w:autoSpaceDN w:val="0"/>
        <w:adjustRightInd w:val="0"/>
        <w:spacing w:after="0" w:line="240" w:lineRule="auto"/>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r w:rsidRPr="00624D21">
        <w:rPr>
          <w:rFonts w:ascii="Book Antiqua" w:hAnsi="Book Antiqua" w:cs="Times New Roman"/>
          <w:sz w:val="23"/>
          <w:szCs w:val="23"/>
        </w:rPr>
        <w:t>The Negro who knows the mother country is a demigod.</w:t>
      </w: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r w:rsidRPr="00624D21">
        <w:rPr>
          <w:rFonts w:ascii="Book Antiqua" w:hAnsi="Book Antiqua" w:cs="Times New Roman"/>
          <w:sz w:val="23"/>
          <w:szCs w:val="23"/>
        </w:rPr>
        <w:t xml:space="preserve">The middle class in the Antilles never speak Creole except to their servants. In school the children of Martinique are taught to scorn, the dialect. One avoids </w:t>
      </w:r>
      <w:proofErr w:type="spellStart"/>
      <w:r w:rsidRPr="00624D21">
        <w:rPr>
          <w:rFonts w:ascii="Book Antiqua" w:hAnsi="Book Antiqua" w:cs="Times New Roman"/>
          <w:i/>
          <w:iCs/>
          <w:sz w:val="23"/>
          <w:szCs w:val="23"/>
        </w:rPr>
        <w:t>Creolisms</w:t>
      </w:r>
      <w:proofErr w:type="spellEnd"/>
      <w:r w:rsidRPr="00624D21">
        <w:rPr>
          <w:rFonts w:ascii="Book Antiqua" w:hAnsi="Book Antiqua" w:cs="Times New Roman"/>
          <w:i/>
          <w:iCs/>
          <w:sz w:val="23"/>
          <w:szCs w:val="23"/>
        </w:rPr>
        <w:t xml:space="preserve">. </w:t>
      </w:r>
      <w:r w:rsidRPr="00624D21">
        <w:rPr>
          <w:rFonts w:ascii="Book Antiqua" w:hAnsi="Book Antiqua" w:cs="Times New Roman"/>
          <w:sz w:val="23"/>
          <w:szCs w:val="23"/>
        </w:rPr>
        <w:t>Some families completely forbid the use of Creole, and mothers ridicule their children for speaking it. In any group of young men in the Antilles, the one who expresses himself well, who has mastered the language, is inordinately feared; keep an eye on that one, he is almost white. In France one says, 'He talks like a book.' In Martinique, 'He talks like a white man.</w:t>
      </w:r>
    </w:p>
    <w:p w:rsidR="006B5908" w:rsidRPr="00624D21" w:rsidRDefault="006B5908" w:rsidP="006B5908">
      <w:pPr>
        <w:autoSpaceDE w:val="0"/>
        <w:autoSpaceDN w:val="0"/>
        <w:adjustRightInd w:val="0"/>
        <w:spacing w:after="0" w:line="240" w:lineRule="auto"/>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r w:rsidRPr="00624D21">
        <w:rPr>
          <w:rFonts w:ascii="Book Antiqua" w:hAnsi="Book Antiqua" w:cs="Times New Roman"/>
          <w:sz w:val="23"/>
          <w:szCs w:val="23"/>
        </w:rPr>
        <w:t>In a more limited group, when students from the Antilles meet in Paris, they have the choice of two possibilities:</w:t>
      </w: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r w:rsidRPr="00624D21">
        <w:rPr>
          <w:rFonts w:ascii="Book Antiqua" w:hAnsi="Book Antiqua" w:cs="Times New Roman"/>
          <w:sz w:val="23"/>
          <w:szCs w:val="23"/>
        </w:rPr>
        <w:t>• Either to stand with the white world (that is to say, the real world), and, since they will speak French, to be able to confront certain problems and incline to a certain degree of universality in their conclusions;</w:t>
      </w: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ind w:left="720"/>
        <w:jc w:val="both"/>
        <w:rPr>
          <w:rFonts w:ascii="Book Antiqua" w:hAnsi="Book Antiqua"/>
          <w:sz w:val="23"/>
          <w:szCs w:val="23"/>
        </w:rPr>
      </w:pPr>
      <w:r w:rsidRPr="00624D21">
        <w:rPr>
          <w:rFonts w:ascii="Book Antiqua" w:hAnsi="Book Antiqua" w:cs="Times New Roman"/>
          <w:sz w:val="23"/>
          <w:szCs w:val="23"/>
        </w:rPr>
        <w:t>• or to reject Europe, and cling together in their dialect, making themselves quite comfortable.</w:t>
      </w:r>
    </w:p>
    <w:p w:rsidR="00CF7951" w:rsidRPr="00624D21" w:rsidRDefault="00CF7951">
      <w:pPr>
        <w:rPr>
          <w:rFonts w:ascii="Book Antiqua" w:hAnsi="Book Antiqua"/>
          <w:sz w:val="23"/>
          <w:szCs w:val="23"/>
        </w:rPr>
      </w:pPr>
    </w:p>
    <w:p w:rsidR="005C7D62" w:rsidRPr="00624D21" w:rsidRDefault="005C7D62">
      <w:pPr>
        <w:rPr>
          <w:rFonts w:ascii="Book Antiqua" w:hAnsi="Book Antiqua"/>
          <w:i/>
          <w:sz w:val="23"/>
          <w:szCs w:val="23"/>
        </w:rPr>
      </w:pPr>
      <w:r w:rsidRPr="00624D21">
        <w:rPr>
          <w:rFonts w:ascii="Book Antiqua" w:hAnsi="Book Antiqua"/>
          <w:i/>
          <w:sz w:val="23"/>
          <w:szCs w:val="23"/>
        </w:rPr>
        <w:t>The material practices of colonialism translate</w:t>
      </w:r>
      <w:r w:rsidR="00665664">
        <w:rPr>
          <w:rFonts w:ascii="Book Antiqua" w:hAnsi="Book Antiqua"/>
          <w:i/>
          <w:sz w:val="23"/>
          <w:szCs w:val="23"/>
        </w:rPr>
        <w:t xml:space="preserve"> a</w:t>
      </w:r>
      <w:r w:rsidRPr="00624D21">
        <w:rPr>
          <w:rFonts w:ascii="Book Antiqua" w:hAnsi="Book Antiqua"/>
          <w:i/>
          <w:sz w:val="23"/>
          <w:szCs w:val="23"/>
        </w:rPr>
        <w:t xml:space="preserve"> denial of history into displacement of culture and language producing what Fanon calls an existential deviation. Because “to speak means to assume a culture” black people deprived of their ancestral languages face an existential dilemma as feelings of racial inferiority are reinforced through language. A black man’s mastery of the colonizer’s language may increase his acceptance by whites, but it alienates him from his root culture.</w:t>
      </w:r>
    </w:p>
    <w:p w:rsidR="005C7D62" w:rsidRPr="00624D21" w:rsidRDefault="005C7D62">
      <w:pPr>
        <w:rPr>
          <w:rFonts w:ascii="Book Antiqua" w:hAnsi="Book Antiqua"/>
          <w:b/>
          <w:i/>
          <w:sz w:val="23"/>
          <w:szCs w:val="23"/>
        </w:rPr>
      </w:pPr>
      <w:r w:rsidRPr="00624D21">
        <w:rPr>
          <w:rFonts w:ascii="Book Antiqua" w:hAnsi="Book Antiqua"/>
          <w:b/>
          <w:i/>
          <w:sz w:val="23"/>
          <w:szCs w:val="23"/>
        </w:rPr>
        <w:t xml:space="preserve">Therefore, how do you read </w:t>
      </w:r>
      <w:proofErr w:type="spellStart"/>
      <w:r w:rsidRPr="00624D21">
        <w:rPr>
          <w:rFonts w:ascii="Book Antiqua" w:hAnsi="Book Antiqua"/>
          <w:b/>
          <w:i/>
          <w:sz w:val="23"/>
          <w:szCs w:val="23"/>
        </w:rPr>
        <w:t>Selvon’s</w:t>
      </w:r>
      <w:proofErr w:type="spellEnd"/>
      <w:r w:rsidRPr="00624D21">
        <w:rPr>
          <w:rFonts w:ascii="Book Antiqua" w:hAnsi="Book Antiqua"/>
          <w:b/>
          <w:i/>
          <w:sz w:val="23"/>
          <w:szCs w:val="23"/>
        </w:rPr>
        <w:t xml:space="preserve"> use of language in the novel in relation to characterisation?</w:t>
      </w:r>
    </w:p>
    <w:p w:rsidR="005C7D62" w:rsidRPr="00624D21" w:rsidRDefault="00624D21">
      <w:pPr>
        <w:rPr>
          <w:rFonts w:ascii="Book Antiqua" w:hAnsi="Book Antiqua"/>
          <w:i/>
          <w:sz w:val="23"/>
          <w:szCs w:val="23"/>
        </w:rPr>
      </w:pPr>
      <w:r w:rsidRPr="00624D21">
        <w:rPr>
          <w:rFonts w:ascii="Book Antiqua" w:hAnsi="Book Antiqua"/>
          <w:i/>
          <w:sz w:val="23"/>
          <w:szCs w:val="23"/>
        </w:rPr>
        <w:t>Fanon was concerned with an underlying question: Could two people of different cultures and traditions live with one another, and ultimately could people overcome the limitations and obstac</w:t>
      </w:r>
      <w:r w:rsidR="009C3692">
        <w:rPr>
          <w:rFonts w:ascii="Book Antiqua" w:hAnsi="Book Antiqua"/>
          <w:i/>
          <w:sz w:val="23"/>
          <w:szCs w:val="23"/>
        </w:rPr>
        <w:t>les posed by exclusivist pretens</w:t>
      </w:r>
      <w:r w:rsidRPr="00624D21">
        <w:rPr>
          <w:rFonts w:ascii="Book Antiqua" w:hAnsi="Book Antiqua"/>
          <w:i/>
          <w:sz w:val="23"/>
          <w:szCs w:val="23"/>
        </w:rPr>
        <w:t xml:space="preserve">ions within society? How can we respond to this question in relation to </w:t>
      </w:r>
      <w:proofErr w:type="spellStart"/>
      <w:r w:rsidRPr="00624D21">
        <w:rPr>
          <w:rFonts w:ascii="Book Antiqua" w:hAnsi="Book Antiqua"/>
          <w:i/>
          <w:sz w:val="23"/>
          <w:szCs w:val="23"/>
        </w:rPr>
        <w:t>Selvon’s</w:t>
      </w:r>
      <w:proofErr w:type="spellEnd"/>
      <w:r w:rsidRPr="00624D21">
        <w:rPr>
          <w:rFonts w:ascii="Book Antiqua" w:hAnsi="Book Antiqua"/>
          <w:i/>
          <w:sz w:val="23"/>
          <w:szCs w:val="23"/>
        </w:rPr>
        <w:t xml:space="preserve"> presentation of race relations and sexuality in The Lonely Londoners?</w:t>
      </w:r>
    </w:p>
    <w:sectPr w:rsidR="005C7D62" w:rsidRPr="00624D21" w:rsidSect="00A97C17">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dobe Garamond Pro">
    <w:altName w:val="Adobe Garamond Pro"/>
    <w:panose1 w:val="00000000000000000000"/>
    <w:charset w:val="00"/>
    <w:family w:val="roman"/>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4E600A"/>
    <w:rsid w:val="00004005"/>
    <w:rsid w:val="00017925"/>
    <w:rsid w:val="00153BD7"/>
    <w:rsid w:val="001875A1"/>
    <w:rsid w:val="004E600A"/>
    <w:rsid w:val="00536001"/>
    <w:rsid w:val="005C7D62"/>
    <w:rsid w:val="00624D21"/>
    <w:rsid w:val="00645AA1"/>
    <w:rsid w:val="00665664"/>
    <w:rsid w:val="006B5908"/>
    <w:rsid w:val="008870C5"/>
    <w:rsid w:val="008D3884"/>
    <w:rsid w:val="009B21C5"/>
    <w:rsid w:val="009C3692"/>
    <w:rsid w:val="00A97C17"/>
    <w:rsid w:val="00CE2C8A"/>
    <w:rsid w:val="00CF7951"/>
    <w:rsid w:val="00EC0FD4"/>
    <w:rsid w:val="00F7046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7C1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F795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7951"/>
    <w:rPr>
      <w:rFonts w:ascii="Tahoma" w:hAnsi="Tahoma" w:cs="Tahoma"/>
      <w:sz w:val="16"/>
      <w:szCs w:val="16"/>
    </w:rPr>
  </w:style>
  <w:style w:type="character" w:customStyle="1" w:styleId="A2">
    <w:name w:val="A2"/>
    <w:uiPriority w:val="99"/>
    <w:rsid w:val="006B5908"/>
    <w:rPr>
      <w:rFonts w:cs="Adobe Garamond Pro"/>
      <w:color w:val="000000"/>
      <w:sz w:val="19"/>
      <w:szCs w:val="19"/>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google.co.uk/url?sa=i&amp;rct=j&amp;q=&amp;esrc=s&amp;frm=1&amp;source=images&amp;cd=&amp;cad=rja&amp;docid=_kgxcfcrnYaklM&amp;tbnid=cY6NMcqTKkIdbM:&amp;ved=0CAUQjRw&amp;url=http://www.literaryramblings.com/1000-books-in-10-years-vol-152-black-skin-white-masks-by-frantz-fanon&amp;ei=nF1uUuyzJ6io0AWljYC4CA&amp;psig=AFQjCNFX87Sg9_NVu5diA4FWo7FUfOSDIA&amp;ust=1383050877924157" TargetMode="Externa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google.co.uk/url?sa=i&amp;rct=j&amp;q=&amp;esrc=s&amp;frm=1&amp;source=images&amp;cd=&amp;cad=rja&amp;docid=ICMrbjDbRCp-vM&amp;tbnid=pppYv9Rq9MLfjM:&amp;ved=0CAUQjRw&amp;url=http://frindethie.wordpress.com/tag/frantz-fanon/&amp;ei=SltuUqDfLq6W0QWVmYHICA&amp;bvm=bv.55123115,d.d2k&amp;psig=AFQjCNHo0EJmQDhEX6Hs783NsCtx75eY0Q&amp;ust=1383050199941125"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hyperlink" Target="http://www.google.co.uk/url?sa=i&amp;rct=j&amp;q=&amp;esrc=s&amp;frm=1&amp;source=images&amp;cd=&amp;cad=rja&amp;docid=CCEREgv1u8-oCM&amp;tbnid=1xOIVM-ysAkh_M:&amp;ved=0CAUQjRw&amp;url=http://ridwanlaher.blogspot.com/2008_07_01_archive.html&amp;ei=wFtuUvH9LqjK0QX0yoCwCQ&amp;bvm=bv.55123115,d.d2k&amp;psig=AFQjCNGcKEwGw33lvae7oRI5aQmDZT9xcQ&amp;ust=1383050510929762" TargetMode="Externa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626</Words>
  <Characters>3573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Roxanne</dc:creator>
  <cp:lastModifiedBy>Roxanne</cp:lastModifiedBy>
  <cp:revision>3</cp:revision>
  <dcterms:created xsi:type="dcterms:W3CDTF">2015-01-26T23:08:00Z</dcterms:created>
  <dcterms:modified xsi:type="dcterms:W3CDTF">2015-01-26T23:08:00Z</dcterms:modified>
</cp:coreProperties>
</file>