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727A" w:rsidRPr="00930346" w:rsidRDefault="002E727A" w:rsidP="00930346">
      <w:pPr>
        <w:jc w:val="center"/>
        <w:rPr>
          <w:rFonts w:ascii="Arial" w:hAnsi="Arial" w:cs="Arial"/>
          <w:b/>
          <w:bCs/>
          <w:sz w:val="22"/>
          <w:szCs w:val="22"/>
        </w:rPr>
      </w:pPr>
      <w:r w:rsidRPr="00930346">
        <w:rPr>
          <w:rFonts w:ascii="Arial" w:hAnsi="Arial" w:cs="Arial"/>
          <w:b/>
          <w:bCs/>
          <w:sz w:val="22"/>
          <w:szCs w:val="22"/>
        </w:rPr>
        <w:t>Women Writing Space:</w:t>
      </w:r>
    </w:p>
    <w:p w:rsidR="002E727A" w:rsidRPr="00930346" w:rsidRDefault="002E727A" w:rsidP="00930346">
      <w:pPr>
        <w:jc w:val="center"/>
        <w:rPr>
          <w:rFonts w:ascii="Arial" w:hAnsi="Arial" w:cs="Arial"/>
          <w:b/>
          <w:bCs/>
          <w:sz w:val="22"/>
          <w:szCs w:val="22"/>
        </w:rPr>
      </w:pPr>
      <w:r w:rsidRPr="00930346">
        <w:rPr>
          <w:rFonts w:ascii="Arial" w:hAnsi="Arial" w:cs="Arial"/>
          <w:b/>
          <w:bCs/>
          <w:sz w:val="22"/>
          <w:szCs w:val="22"/>
        </w:rPr>
        <w:t>Representations of Gender and Space in post-1850 British Women’s Writing</w:t>
      </w:r>
    </w:p>
    <w:p w:rsidR="002E727A" w:rsidRPr="00930346" w:rsidRDefault="002E727A" w:rsidP="00930346">
      <w:pPr>
        <w:jc w:val="center"/>
        <w:rPr>
          <w:rFonts w:ascii="Arial" w:hAnsi="Arial" w:cs="Arial"/>
          <w:b/>
          <w:bCs/>
          <w:sz w:val="22"/>
          <w:szCs w:val="22"/>
        </w:rPr>
      </w:pPr>
      <w:smartTag w:uri="urn:schemas-microsoft-com:office:smarttags" w:element="date">
        <w:smartTagPr>
          <w:attr w:name="Month" w:val="3"/>
          <w:attr w:name="Day" w:val="7"/>
          <w:attr w:name="Year" w:val="2009"/>
        </w:smartTagPr>
        <w:r w:rsidRPr="00930346">
          <w:rPr>
            <w:rFonts w:ascii="Arial" w:hAnsi="Arial" w:cs="Arial"/>
            <w:b/>
            <w:bCs/>
            <w:sz w:val="22"/>
            <w:szCs w:val="22"/>
          </w:rPr>
          <w:t>Saturday</w:t>
        </w:r>
        <w:r>
          <w:rPr>
            <w:rFonts w:ascii="Arial" w:hAnsi="Arial" w:cs="Arial"/>
            <w:b/>
            <w:bCs/>
            <w:sz w:val="22"/>
            <w:szCs w:val="22"/>
          </w:rPr>
          <w:t xml:space="preserve"> </w:t>
        </w:r>
        <w:r w:rsidRPr="00930346">
          <w:rPr>
            <w:rFonts w:ascii="Arial" w:hAnsi="Arial" w:cs="Arial"/>
            <w:b/>
            <w:bCs/>
            <w:sz w:val="22"/>
            <w:szCs w:val="22"/>
          </w:rPr>
          <w:t>7 March 2009</w:t>
        </w:r>
      </w:smartTag>
    </w:p>
    <w:p w:rsidR="002E727A" w:rsidRDefault="002E727A" w:rsidP="00930346">
      <w:pPr>
        <w:pStyle w:val="BodyText3"/>
        <w:tabs>
          <w:tab w:val="left" w:pos="6096"/>
        </w:tabs>
        <w:jc w:val="center"/>
        <w:rPr>
          <w:rFonts w:ascii="Arial" w:hAnsi="Arial" w:cs="Arial"/>
          <w:b/>
          <w:bCs/>
          <w:color w:val="auto"/>
          <w:sz w:val="20"/>
          <w:szCs w:val="20"/>
        </w:rPr>
      </w:pPr>
    </w:p>
    <w:p w:rsidR="002E727A" w:rsidRDefault="002E727A" w:rsidP="00930346">
      <w:pPr>
        <w:pStyle w:val="BodyText3"/>
        <w:pBdr>
          <w:bottom w:val="single" w:sz="12" w:space="1" w:color="auto"/>
        </w:pBdr>
        <w:tabs>
          <w:tab w:val="left" w:pos="6096"/>
        </w:tabs>
        <w:jc w:val="center"/>
        <w:rPr>
          <w:rFonts w:ascii="Arial" w:hAnsi="Arial" w:cs="Arial"/>
          <w:b/>
          <w:bCs/>
          <w:color w:val="auto"/>
          <w:sz w:val="20"/>
          <w:szCs w:val="20"/>
        </w:rPr>
      </w:pPr>
      <w:r>
        <w:rPr>
          <w:rFonts w:ascii="Arial" w:hAnsi="Arial" w:cs="Arial"/>
          <w:b/>
          <w:bCs/>
          <w:color w:val="auto"/>
          <w:sz w:val="20"/>
          <w:szCs w:val="20"/>
        </w:rPr>
        <w:t>ABSTRACTS</w:t>
      </w:r>
    </w:p>
    <w:p w:rsidR="002E727A" w:rsidRPr="00930346" w:rsidRDefault="002E727A" w:rsidP="00930346">
      <w:pPr>
        <w:pStyle w:val="BodyText3"/>
        <w:pBdr>
          <w:bottom w:val="single" w:sz="12" w:space="1" w:color="auto"/>
        </w:pBdr>
        <w:tabs>
          <w:tab w:val="left" w:pos="6096"/>
        </w:tabs>
        <w:jc w:val="center"/>
        <w:rPr>
          <w:rFonts w:ascii="Arial" w:hAnsi="Arial" w:cs="Arial"/>
          <w:b/>
          <w:bCs/>
          <w:color w:val="auto"/>
          <w:sz w:val="20"/>
          <w:szCs w:val="20"/>
        </w:rPr>
      </w:pPr>
    </w:p>
    <w:p w:rsidR="002E727A" w:rsidRDefault="002E727A" w:rsidP="00C0290D">
      <w:pPr>
        <w:pStyle w:val="BodyText3"/>
        <w:tabs>
          <w:tab w:val="left" w:pos="6096"/>
        </w:tabs>
        <w:rPr>
          <w:rFonts w:ascii="Arial" w:hAnsi="Arial" w:cs="Arial"/>
          <w:b/>
          <w:bCs/>
          <w:color w:val="auto"/>
          <w:sz w:val="20"/>
          <w:szCs w:val="20"/>
        </w:rPr>
      </w:pPr>
    </w:p>
    <w:p w:rsidR="002E727A" w:rsidRPr="00C0290D" w:rsidRDefault="002E727A" w:rsidP="00C0290D">
      <w:pPr>
        <w:pStyle w:val="BodyText3"/>
        <w:tabs>
          <w:tab w:val="left" w:pos="6096"/>
        </w:tabs>
        <w:rPr>
          <w:rFonts w:ascii="Arial" w:hAnsi="Arial" w:cs="Arial"/>
          <w:b/>
          <w:bCs/>
          <w:color w:val="auto"/>
          <w:sz w:val="20"/>
          <w:szCs w:val="20"/>
        </w:rPr>
      </w:pPr>
      <w:r w:rsidRPr="00930346">
        <w:rPr>
          <w:rFonts w:ascii="Arial" w:hAnsi="Arial" w:cs="Arial"/>
          <w:b/>
          <w:bCs/>
          <w:color w:val="auto"/>
          <w:sz w:val="20"/>
          <w:szCs w:val="20"/>
        </w:rPr>
        <w:t>Rosa Ainley</w:t>
      </w:r>
    </w:p>
    <w:p w:rsidR="002E727A" w:rsidRPr="00930346" w:rsidRDefault="002E727A">
      <w:pPr>
        <w:pStyle w:val="BodyText3"/>
        <w:tabs>
          <w:tab w:val="left" w:pos="6096"/>
        </w:tabs>
        <w:rPr>
          <w:rFonts w:ascii="Arial" w:hAnsi="Arial" w:cs="Arial"/>
          <w:b/>
          <w:bCs/>
          <w:color w:val="auto"/>
          <w:sz w:val="20"/>
          <w:szCs w:val="20"/>
        </w:rPr>
      </w:pPr>
      <w:r w:rsidRPr="00930346">
        <w:rPr>
          <w:rFonts w:ascii="Arial" w:hAnsi="Arial" w:cs="Arial"/>
          <w:b/>
          <w:bCs/>
          <w:color w:val="auto"/>
          <w:sz w:val="20"/>
          <w:szCs w:val="20"/>
        </w:rPr>
        <w:t xml:space="preserve">Interstitial Practices: Crossing the threshold in </w:t>
      </w:r>
      <w:smartTag w:uri="urn:schemas-microsoft-com:office:smarttags" w:element="address">
        <w:smartTag w:uri="urn:schemas-microsoft-com:office:smarttags" w:element="Street">
          <w:r w:rsidRPr="00930346">
            <w:rPr>
              <w:rFonts w:ascii="Arial" w:hAnsi="Arial" w:cs="Arial"/>
              <w:b/>
              <w:bCs/>
              <w:color w:val="auto"/>
              <w:sz w:val="20"/>
              <w:szCs w:val="20"/>
            </w:rPr>
            <w:t>2 Ennerdale Drive</w:t>
          </w:r>
        </w:smartTag>
      </w:smartTag>
      <w:r w:rsidRPr="00930346">
        <w:rPr>
          <w:rFonts w:ascii="Arial" w:hAnsi="Arial" w:cs="Arial"/>
          <w:b/>
          <w:bCs/>
          <w:color w:val="auto"/>
          <w:sz w:val="20"/>
          <w:szCs w:val="20"/>
        </w:rPr>
        <w:t xml:space="preserve"> and other constructions</w:t>
      </w:r>
    </w:p>
    <w:p w:rsidR="002E727A" w:rsidRPr="00C0290D" w:rsidRDefault="002E727A">
      <w:pPr>
        <w:pStyle w:val="BodyText3"/>
        <w:tabs>
          <w:tab w:val="left" w:pos="6096"/>
        </w:tabs>
        <w:rPr>
          <w:rFonts w:ascii="Arial" w:hAnsi="Arial" w:cs="Arial"/>
          <w:color w:val="auto"/>
          <w:sz w:val="20"/>
          <w:szCs w:val="20"/>
        </w:rPr>
      </w:pPr>
    </w:p>
    <w:p w:rsidR="002E727A" w:rsidRPr="00C0290D" w:rsidRDefault="002E727A" w:rsidP="00F85521">
      <w:pPr>
        <w:pStyle w:val="BodyText3"/>
        <w:tabs>
          <w:tab w:val="left" w:pos="6096"/>
        </w:tabs>
        <w:jc w:val="both"/>
        <w:rPr>
          <w:rFonts w:ascii="Arial" w:hAnsi="Arial" w:cs="Arial"/>
          <w:color w:val="auto"/>
          <w:sz w:val="20"/>
          <w:szCs w:val="20"/>
        </w:rPr>
      </w:pPr>
      <w:r w:rsidRPr="00C0290D">
        <w:rPr>
          <w:rFonts w:ascii="Arial" w:hAnsi="Arial" w:cs="Arial"/>
          <w:color w:val="auto"/>
          <w:sz w:val="20"/>
          <w:szCs w:val="20"/>
        </w:rPr>
        <w:t xml:space="preserve">From doorstep to hallway from the liminal to the transformatory, from non/fictions to criticism in book, building or website, this reflective and reflexive piece recognises and explores the pleasure, fear and anticipation involved in the threshold, the almost public/not quite private. </w:t>
      </w:r>
    </w:p>
    <w:p w:rsidR="002E727A" w:rsidRPr="00C0290D" w:rsidRDefault="002E727A" w:rsidP="00F85521">
      <w:pPr>
        <w:pStyle w:val="BodyText3"/>
        <w:tabs>
          <w:tab w:val="left" w:pos="6096"/>
        </w:tabs>
        <w:jc w:val="both"/>
        <w:rPr>
          <w:rFonts w:ascii="Arial" w:hAnsi="Arial" w:cs="Arial"/>
          <w:color w:val="auto"/>
          <w:sz w:val="20"/>
          <w:szCs w:val="20"/>
        </w:rPr>
      </w:pPr>
    </w:p>
    <w:p w:rsidR="002E727A" w:rsidRPr="00C0290D" w:rsidRDefault="002E727A" w:rsidP="00F85521">
      <w:pPr>
        <w:pStyle w:val="BodyText3"/>
        <w:tabs>
          <w:tab w:val="left" w:pos="6096"/>
        </w:tabs>
        <w:jc w:val="both"/>
        <w:rPr>
          <w:rFonts w:ascii="Arial" w:hAnsi="Arial" w:cs="Arial"/>
          <w:color w:val="auto"/>
          <w:sz w:val="20"/>
          <w:szCs w:val="20"/>
        </w:rPr>
      </w:pPr>
      <w:r w:rsidRPr="00C0290D">
        <w:rPr>
          <w:rFonts w:ascii="Arial" w:hAnsi="Arial" w:cs="Arial"/>
          <w:color w:val="auto"/>
          <w:sz w:val="20"/>
          <w:szCs w:val="20"/>
        </w:rPr>
        <w:t xml:space="preserve">Taking extracts from three of my works, this paper looks towards experimental hybrids in creating or revealing interstitial spaces, textual and architectural. These works have used a variation on Gaston Bachelard’s ‘topoanalysis’, and while acknowledging how architecture shapes and influences the social, personal and political stories of our lives, it refuses any analogous relationship between society and its built physical form. </w:t>
      </w:r>
    </w:p>
    <w:p w:rsidR="002E727A" w:rsidRPr="00C0290D" w:rsidRDefault="002E727A" w:rsidP="00F85521">
      <w:pPr>
        <w:pStyle w:val="BodyText3"/>
        <w:tabs>
          <w:tab w:val="left" w:pos="6096"/>
        </w:tabs>
        <w:jc w:val="both"/>
        <w:rPr>
          <w:rFonts w:ascii="Arial" w:hAnsi="Arial" w:cs="Arial"/>
          <w:color w:val="auto"/>
          <w:sz w:val="20"/>
          <w:szCs w:val="20"/>
        </w:rPr>
      </w:pPr>
    </w:p>
    <w:p w:rsidR="002E727A" w:rsidRPr="00C0290D" w:rsidRDefault="002E727A" w:rsidP="00F85521">
      <w:pPr>
        <w:pStyle w:val="BodyText3"/>
        <w:tabs>
          <w:tab w:val="left" w:pos="6096"/>
        </w:tabs>
        <w:jc w:val="both"/>
        <w:rPr>
          <w:rFonts w:ascii="Arial" w:hAnsi="Arial" w:cs="Arial"/>
          <w:color w:val="auto"/>
          <w:sz w:val="20"/>
          <w:szCs w:val="20"/>
        </w:rPr>
      </w:pPr>
      <w:smartTag w:uri="urn:schemas-microsoft-com:office:smarttags" w:element="address">
        <w:smartTag w:uri="urn:schemas-microsoft-com:office:smarttags" w:element="Street">
          <w:r w:rsidRPr="00C0290D">
            <w:rPr>
              <w:rFonts w:ascii="Arial" w:hAnsi="Arial" w:cs="Arial"/>
              <w:color w:val="auto"/>
              <w:sz w:val="20"/>
              <w:szCs w:val="20"/>
            </w:rPr>
            <w:t xml:space="preserve">1 </w:t>
          </w:r>
          <w:r w:rsidRPr="00C0290D">
            <w:rPr>
              <w:rFonts w:ascii="Arial" w:hAnsi="Arial" w:cs="Arial"/>
              <w:i/>
              <w:iCs/>
              <w:color w:val="auto"/>
              <w:sz w:val="20"/>
              <w:szCs w:val="20"/>
            </w:rPr>
            <w:t>2 Ennerdale Drive</w:t>
          </w:r>
        </w:smartTag>
      </w:smartTag>
      <w:r w:rsidRPr="00C0290D">
        <w:rPr>
          <w:rFonts w:ascii="Arial" w:hAnsi="Arial" w:cs="Arial"/>
          <w:color w:val="auto"/>
          <w:sz w:val="20"/>
          <w:szCs w:val="20"/>
        </w:rPr>
        <w:t xml:space="preserve">, a memoir of an existing suburban family house built in the 1920s. Examining the divide between writing the building and constructing the story, this work explores representations of public and private. </w:t>
      </w:r>
    </w:p>
    <w:p w:rsidR="002E727A" w:rsidRPr="00C0290D" w:rsidRDefault="002E727A" w:rsidP="00F85521">
      <w:pPr>
        <w:pStyle w:val="BodyText2"/>
        <w:tabs>
          <w:tab w:val="left" w:pos="6096"/>
        </w:tabs>
        <w:jc w:val="both"/>
        <w:rPr>
          <w:rFonts w:ascii="Arial" w:hAnsi="Arial" w:cs="Arial"/>
          <w:sz w:val="20"/>
          <w:szCs w:val="20"/>
        </w:rPr>
      </w:pPr>
      <w:r w:rsidRPr="00C0290D">
        <w:rPr>
          <w:rFonts w:ascii="Arial" w:hAnsi="Arial" w:cs="Arial"/>
          <w:sz w:val="20"/>
          <w:szCs w:val="20"/>
        </w:rPr>
        <w:t xml:space="preserve">2 ‘design for waiting room’, e-published in </w:t>
      </w:r>
      <w:r w:rsidRPr="00C0290D">
        <w:rPr>
          <w:rFonts w:ascii="Arial" w:hAnsi="Arial" w:cs="Arial"/>
          <w:i/>
          <w:iCs/>
          <w:sz w:val="20"/>
          <w:szCs w:val="20"/>
        </w:rPr>
        <w:t>outsidedge</w:t>
      </w:r>
      <w:r w:rsidRPr="00C0290D">
        <w:rPr>
          <w:rFonts w:ascii="Arial" w:hAnsi="Arial" w:cs="Arial"/>
          <w:sz w:val="20"/>
          <w:szCs w:val="20"/>
        </w:rPr>
        <w:t xml:space="preserve">. On the state, activity, architecture and place of waiting at an airport, a non-place of transit, outside yet completely focused on time. </w:t>
      </w:r>
    </w:p>
    <w:p w:rsidR="002E727A" w:rsidRPr="00C0290D" w:rsidRDefault="002E727A" w:rsidP="00F85521">
      <w:pPr>
        <w:pStyle w:val="BodyText3"/>
        <w:tabs>
          <w:tab w:val="left" w:pos="6096"/>
        </w:tabs>
        <w:jc w:val="both"/>
        <w:rPr>
          <w:rFonts w:ascii="Arial" w:hAnsi="Arial" w:cs="Arial"/>
          <w:color w:val="auto"/>
          <w:sz w:val="20"/>
          <w:szCs w:val="20"/>
        </w:rPr>
      </w:pPr>
      <w:r w:rsidRPr="00C0290D">
        <w:rPr>
          <w:rFonts w:ascii="Arial" w:hAnsi="Arial" w:cs="Arial"/>
          <w:color w:val="auto"/>
          <w:sz w:val="20"/>
          <w:szCs w:val="20"/>
        </w:rPr>
        <w:t xml:space="preserve">3 </w:t>
      </w:r>
      <w:r w:rsidRPr="00C0290D">
        <w:rPr>
          <w:rFonts w:ascii="Arial" w:hAnsi="Arial" w:cs="Arial"/>
          <w:i/>
          <w:iCs/>
          <w:color w:val="auto"/>
          <w:sz w:val="20"/>
          <w:szCs w:val="20"/>
        </w:rPr>
        <w:t>A Trick of the Light</w:t>
      </w:r>
      <w:r w:rsidRPr="00C0290D">
        <w:rPr>
          <w:rFonts w:ascii="Arial" w:hAnsi="Arial" w:cs="Arial"/>
          <w:color w:val="auto"/>
          <w:sz w:val="20"/>
          <w:szCs w:val="20"/>
        </w:rPr>
        <w:t>, a physical space recreated in the digital for a writer-in-residence project for architexts.co.uk. Two texts: a reading and a short audio piece, an acoustic rendition of the built space.</w:t>
      </w:r>
    </w:p>
    <w:p w:rsidR="002E727A" w:rsidRPr="00C0290D" w:rsidRDefault="002E727A" w:rsidP="00F85521">
      <w:pPr>
        <w:tabs>
          <w:tab w:val="left" w:pos="6096"/>
        </w:tabs>
        <w:jc w:val="both"/>
        <w:rPr>
          <w:rFonts w:ascii="Arial" w:hAnsi="Arial" w:cs="Arial"/>
          <w:sz w:val="20"/>
          <w:szCs w:val="20"/>
        </w:rPr>
      </w:pPr>
    </w:p>
    <w:p w:rsidR="002E727A" w:rsidRDefault="002E727A" w:rsidP="00F85521">
      <w:pPr>
        <w:pStyle w:val="BodyText3"/>
        <w:tabs>
          <w:tab w:val="left" w:pos="6096"/>
        </w:tabs>
        <w:jc w:val="both"/>
        <w:rPr>
          <w:rFonts w:ascii="Arial" w:hAnsi="Arial" w:cs="Arial"/>
          <w:color w:val="auto"/>
          <w:sz w:val="20"/>
          <w:szCs w:val="20"/>
        </w:rPr>
      </w:pPr>
      <w:r w:rsidRPr="00C0290D">
        <w:rPr>
          <w:rFonts w:ascii="Arial" w:hAnsi="Arial" w:cs="Arial"/>
          <w:color w:val="auto"/>
          <w:sz w:val="20"/>
          <w:szCs w:val="20"/>
        </w:rPr>
        <w:t xml:space="preserve">Whether the subject-spaces are physical or imaginary the work is what Jane Rendell calls site-writing, writing spaces into existence as well as writing about spaces and writing the visual and auditory. </w:t>
      </w:r>
      <w:r w:rsidRPr="00C0290D">
        <w:rPr>
          <w:rFonts w:ascii="Arial" w:hAnsi="Arial" w:cs="Arial"/>
          <w:color w:val="auto"/>
          <w:sz w:val="20"/>
          <w:szCs w:val="20"/>
          <w:lang w:val="en-GB"/>
        </w:rPr>
        <w:t xml:space="preserve">The transitional and the speculative are taken as methodology as well as subject: the </w:t>
      </w:r>
      <w:r w:rsidRPr="00C0290D">
        <w:rPr>
          <w:rFonts w:ascii="Arial" w:hAnsi="Arial" w:cs="Arial"/>
          <w:color w:val="auto"/>
          <w:sz w:val="20"/>
          <w:szCs w:val="20"/>
        </w:rPr>
        <w:t>work explores the architectonics of writing – the structure, processes and materials employed.</w:t>
      </w:r>
      <w:r w:rsidRPr="00C0290D">
        <w:rPr>
          <w:rFonts w:ascii="Arial" w:hAnsi="Arial" w:cs="Arial"/>
          <w:color w:val="auto"/>
          <w:sz w:val="20"/>
          <w:szCs w:val="20"/>
          <w:lang w:val="en-GB"/>
        </w:rPr>
        <w:t xml:space="preserve"> </w:t>
      </w:r>
      <w:r w:rsidRPr="00C0290D">
        <w:rPr>
          <w:rFonts w:ascii="Arial" w:hAnsi="Arial" w:cs="Arial"/>
          <w:color w:val="auto"/>
          <w:sz w:val="20"/>
          <w:szCs w:val="20"/>
        </w:rPr>
        <w:t xml:space="preserve">Such practices can be described as existing in the interstices and irrigating highly territorialised borders between fields such as architecture and literature, critical and creative writing, aiming for what Donna Haraway calls ‘an acute awareness of the non-fixity of boundaries’. </w:t>
      </w:r>
    </w:p>
    <w:p w:rsidR="002E727A" w:rsidRDefault="002E727A">
      <w:pPr>
        <w:pStyle w:val="BodyText3"/>
        <w:pBdr>
          <w:bottom w:val="single" w:sz="12" w:space="1" w:color="auto"/>
        </w:pBdr>
        <w:tabs>
          <w:tab w:val="left" w:pos="6096"/>
        </w:tabs>
        <w:rPr>
          <w:rFonts w:ascii="Arial" w:hAnsi="Arial" w:cs="Arial"/>
          <w:color w:val="auto"/>
          <w:sz w:val="20"/>
          <w:szCs w:val="20"/>
        </w:rPr>
      </w:pPr>
    </w:p>
    <w:p w:rsidR="002E727A" w:rsidRDefault="002E727A">
      <w:pPr>
        <w:pStyle w:val="BodyText3"/>
        <w:tabs>
          <w:tab w:val="left" w:pos="6096"/>
        </w:tabs>
        <w:rPr>
          <w:rFonts w:ascii="Arial" w:hAnsi="Arial" w:cs="Arial"/>
          <w:color w:val="auto"/>
          <w:sz w:val="20"/>
          <w:szCs w:val="20"/>
        </w:rPr>
      </w:pPr>
    </w:p>
    <w:p w:rsidR="002E727A" w:rsidRPr="001D5720" w:rsidRDefault="002E727A" w:rsidP="009760CA">
      <w:pPr>
        <w:outlineLvl w:val="0"/>
        <w:rPr>
          <w:rFonts w:ascii="Arial" w:hAnsi="Arial" w:cs="Arial"/>
          <w:sz w:val="20"/>
          <w:szCs w:val="20"/>
        </w:rPr>
      </w:pPr>
      <w:r w:rsidRPr="001D5720">
        <w:rPr>
          <w:rFonts w:ascii="Arial" w:hAnsi="Arial" w:cs="Arial"/>
          <w:b/>
          <w:bCs/>
          <w:sz w:val="20"/>
          <w:szCs w:val="20"/>
        </w:rPr>
        <w:t>Dr Katharine Cox</w:t>
      </w:r>
    </w:p>
    <w:p w:rsidR="002E727A" w:rsidRPr="001D5720" w:rsidRDefault="002E727A" w:rsidP="00930346">
      <w:pPr>
        <w:rPr>
          <w:rFonts w:ascii="Arial" w:hAnsi="Arial" w:cs="Arial"/>
          <w:b/>
          <w:bCs/>
          <w:i/>
          <w:iCs/>
          <w:sz w:val="20"/>
          <w:szCs w:val="20"/>
        </w:rPr>
      </w:pPr>
      <w:r w:rsidRPr="001D5720">
        <w:rPr>
          <w:rFonts w:ascii="Arial" w:hAnsi="Arial" w:cs="Arial"/>
          <w:b/>
          <w:bCs/>
          <w:sz w:val="20"/>
          <w:szCs w:val="20"/>
        </w:rPr>
        <w:t xml:space="preserve">Queering the Maze: Representations of Gendered Space in Jeanette Winterson’s </w:t>
      </w:r>
      <w:r w:rsidRPr="001D5720">
        <w:rPr>
          <w:rFonts w:ascii="Arial" w:hAnsi="Arial" w:cs="Arial"/>
          <w:b/>
          <w:bCs/>
          <w:i/>
          <w:iCs/>
          <w:sz w:val="20"/>
          <w:szCs w:val="20"/>
        </w:rPr>
        <w:t>The Passion</w:t>
      </w:r>
      <w:r w:rsidRPr="001D5720">
        <w:rPr>
          <w:rFonts w:ascii="Arial" w:hAnsi="Arial" w:cs="Arial"/>
          <w:b/>
          <w:bCs/>
          <w:sz w:val="20"/>
          <w:szCs w:val="20"/>
        </w:rPr>
        <w:t xml:space="preserve"> (1987)</w:t>
      </w:r>
      <w:r w:rsidRPr="001D5720">
        <w:rPr>
          <w:rFonts w:ascii="Arial" w:hAnsi="Arial" w:cs="Arial"/>
          <w:b/>
          <w:bCs/>
          <w:i/>
          <w:iCs/>
          <w:sz w:val="20"/>
          <w:szCs w:val="20"/>
        </w:rPr>
        <w:t xml:space="preserve">. </w:t>
      </w:r>
    </w:p>
    <w:p w:rsidR="002E727A" w:rsidRPr="001D5720" w:rsidRDefault="002E727A" w:rsidP="00930346">
      <w:pPr>
        <w:rPr>
          <w:rFonts w:ascii="Arial" w:hAnsi="Arial" w:cs="Arial"/>
          <w:sz w:val="20"/>
          <w:szCs w:val="20"/>
        </w:rPr>
      </w:pPr>
    </w:p>
    <w:p w:rsidR="002E727A" w:rsidRPr="001D5720" w:rsidRDefault="002E727A" w:rsidP="00F85521">
      <w:pPr>
        <w:jc w:val="both"/>
        <w:rPr>
          <w:rFonts w:ascii="Arial" w:hAnsi="Arial" w:cs="Arial"/>
          <w:sz w:val="20"/>
          <w:szCs w:val="20"/>
        </w:rPr>
      </w:pPr>
      <w:r w:rsidRPr="001D5720">
        <w:rPr>
          <w:rFonts w:ascii="Arial" w:hAnsi="Arial" w:cs="Arial"/>
          <w:sz w:val="20"/>
          <w:szCs w:val="20"/>
        </w:rPr>
        <w:t xml:space="preserve">This paper examines Jeanette Winterson’s depiction and negotiation of gendered and textualised space within the city-labyrinth of </w:t>
      </w:r>
      <w:smartTag w:uri="urn:schemas-microsoft-com:office:smarttags" w:element="place">
        <w:smartTag w:uri="urn:schemas-microsoft-com:office:smarttags" w:element="City">
          <w:r w:rsidRPr="001D5720">
            <w:rPr>
              <w:rFonts w:ascii="Arial" w:hAnsi="Arial" w:cs="Arial"/>
              <w:sz w:val="20"/>
              <w:szCs w:val="20"/>
            </w:rPr>
            <w:t>Venice</w:t>
          </w:r>
        </w:smartTag>
      </w:smartTag>
      <w:r w:rsidRPr="001D5720">
        <w:rPr>
          <w:rFonts w:ascii="Arial" w:hAnsi="Arial" w:cs="Arial"/>
          <w:sz w:val="20"/>
          <w:szCs w:val="20"/>
        </w:rPr>
        <w:t xml:space="preserve">. In a commemorative piece for </w:t>
      </w:r>
      <w:r w:rsidRPr="001D5720">
        <w:rPr>
          <w:rFonts w:ascii="Arial" w:hAnsi="Arial" w:cs="Arial"/>
          <w:i/>
          <w:iCs/>
          <w:sz w:val="20"/>
          <w:szCs w:val="20"/>
        </w:rPr>
        <w:t>The Times</w:t>
      </w:r>
      <w:r w:rsidRPr="001D5720">
        <w:rPr>
          <w:rFonts w:ascii="Arial" w:hAnsi="Arial" w:cs="Arial"/>
          <w:sz w:val="20"/>
          <w:szCs w:val="20"/>
        </w:rPr>
        <w:t xml:space="preserve"> (May 2007), marking </w:t>
      </w:r>
      <w:r w:rsidRPr="001D5720">
        <w:rPr>
          <w:rFonts w:ascii="Arial" w:hAnsi="Arial" w:cs="Arial"/>
          <w:i/>
          <w:iCs/>
          <w:sz w:val="20"/>
          <w:szCs w:val="20"/>
        </w:rPr>
        <w:t>The Passion</w:t>
      </w:r>
      <w:r w:rsidRPr="001D5720">
        <w:rPr>
          <w:rFonts w:ascii="Arial" w:hAnsi="Arial" w:cs="Arial"/>
          <w:sz w:val="20"/>
          <w:szCs w:val="20"/>
        </w:rPr>
        <w:t>’s twentieth year of publication,</w:t>
      </w:r>
      <w:r w:rsidRPr="001D5720">
        <w:rPr>
          <w:rFonts w:ascii="Arial" w:hAnsi="Arial" w:cs="Arial"/>
          <w:i/>
          <w:iCs/>
          <w:sz w:val="20"/>
          <w:szCs w:val="20"/>
        </w:rPr>
        <w:t xml:space="preserve"> </w:t>
      </w:r>
      <w:r w:rsidRPr="001D5720">
        <w:rPr>
          <w:rFonts w:ascii="Arial" w:hAnsi="Arial" w:cs="Arial"/>
          <w:sz w:val="20"/>
          <w:szCs w:val="20"/>
        </w:rPr>
        <w:t xml:space="preserve">Winterson stresses her use of </w:t>
      </w:r>
      <w:smartTag w:uri="urn:schemas-microsoft-com:office:smarttags" w:element="place">
        <w:smartTag w:uri="urn:schemas-microsoft-com:office:smarttags" w:element="City">
          <w:r w:rsidRPr="001D5720">
            <w:rPr>
              <w:rFonts w:ascii="Arial" w:hAnsi="Arial" w:cs="Arial"/>
              <w:sz w:val="20"/>
              <w:szCs w:val="20"/>
            </w:rPr>
            <w:t>Venice</w:t>
          </w:r>
        </w:smartTag>
      </w:smartTag>
      <w:r w:rsidRPr="001D5720">
        <w:rPr>
          <w:rFonts w:ascii="Arial" w:hAnsi="Arial" w:cs="Arial"/>
          <w:sz w:val="20"/>
          <w:szCs w:val="20"/>
        </w:rPr>
        <w:t xml:space="preserve"> as an imaginary space of subversion and difference. Her </w:t>
      </w:r>
      <w:smartTag w:uri="urn:schemas-microsoft-com:office:smarttags" w:element="place">
        <w:smartTag w:uri="urn:schemas-microsoft-com:office:smarttags" w:element="City">
          <w:r w:rsidRPr="001D5720">
            <w:rPr>
              <w:rFonts w:ascii="Arial" w:hAnsi="Arial" w:cs="Arial"/>
              <w:sz w:val="20"/>
              <w:szCs w:val="20"/>
            </w:rPr>
            <w:t>Venice</w:t>
          </w:r>
        </w:smartTag>
      </w:smartTag>
      <w:r w:rsidRPr="001D5720">
        <w:rPr>
          <w:rFonts w:ascii="Arial" w:hAnsi="Arial" w:cs="Arial"/>
          <w:sz w:val="20"/>
          <w:szCs w:val="20"/>
        </w:rPr>
        <w:t xml:space="preserve"> is a Calvinoesque cityscape, an allusive and textual collage that makes prominent the process of reading within a textual labyrinth. The focus of this paper is directed primarily towards the representations of space within the novel, specifically the encounter with the labyrinth.   </w:t>
      </w:r>
    </w:p>
    <w:p w:rsidR="002E727A" w:rsidRPr="001D5720" w:rsidRDefault="002E727A" w:rsidP="00F85521">
      <w:pPr>
        <w:jc w:val="both"/>
        <w:rPr>
          <w:rFonts w:ascii="Arial" w:hAnsi="Arial" w:cs="Arial"/>
          <w:sz w:val="20"/>
          <w:szCs w:val="20"/>
        </w:rPr>
      </w:pPr>
    </w:p>
    <w:p w:rsidR="002E727A" w:rsidRPr="001D5720" w:rsidRDefault="002E727A" w:rsidP="00F85521">
      <w:pPr>
        <w:jc w:val="both"/>
        <w:rPr>
          <w:rFonts w:ascii="Arial" w:hAnsi="Arial" w:cs="Arial"/>
          <w:sz w:val="20"/>
          <w:szCs w:val="20"/>
        </w:rPr>
      </w:pPr>
      <w:r w:rsidRPr="001D5720">
        <w:rPr>
          <w:rFonts w:ascii="Arial" w:hAnsi="Arial" w:cs="Arial"/>
          <w:sz w:val="20"/>
          <w:szCs w:val="20"/>
        </w:rPr>
        <w:t xml:space="preserve">Winterson’s novel has spawned a considerable amount of critical attention which has focused, for example, on her use of </w:t>
      </w:r>
      <w:smartTag w:uri="urn:schemas-microsoft-com:office:smarttags" w:element="place">
        <w:smartTag w:uri="urn:schemas-microsoft-com:office:smarttags" w:element="City">
          <w:r w:rsidRPr="001D5720">
            <w:rPr>
              <w:rFonts w:ascii="Arial" w:hAnsi="Arial" w:cs="Arial"/>
              <w:sz w:val="20"/>
              <w:szCs w:val="20"/>
            </w:rPr>
            <w:t>Venice</w:t>
          </w:r>
        </w:smartTag>
      </w:smartTag>
      <w:r w:rsidRPr="001D5720">
        <w:rPr>
          <w:rFonts w:ascii="Arial" w:hAnsi="Arial" w:cs="Arial"/>
          <w:sz w:val="20"/>
          <w:szCs w:val="20"/>
        </w:rPr>
        <w:t xml:space="preserve"> as a textual assemblage (Lodge 1988), a mythic space (Seaboyer 1997; Onega 2006), an economic centre (Duncker 1998) or a feminine environment (Palmer 1998). Instead this paper argues that Winterson’s transgression of hetero-normative practices within the city space is accentuated by the realization of city as labyrinth. Crucially, this paper seeks to contextualize Winterson’s usage of the maze within an historical and literary lineage, as part of an on-going depiction and contestation of gendered space. </w:t>
      </w:r>
    </w:p>
    <w:p w:rsidR="002E727A" w:rsidRPr="001D5720" w:rsidRDefault="002E727A" w:rsidP="00F85521">
      <w:pPr>
        <w:jc w:val="both"/>
        <w:rPr>
          <w:rFonts w:ascii="Arial" w:hAnsi="Arial" w:cs="Arial"/>
          <w:sz w:val="20"/>
          <w:szCs w:val="20"/>
        </w:rPr>
      </w:pPr>
    </w:p>
    <w:p w:rsidR="002E727A" w:rsidRPr="001D5720" w:rsidRDefault="002E727A" w:rsidP="00F85521">
      <w:pPr>
        <w:jc w:val="both"/>
        <w:rPr>
          <w:rFonts w:ascii="Arial" w:hAnsi="Arial" w:cs="Arial"/>
          <w:sz w:val="20"/>
          <w:szCs w:val="20"/>
        </w:rPr>
      </w:pPr>
      <w:r w:rsidRPr="001D5720">
        <w:rPr>
          <w:rFonts w:ascii="Arial" w:hAnsi="Arial" w:cs="Arial"/>
          <w:sz w:val="20"/>
          <w:szCs w:val="20"/>
        </w:rPr>
        <w:t xml:space="preserve">The labyrinth has frequently and historically been viewed in gendered terms from the womb-like depictions of the maze in prehistoric Northumberland rock engravings (Tate, 1864; q. Matthews 1920), to the homoerotic implications of Theseus and the Minotaur’s confrontation in Michael Ayrton’s sculpture and drawings (Ayrton, 1967). This practice is mirrored in literary examples from the homo-social meeting in Andrè Gide’s </w:t>
      </w:r>
      <w:r w:rsidRPr="001D5720">
        <w:rPr>
          <w:rFonts w:ascii="Arial" w:hAnsi="Arial" w:cs="Arial"/>
          <w:i/>
          <w:iCs/>
          <w:sz w:val="20"/>
          <w:szCs w:val="20"/>
        </w:rPr>
        <w:t>Theseus</w:t>
      </w:r>
      <w:r w:rsidRPr="001D5720">
        <w:rPr>
          <w:rFonts w:ascii="Arial" w:hAnsi="Arial" w:cs="Arial"/>
          <w:sz w:val="20"/>
          <w:szCs w:val="20"/>
        </w:rPr>
        <w:t xml:space="preserve"> (1946) to the feminization of the labyrinth as a sacred site of female lineage in Kate Mosse’s </w:t>
      </w:r>
      <w:r w:rsidRPr="001D5720">
        <w:rPr>
          <w:rFonts w:ascii="Arial" w:hAnsi="Arial" w:cs="Arial"/>
          <w:i/>
          <w:iCs/>
          <w:sz w:val="20"/>
          <w:szCs w:val="20"/>
        </w:rPr>
        <w:t xml:space="preserve">Labyrinth </w:t>
      </w:r>
      <w:r w:rsidRPr="001D5720">
        <w:rPr>
          <w:rFonts w:ascii="Arial" w:hAnsi="Arial" w:cs="Arial"/>
          <w:sz w:val="20"/>
          <w:szCs w:val="20"/>
        </w:rPr>
        <w:t>(2005). However, subversion of the gendered space is repeatedly threatened as to enter a labyrinth is to transgress into a liminal arena and so exemplifies Winterson’s usage which is both ambivalent and shifting.</w:t>
      </w:r>
      <w:r w:rsidRPr="001D5720">
        <w:rPr>
          <w:rFonts w:ascii="Arial" w:hAnsi="Arial" w:cs="Arial"/>
          <w:b/>
          <w:bCs/>
          <w:sz w:val="20"/>
          <w:szCs w:val="20"/>
        </w:rPr>
        <w:t xml:space="preserve">  </w:t>
      </w:r>
      <w:r w:rsidRPr="001D5720">
        <w:rPr>
          <w:rFonts w:ascii="Arial" w:hAnsi="Arial" w:cs="Arial"/>
          <w:sz w:val="20"/>
          <w:szCs w:val="20"/>
        </w:rPr>
        <w:t>As this paper will demonstrate,</w:t>
      </w:r>
      <w:r w:rsidRPr="001D5720">
        <w:rPr>
          <w:rFonts w:ascii="Arial" w:hAnsi="Arial" w:cs="Arial"/>
          <w:b/>
          <w:bCs/>
          <w:sz w:val="20"/>
          <w:szCs w:val="20"/>
        </w:rPr>
        <w:t xml:space="preserve"> </w:t>
      </w:r>
      <w:r w:rsidRPr="001D5720">
        <w:rPr>
          <w:rFonts w:ascii="Arial" w:hAnsi="Arial" w:cs="Arial"/>
          <w:sz w:val="20"/>
          <w:szCs w:val="20"/>
        </w:rPr>
        <w:t xml:space="preserve">Winterson’s city space toys with literary and historical tropes of the maze, whereby subversive or in-between characters further disrupt traditional gendered communities and unsettle the space within the city. </w:t>
      </w:r>
    </w:p>
    <w:p w:rsidR="002E727A" w:rsidRPr="001D5720" w:rsidRDefault="002E727A" w:rsidP="00930346">
      <w:pPr>
        <w:rPr>
          <w:rFonts w:ascii="Arial" w:hAnsi="Arial" w:cs="Arial"/>
          <w:sz w:val="20"/>
          <w:szCs w:val="20"/>
        </w:rPr>
      </w:pPr>
    </w:p>
    <w:p w:rsidR="002E727A" w:rsidRPr="001D5720" w:rsidRDefault="002E727A" w:rsidP="00930346">
      <w:pPr>
        <w:rPr>
          <w:rFonts w:ascii="Arial" w:hAnsi="Arial" w:cs="Arial"/>
          <w:sz w:val="20"/>
          <w:szCs w:val="20"/>
        </w:rPr>
      </w:pPr>
      <w:r w:rsidRPr="001D5720">
        <w:rPr>
          <w:rFonts w:ascii="Arial" w:hAnsi="Arial" w:cs="Arial"/>
          <w:sz w:val="20"/>
          <w:szCs w:val="20"/>
        </w:rPr>
        <w:t>Selected bibliography:</w:t>
      </w:r>
    </w:p>
    <w:p w:rsidR="002E727A" w:rsidRPr="001D5720" w:rsidRDefault="002E727A" w:rsidP="00930346">
      <w:pPr>
        <w:rPr>
          <w:rFonts w:ascii="Arial" w:hAnsi="Arial" w:cs="Arial"/>
          <w:sz w:val="20"/>
          <w:szCs w:val="20"/>
        </w:rPr>
      </w:pPr>
      <w:r w:rsidRPr="001D5720">
        <w:rPr>
          <w:rFonts w:ascii="Arial" w:hAnsi="Arial" w:cs="Arial"/>
          <w:sz w:val="20"/>
          <w:szCs w:val="20"/>
        </w:rPr>
        <w:t xml:space="preserve">Ayrton, M. </w:t>
      </w:r>
      <w:r w:rsidRPr="001D5720">
        <w:rPr>
          <w:rFonts w:ascii="Arial" w:hAnsi="Arial" w:cs="Arial"/>
          <w:i/>
          <w:iCs/>
          <w:sz w:val="20"/>
          <w:szCs w:val="20"/>
        </w:rPr>
        <w:t xml:space="preserve">The Maze Maker. </w:t>
      </w:r>
      <w:smartTag w:uri="urn:schemas-microsoft-com:office:smarttags" w:element="place">
        <w:smartTag w:uri="urn:schemas-microsoft-com:office:smarttags" w:element="State">
          <w:r w:rsidRPr="001D5720">
            <w:rPr>
              <w:rFonts w:ascii="Arial" w:hAnsi="Arial" w:cs="Arial"/>
              <w:sz w:val="20"/>
              <w:szCs w:val="20"/>
            </w:rPr>
            <w:t>New York</w:t>
          </w:r>
        </w:smartTag>
      </w:smartTag>
      <w:r w:rsidRPr="001D5720">
        <w:rPr>
          <w:rFonts w:ascii="Arial" w:hAnsi="Arial" w:cs="Arial"/>
          <w:sz w:val="20"/>
          <w:szCs w:val="20"/>
        </w:rPr>
        <w:t xml:space="preserve">, </w:t>
      </w:r>
      <w:smartTag w:uri="urn:schemas-microsoft-com:office:smarttags" w:element="place">
        <w:smartTag w:uri="urn:schemas-microsoft-com:office:smarttags" w:element="City">
          <w:r w:rsidRPr="001D5720">
            <w:rPr>
              <w:rFonts w:ascii="Arial" w:hAnsi="Arial" w:cs="Arial"/>
              <w:sz w:val="20"/>
              <w:szCs w:val="20"/>
            </w:rPr>
            <w:t>Chicago</w:t>
          </w:r>
        </w:smartTag>
      </w:smartTag>
      <w:r w:rsidRPr="001D5720">
        <w:rPr>
          <w:rFonts w:ascii="Arial" w:hAnsi="Arial" w:cs="Arial"/>
          <w:sz w:val="20"/>
          <w:szCs w:val="20"/>
        </w:rPr>
        <w:t xml:space="preserve"> and </w:t>
      </w:r>
      <w:smartTag w:uri="urn:schemas-microsoft-com:office:smarttags" w:element="place">
        <w:smartTag w:uri="urn:schemas-microsoft-com:office:smarttags" w:element="City">
          <w:r w:rsidRPr="001D5720">
            <w:rPr>
              <w:rFonts w:ascii="Arial" w:hAnsi="Arial" w:cs="Arial"/>
              <w:sz w:val="20"/>
              <w:szCs w:val="20"/>
            </w:rPr>
            <w:t>San Francisco</w:t>
          </w:r>
        </w:smartTag>
      </w:smartTag>
      <w:r w:rsidRPr="001D5720">
        <w:rPr>
          <w:rFonts w:ascii="Arial" w:hAnsi="Arial" w:cs="Arial"/>
          <w:sz w:val="20"/>
          <w:szCs w:val="20"/>
        </w:rPr>
        <w:t>: Holt, Rinehart and Winston, 1967.</w:t>
      </w:r>
    </w:p>
    <w:p w:rsidR="002E727A" w:rsidRPr="001D5720" w:rsidRDefault="002E727A" w:rsidP="00930346">
      <w:pPr>
        <w:rPr>
          <w:rFonts w:ascii="Arial" w:hAnsi="Arial" w:cs="Arial"/>
          <w:sz w:val="20"/>
          <w:szCs w:val="20"/>
        </w:rPr>
      </w:pPr>
      <w:r w:rsidRPr="001D5720">
        <w:rPr>
          <w:rFonts w:ascii="Arial" w:hAnsi="Arial" w:cs="Arial"/>
          <w:sz w:val="20"/>
          <w:szCs w:val="20"/>
        </w:rPr>
        <w:t xml:space="preserve">Duncker, P.  “Jeanette Winterson and the Lesbian Body.” Grice and Woods, </w:t>
      </w:r>
      <w:r w:rsidRPr="001D5720">
        <w:rPr>
          <w:rFonts w:ascii="Arial" w:hAnsi="Arial" w:cs="Arial"/>
          <w:i/>
          <w:iCs/>
          <w:sz w:val="20"/>
          <w:szCs w:val="20"/>
        </w:rPr>
        <w:t>Telling</w:t>
      </w:r>
      <w:r w:rsidRPr="001D5720">
        <w:rPr>
          <w:rFonts w:ascii="Arial" w:hAnsi="Arial" w:cs="Arial"/>
          <w:sz w:val="20"/>
          <w:szCs w:val="20"/>
        </w:rPr>
        <w:t>.  77-88.</w:t>
      </w:r>
    </w:p>
    <w:p w:rsidR="002E727A" w:rsidRPr="001D5720" w:rsidRDefault="002E727A" w:rsidP="00930346">
      <w:pPr>
        <w:rPr>
          <w:rFonts w:ascii="Arial" w:hAnsi="Arial" w:cs="Arial"/>
          <w:sz w:val="20"/>
          <w:szCs w:val="20"/>
        </w:rPr>
      </w:pPr>
      <w:r w:rsidRPr="001D5720">
        <w:rPr>
          <w:rFonts w:ascii="Arial" w:hAnsi="Arial" w:cs="Arial"/>
          <w:sz w:val="20"/>
          <w:szCs w:val="20"/>
        </w:rPr>
        <w:t>Grice, H. and T. Woods, eds. “</w:t>
      </w:r>
      <w:r w:rsidRPr="001D5720">
        <w:rPr>
          <w:rFonts w:ascii="Arial" w:hAnsi="Arial" w:cs="Arial"/>
          <w:i/>
          <w:iCs/>
          <w:sz w:val="20"/>
          <w:szCs w:val="20"/>
        </w:rPr>
        <w:t xml:space="preserve">I’m Telling you Stories” Jeanette Winterson and the Politics of </w:t>
      </w:r>
      <w:smartTag w:uri="urn:schemas-microsoft-com:office:smarttags" w:element="place">
        <w:smartTag w:uri="urn:schemas-microsoft-com:office:smarttags" w:element="City">
          <w:r w:rsidRPr="001D5720">
            <w:rPr>
              <w:rFonts w:ascii="Arial" w:hAnsi="Arial" w:cs="Arial"/>
              <w:i/>
              <w:iCs/>
              <w:sz w:val="20"/>
              <w:szCs w:val="20"/>
            </w:rPr>
            <w:t>Reading</w:t>
          </w:r>
        </w:smartTag>
      </w:smartTag>
      <w:r w:rsidRPr="001D5720">
        <w:rPr>
          <w:rFonts w:ascii="Arial" w:hAnsi="Arial" w:cs="Arial"/>
          <w:i/>
          <w:iCs/>
          <w:sz w:val="20"/>
          <w:szCs w:val="20"/>
        </w:rPr>
        <w:t>.</w:t>
      </w:r>
      <w:r w:rsidRPr="001D5720">
        <w:rPr>
          <w:rFonts w:ascii="Arial" w:hAnsi="Arial" w:cs="Arial"/>
          <w:sz w:val="20"/>
          <w:szCs w:val="20"/>
        </w:rPr>
        <w:t xml:space="preserve"> </w:t>
      </w:r>
      <w:smartTag w:uri="urn:schemas-microsoft-com:office:smarttags" w:element="place">
        <w:smartTag w:uri="urn:schemas-microsoft-com:office:smarttags" w:element="City">
          <w:r w:rsidRPr="001D5720">
            <w:rPr>
              <w:rFonts w:ascii="Arial" w:hAnsi="Arial" w:cs="Arial"/>
              <w:sz w:val="20"/>
              <w:szCs w:val="20"/>
            </w:rPr>
            <w:t>Amsterdam</w:t>
          </w:r>
        </w:smartTag>
      </w:smartTag>
      <w:r w:rsidRPr="001D5720">
        <w:rPr>
          <w:rFonts w:ascii="Arial" w:hAnsi="Arial" w:cs="Arial"/>
          <w:sz w:val="20"/>
          <w:szCs w:val="20"/>
        </w:rPr>
        <w:t xml:space="preserve">: Rodopi, 1998.  </w:t>
      </w:r>
    </w:p>
    <w:p w:rsidR="002E727A" w:rsidRPr="001D5720" w:rsidRDefault="002E727A" w:rsidP="00930346">
      <w:pPr>
        <w:rPr>
          <w:rFonts w:ascii="Arial" w:hAnsi="Arial" w:cs="Arial"/>
          <w:sz w:val="20"/>
          <w:szCs w:val="20"/>
        </w:rPr>
      </w:pPr>
      <w:r w:rsidRPr="001D5720">
        <w:rPr>
          <w:rFonts w:ascii="Arial" w:hAnsi="Arial" w:cs="Arial"/>
          <w:sz w:val="20"/>
          <w:szCs w:val="20"/>
        </w:rPr>
        <w:t xml:space="preserve">Lodge, D. “Outrageous Things: The Passion by Jeanette Winterson”. </w:t>
      </w:r>
      <w:smartTag w:uri="urn:schemas-microsoft-com:office:smarttags" w:element="place">
        <w:smartTag w:uri="urn:schemas-microsoft-com:office:smarttags" w:element="State">
          <w:r w:rsidRPr="001D5720">
            <w:rPr>
              <w:rFonts w:ascii="Arial" w:hAnsi="Arial" w:cs="Arial"/>
              <w:i/>
              <w:iCs/>
              <w:sz w:val="20"/>
              <w:szCs w:val="20"/>
            </w:rPr>
            <w:t>New York</w:t>
          </w:r>
        </w:smartTag>
      </w:smartTag>
      <w:r w:rsidRPr="001D5720">
        <w:rPr>
          <w:rFonts w:ascii="Arial" w:hAnsi="Arial" w:cs="Arial"/>
          <w:i/>
          <w:iCs/>
          <w:sz w:val="20"/>
          <w:szCs w:val="20"/>
        </w:rPr>
        <w:t xml:space="preserve"> Review of Books. </w:t>
      </w:r>
      <w:smartTag w:uri="urn:schemas-microsoft-com:office:smarttags" w:element="date">
        <w:smartTagPr>
          <w:attr w:name="Month" w:val="9"/>
          <w:attr w:name="Day" w:val="29"/>
          <w:attr w:name="Year" w:val="1988"/>
        </w:smartTagPr>
        <w:r w:rsidRPr="001D5720">
          <w:rPr>
            <w:rFonts w:ascii="Arial" w:hAnsi="Arial" w:cs="Arial"/>
            <w:sz w:val="20"/>
            <w:szCs w:val="20"/>
          </w:rPr>
          <w:t>29 Sept 1988</w:t>
        </w:r>
      </w:smartTag>
      <w:r w:rsidRPr="001D5720">
        <w:rPr>
          <w:rFonts w:ascii="Arial" w:hAnsi="Arial" w:cs="Arial"/>
          <w:sz w:val="20"/>
          <w:szCs w:val="20"/>
        </w:rPr>
        <w:t>: 25-26.</w:t>
      </w:r>
    </w:p>
    <w:p w:rsidR="002E727A" w:rsidRPr="001D5720" w:rsidRDefault="002E727A" w:rsidP="00930346">
      <w:pPr>
        <w:rPr>
          <w:rFonts w:ascii="Arial" w:hAnsi="Arial" w:cs="Arial"/>
          <w:sz w:val="20"/>
          <w:szCs w:val="20"/>
        </w:rPr>
      </w:pPr>
      <w:r w:rsidRPr="001D5720">
        <w:rPr>
          <w:rFonts w:ascii="Arial" w:hAnsi="Arial" w:cs="Arial"/>
          <w:sz w:val="20"/>
          <w:szCs w:val="20"/>
        </w:rPr>
        <w:t xml:space="preserve">Matthews, W.H. </w:t>
      </w:r>
      <w:r w:rsidRPr="001D5720">
        <w:rPr>
          <w:rFonts w:ascii="Arial" w:hAnsi="Arial" w:cs="Arial"/>
          <w:i/>
          <w:iCs/>
          <w:sz w:val="20"/>
          <w:szCs w:val="20"/>
        </w:rPr>
        <w:t>Labyrinths and Mazes: Their History and Development</w:t>
      </w:r>
      <w:r w:rsidRPr="001D5720">
        <w:rPr>
          <w:rFonts w:ascii="Arial" w:hAnsi="Arial" w:cs="Arial"/>
          <w:sz w:val="20"/>
          <w:szCs w:val="20"/>
        </w:rPr>
        <w:t xml:space="preserve">. </w:t>
      </w:r>
      <w:smartTag w:uri="urn:schemas-microsoft-com:office:smarttags" w:element="place">
        <w:smartTag w:uri="urn:schemas-microsoft-com:office:smarttags" w:element="City">
          <w:r w:rsidRPr="001D5720">
            <w:rPr>
              <w:rFonts w:ascii="Arial" w:hAnsi="Arial" w:cs="Arial"/>
              <w:sz w:val="20"/>
              <w:szCs w:val="20"/>
            </w:rPr>
            <w:t>London</w:t>
          </w:r>
        </w:smartTag>
      </w:smartTag>
      <w:r w:rsidRPr="001D5720">
        <w:rPr>
          <w:rFonts w:ascii="Arial" w:hAnsi="Arial" w:cs="Arial"/>
          <w:sz w:val="20"/>
          <w:szCs w:val="20"/>
        </w:rPr>
        <w:t xml:space="preserve">: </w:t>
      </w:r>
      <w:smartTag w:uri="urn:schemas-microsoft-com:office:smarttags" w:element="place">
        <w:smartTag w:uri="urn:schemas-microsoft-com:office:smarttags" w:element="City">
          <w:r w:rsidRPr="001D5720">
            <w:rPr>
              <w:rFonts w:ascii="Arial" w:hAnsi="Arial" w:cs="Arial"/>
              <w:sz w:val="20"/>
              <w:szCs w:val="20"/>
            </w:rPr>
            <w:t>Dover</w:t>
          </w:r>
        </w:smartTag>
      </w:smartTag>
      <w:r w:rsidRPr="001D5720">
        <w:rPr>
          <w:rFonts w:ascii="Arial" w:hAnsi="Arial" w:cs="Arial"/>
          <w:sz w:val="20"/>
          <w:szCs w:val="20"/>
        </w:rPr>
        <w:t xml:space="preserve"> Publications.</w:t>
      </w:r>
    </w:p>
    <w:p w:rsidR="002E727A" w:rsidRPr="001D5720" w:rsidRDefault="002E727A" w:rsidP="00930346">
      <w:pPr>
        <w:rPr>
          <w:rFonts w:ascii="Arial" w:hAnsi="Arial" w:cs="Arial"/>
          <w:sz w:val="20"/>
          <w:szCs w:val="20"/>
        </w:rPr>
      </w:pPr>
      <w:r w:rsidRPr="001D5720">
        <w:rPr>
          <w:rFonts w:ascii="Arial" w:hAnsi="Arial" w:cs="Arial"/>
          <w:sz w:val="20"/>
          <w:szCs w:val="20"/>
        </w:rPr>
        <w:t xml:space="preserve">Onega, S. </w:t>
      </w:r>
      <w:r w:rsidRPr="001D5720">
        <w:rPr>
          <w:rFonts w:ascii="Arial" w:hAnsi="Arial" w:cs="Arial"/>
          <w:i/>
          <w:iCs/>
          <w:sz w:val="20"/>
          <w:szCs w:val="20"/>
        </w:rPr>
        <w:t>Contemporary British Novelists: Jeanette Winterson</w:t>
      </w:r>
      <w:r w:rsidRPr="001D5720">
        <w:rPr>
          <w:rFonts w:ascii="Arial" w:hAnsi="Arial" w:cs="Arial"/>
          <w:sz w:val="20"/>
          <w:szCs w:val="20"/>
        </w:rPr>
        <w:t xml:space="preserve">. </w:t>
      </w:r>
      <w:smartTag w:uri="urn:schemas-microsoft-com:office:smarttags" w:element="place">
        <w:smartTag w:uri="urn:schemas-microsoft-com:office:smarttags" w:element="City">
          <w:r w:rsidRPr="001D5720">
            <w:rPr>
              <w:rFonts w:ascii="Arial" w:hAnsi="Arial" w:cs="Arial"/>
              <w:sz w:val="20"/>
              <w:szCs w:val="20"/>
            </w:rPr>
            <w:t>Manchester</w:t>
          </w:r>
        </w:smartTag>
      </w:smartTag>
      <w:r w:rsidRPr="001D5720">
        <w:rPr>
          <w:rFonts w:ascii="Arial" w:hAnsi="Arial" w:cs="Arial"/>
          <w:sz w:val="20"/>
          <w:szCs w:val="20"/>
        </w:rPr>
        <w:t xml:space="preserve">: </w:t>
      </w:r>
      <w:smartTag w:uri="urn:schemas-microsoft-com:office:smarttags" w:element="place">
        <w:smartTag w:uri="urn:schemas-microsoft-com:office:smarttags" w:element="City">
          <w:r w:rsidRPr="001D5720">
            <w:rPr>
              <w:rFonts w:ascii="Arial" w:hAnsi="Arial" w:cs="Arial"/>
              <w:sz w:val="20"/>
              <w:szCs w:val="20"/>
            </w:rPr>
            <w:t>Manchester</w:t>
          </w:r>
        </w:smartTag>
      </w:smartTag>
      <w:r w:rsidRPr="001D5720">
        <w:rPr>
          <w:rFonts w:ascii="Arial" w:hAnsi="Arial" w:cs="Arial"/>
          <w:sz w:val="20"/>
          <w:szCs w:val="20"/>
        </w:rPr>
        <w:t xml:space="preserve"> UP, 2006. </w:t>
      </w:r>
    </w:p>
    <w:p w:rsidR="002E727A" w:rsidRPr="001D5720" w:rsidRDefault="002E727A" w:rsidP="00930346">
      <w:pPr>
        <w:rPr>
          <w:rFonts w:ascii="Arial" w:hAnsi="Arial" w:cs="Arial"/>
          <w:sz w:val="20"/>
          <w:szCs w:val="20"/>
        </w:rPr>
      </w:pPr>
      <w:r w:rsidRPr="001D5720">
        <w:rPr>
          <w:rFonts w:ascii="Arial" w:hAnsi="Arial" w:cs="Arial"/>
          <w:sz w:val="20"/>
          <w:szCs w:val="20"/>
        </w:rPr>
        <w:t xml:space="preserve">Palmer, P. “The Passion: Storytelling, Fantasy, Desire.” Grice and Woods, </w:t>
      </w:r>
      <w:r w:rsidRPr="001D5720">
        <w:rPr>
          <w:rFonts w:ascii="Arial" w:hAnsi="Arial" w:cs="Arial"/>
          <w:i/>
          <w:iCs/>
          <w:sz w:val="20"/>
          <w:szCs w:val="20"/>
        </w:rPr>
        <w:t>Telling</w:t>
      </w:r>
      <w:r w:rsidRPr="001D5720">
        <w:rPr>
          <w:rFonts w:ascii="Arial" w:hAnsi="Arial" w:cs="Arial"/>
          <w:sz w:val="20"/>
          <w:szCs w:val="20"/>
        </w:rPr>
        <w:t xml:space="preserve"> 103-116.</w:t>
      </w:r>
    </w:p>
    <w:p w:rsidR="002E727A" w:rsidRDefault="002E727A" w:rsidP="00930346">
      <w:pPr>
        <w:rPr>
          <w:rFonts w:ascii="Arial" w:hAnsi="Arial" w:cs="Arial"/>
          <w:sz w:val="20"/>
          <w:szCs w:val="20"/>
        </w:rPr>
      </w:pPr>
      <w:r w:rsidRPr="001D5720">
        <w:rPr>
          <w:rFonts w:ascii="Arial" w:hAnsi="Arial" w:cs="Arial"/>
          <w:sz w:val="20"/>
          <w:szCs w:val="20"/>
        </w:rPr>
        <w:t xml:space="preserve">Seaboyer, J. “Second Death in </w:t>
      </w:r>
      <w:smartTag w:uri="urn:schemas-microsoft-com:office:smarttags" w:element="place">
        <w:smartTag w:uri="urn:schemas-microsoft-com:office:smarttags" w:element="City">
          <w:r w:rsidRPr="001D5720">
            <w:rPr>
              <w:rFonts w:ascii="Arial" w:hAnsi="Arial" w:cs="Arial"/>
              <w:sz w:val="20"/>
              <w:szCs w:val="20"/>
            </w:rPr>
            <w:t>Venice</w:t>
          </w:r>
        </w:smartTag>
      </w:smartTag>
      <w:r w:rsidRPr="001D5720">
        <w:rPr>
          <w:rFonts w:ascii="Arial" w:hAnsi="Arial" w:cs="Arial"/>
          <w:sz w:val="20"/>
          <w:szCs w:val="20"/>
        </w:rPr>
        <w:t xml:space="preserve">: Romanticism and the compulsion to repeat in Jeanette Winterson’s </w:t>
      </w:r>
      <w:r w:rsidRPr="001D5720">
        <w:rPr>
          <w:rFonts w:ascii="Arial" w:hAnsi="Arial" w:cs="Arial"/>
          <w:i/>
          <w:iCs/>
          <w:sz w:val="20"/>
          <w:szCs w:val="20"/>
        </w:rPr>
        <w:t>The Passion</w:t>
      </w:r>
      <w:r w:rsidRPr="001D5720">
        <w:rPr>
          <w:rFonts w:ascii="Arial" w:hAnsi="Arial" w:cs="Arial"/>
          <w:sz w:val="20"/>
          <w:szCs w:val="20"/>
        </w:rPr>
        <w:t xml:space="preserve">.”  </w:t>
      </w:r>
      <w:r w:rsidRPr="001D5720">
        <w:rPr>
          <w:rFonts w:ascii="Arial" w:hAnsi="Arial" w:cs="Arial"/>
          <w:i/>
          <w:iCs/>
          <w:sz w:val="20"/>
          <w:szCs w:val="20"/>
        </w:rPr>
        <w:t>Contemporary Literature</w:t>
      </w:r>
      <w:r w:rsidRPr="001D5720">
        <w:rPr>
          <w:rFonts w:ascii="Arial" w:hAnsi="Arial" w:cs="Arial"/>
          <w:sz w:val="20"/>
          <w:szCs w:val="20"/>
        </w:rPr>
        <w:t>. 38.3 (Fall 1997): 483-509.</w:t>
      </w:r>
    </w:p>
    <w:p w:rsidR="002E727A" w:rsidRDefault="002E727A" w:rsidP="00930346">
      <w:pPr>
        <w:pBdr>
          <w:bottom w:val="single" w:sz="12" w:space="1" w:color="auto"/>
        </w:pBdr>
        <w:rPr>
          <w:rFonts w:ascii="Arial" w:hAnsi="Arial" w:cs="Arial"/>
          <w:sz w:val="20"/>
          <w:szCs w:val="20"/>
        </w:rPr>
      </w:pPr>
    </w:p>
    <w:p w:rsidR="002E727A" w:rsidRDefault="002E727A" w:rsidP="00930346">
      <w:pPr>
        <w:rPr>
          <w:rFonts w:ascii="Arial" w:hAnsi="Arial" w:cs="Arial"/>
          <w:sz w:val="20"/>
          <w:szCs w:val="20"/>
        </w:rPr>
      </w:pPr>
    </w:p>
    <w:p w:rsidR="002E727A" w:rsidRPr="009760CA" w:rsidRDefault="002E727A" w:rsidP="009760CA">
      <w:pPr>
        <w:rPr>
          <w:rFonts w:ascii="Arial" w:hAnsi="Arial" w:cs="Arial"/>
          <w:b/>
          <w:bCs/>
          <w:sz w:val="20"/>
          <w:szCs w:val="20"/>
        </w:rPr>
      </w:pPr>
      <w:r w:rsidRPr="009760CA">
        <w:rPr>
          <w:rFonts w:ascii="Arial" w:hAnsi="Arial" w:cs="Arial"/>
          <w:b/>
          <w:bCs/>
          <w:sz w:val="20"/>
          <w:szCs w:val="20"/>
        </w:rPr>
        <w:t>Dr Rebecca D’Monté</w:t>
      </w:r>
    </w:p>
    <w:p w:rsidR="002E727A" w:rsidRPr="00F81D84" w:rsidRDefault="002E727A" w:rsidP="00930346">
      <w:pPr>
        <w:pStyle w:val="Heading1"/>
        <w:rPr>
          <w:rFonts w:ascii="Arial" w:hAnsi="Arial" w:cs="Arial"/>
          <w:sz w:val="20"/>
          <w:szCs w:val="20"/>
        </w:rPr>
      </w:pPr>
      <w:r w:rsidRPr="00F81D84">
        <w:rPr>
          <w:rFonts w:ascii="Arial" w:hAnsi="Arial" w:cs="Arial"/>
          <w:sz w:val="20"/>
          <w:szCs w:val="20"/>
        </w:rPr>
        <w:t>‘The Home Front: Women Dramatists during the Second World War’</w:t>
      </w:r>
    </w:p>
    <w:p w:rsidR="002E727A" w:rsidRPr="00930346" w:rsidRDefault="002E727A" w:rsidP="00930346">
      <w:pPr>
        <w:pStyle w:val="BodyText"/>
        <w:spacing w:line="360" w:lineRule="auto"/>
        <w:rPr>
          <w:rFonts w:ascii="Arial" w:hAnsi="Arial" w:cs="Arial"/>
          <w:sz w:val="20"/>
          <w:szCs w:val="20"/>
        </w:rPr>
      </w:pPr>
    </w:p>
    <w:p w:rsidR="002E727A" w:rsidRPr="00930346" w:rsidRDefault="002E727A" w:rsidP="00F85521">
      <w:pPr>
        <w:pStyle w:val="BodyText"/>
        <w:jc w:val="both"/>
        <w:rPr>
          <w:rFonts w:ascii="Arial" w:hAnsi="Arial" w:cs="Arial"/>
          <w:sz w:val="20"/>
          <w:szCs w:val="20"/>
        </w:rPr>
      </w:pPr>
      <w:r w:rsidRPr="00930346">
        <w:rPr>
          <w:rFonts w:ascii="Arial" w:hAnsi="Arial" w:cs="Arial"/>
          <w:sz w:val="20"/>
          <w:szCs w:val="20"/>
        </w:rPr>
        <w:t xml:space="preserve">The Second World War saw a greater blurring of the political and domestic spheres than ever before, with men, women and children involved for the first time in what became known as the ‘People’s War’. Indeed, the Front line had merged with the Home to become the Home Front. Whilst much has been written about the way in which female novelists such as Elizabeth Bowen, Rosamond Lehmann and Rose Macaulay depicted the home during wartime, there has been less emphasis on the contribution of women dramatists. Yet a quick glance at the titles of plays written by women at this time show the importance for them of portraying the home: for example, </w:t>
      </w:r>
      <w:r w:rsidRPr="00930346">
        <w:rPr>
          <w:rFonts w:ascii="Arial" w:hAnsi="Arial" w:cs="Arial"/>
          <w:i/>
          <w:iCs/>
          <w:sz w:val="20"/>
          <w:szCs w:val="20"/>
        </w:rPr>
        <w:t>A House in the Square</w:t>
      </w:r>
      <w:r w:rsidRPr="00930346">
        <w:rPr>
          <w:rFonts w:ascii="Arial" w:hAnsi="Arial" w:cs="Arial"/>
          <w:sz w:val="20"/>
          <w:szCs w:val="20"/>
        </w:rPr>
        <w:t xml:space="preserve"> (Diana Morgan, 1940), </w:t>
      </w:r>
      <w:r w:rsidRPr="00930346">
        <w:rPr>
          <w:rFonts w:ascii="Arial" w:hAnsi="Arial" w:cs="Arial"/>
          <w:i/>
          <w:iCs/>
          <w:sz w:val="20"/>
          <w:szCs w:val="20"/>
        </w:rPr>
        <w:t>Under One Roof</w:t>
      </w:r>
      <w:r w:rsidRPr="00930346">
        <w:rPr>
          <w:rFonts w:ascii="Arial" w:hAnsi="Arial" w:cs="Arial"/>
          <w:sz w:val="20"/>
          <w:szCs w:val="20"/>
        </w:rPr>
        <w:t xml:space="preserve"> (Kim Peacock, 1941), </w:t>
      </w:r>
      <w:r w:rsidRPr="00930346">
        <w:rPr>
          <w:rFonts w:ascii="Arial" w:hAnsi="Arial" w:cs="Arial"/>
          <w:i/>
          <w:iCs/>
          <w:sz w:val="20"/>
          <w:szCs w:val="20"/>
        </w:rPr>
        <w:t>Other People’s Houses</w:t>
      </w:r>
      <w:r w:rsidRPr="00930346">
        <w:rPr>
          <w:rFonts w:ascii="Arial" w:hAnsi="Arial" w:cs="Arial"/>
          <w:sz w:val="20"/>
          <w:szCs w:val="20"/>
        </w:rPr>
        <w:t xml:space="preserve"> (Lynne Dexter, 1941), </w:t>
      </w:r>
      <w:r w:rsidRPr="00930346">
        <w:rPr>
          <w:rFonts w:ascii="Arial" w:hAnsi="Arial" w:cs="Arial"/>
          <w:i/>
          <w:iCs/>
          <w:sz w:val="20"/>
          <w:szCs w:val="20"/>
        </w:rPr>
        <w:t>Living Room</w:t>
      </w:r>
      <w:r w:rsidRPr="00930346">
        <w:rPr>
          <w:rFonts w:ascii="Arial" w:hAnsi="Arial" w:cs="Arial"/>
          <w:sz w:val="20"/>
          <w:szCs w:val="20"/>
        </w:rPr>
        <w:t xml:space="preserve"> (Esther McCracken, 1943), and </w:t>
      </w:r>
      <w:r w:rsidRPr="00930346">
        <w:rPr>
          <w:rFonts w:ascii="Arial" w:hAnsi="Arial" w:cs="Arial"/>
          <w:i/>
          <w:iCs/>
          <w:sz w:val="20"/>
          <w:szCs w:val="20"/>
        </w:rPr>
        <w:t>Alana Avenue</w:t>
      </w:r>
      <w:r w:rsidRPr="00930346">
        <w:rPr>
          <w:rFonts w:ascii="Arial" w:hAnsi="Arial" w:cs="Arial"/>
          <w:sz w:val="20"/>
          <w:szCs w:val="20"/>
        </w:rPr>
        <w:t xml:space="preserve"> (Mabel and Denis Constanduros, 1942).</w:t>
      </w:r>
    </w:p>
    <w:p w:rsidR="002E727A" w:rsidRPr="00930346" w:rsidRDefault="002E727A" w:rsidP="00F85521">
      <w:pPr>
        <w:jc w:val="both"/>
        <w:rPr>
          <w:rFonts w:ascii="Arial" w:hAnsi="Arial" w:cs="Arial"/>
          <w:sz w:val="20"/>
          <w:szCs w:val="20"/>
        </w:rPr>
      </w:pPr>
    </w:p>
    <w:p w:rsidR="002E727A" w:rsidRPr="00F81D84" w:rsidRDefault="002E727A" w:rsidP="00F85521">
      <w:pPr>
        <w:jc w:val="both"/>
        <w:rPr>
          <w:rFonts w:ascii="Arial" w:hAnsi="Arial" w:cs="Arial"/>
          <w:sz w:val="20"/>
          <w:szCs w:val="20"/>
        </w:rPr>
      </w:pPr>
      <w:r w:rsidRPr="00930346">
        <w:rPr>
          <w:rFonts w:ascii="Arial" w:hAnsi="Arial" w:cs="Arial"/>
          <w:sz w:val="20"/>
          <w:szCs w:val="20"/>
        </w:rPr>
        <w:t>Theatrical representations of the home between 1939-1945 mainly fall</w:t>
      </w:r>
      <w:r w:rsidRPr="00F81D84">
        <w:rPr>
          <w:rFonts w:ascii="Arial" w:hAnsi="Arial" w:cs="Arial"/>
          <w:sz w:val="20"/>
          <w:szCs w:val="20"/>
        </w:rPr>
        <w:t xml:space="preserve"> into three categories, all of which show the tensions between conscripting women into the war effort, and the ideal of the woman who keeps the home fires burning, as well as the importance of showing what could be lost if Britain did not win the war. Firstly, there is the Gothic threat, where the house itself symbolizes the process of menace, decay, and insecurity witnessed in everyday life (</w:t>
      </w:r>
      <w:r w:rsidRPr="00F81D84">
        <w:rPr>
          <w:rFonts w:ascii="Arial" w:hAnsi="Arial" w:cs="Arial"/>
          <w:i/>
          <w:iCs/>
          <w:sz w:val="20"/>
          <w:szCs w:val="20"/>
        </w:rPr>
        <w:t>Ten Little Niggers</w:t>
      </w:r>
      <w:r w:rsidRPr="00F81D84">
        <w:rPr>
          <w:rFonts w:ascii="Arial" w:hAnsi="Arial" w:cs="Arial"/>
          <w:sz w:val="20"/>
          <w:szCs w:val="20"/>
        </w:rPr>
        <w:t xml:space="preserve">, Agatha Christie; </w:t>
      </w:r>
      <w:r w:rsidRPr="00F81D84">
        <w:rPr>
          <w:rFonts w:ascii="Arial" w:hAnsi="Arial" w:cs="Arial"/>
          <w:i/>
          <w:iCs/>
          <w:sz w:val="20"/>
          <w:szCs w:val="20"/>
        </w:rPr>
        <w:t>Rebecca</w:t>
      </w:r>
      <w:r w:rsidRPr="00F81D84">
        <w:rPr>
          <w:rFonts w:ascii="Arial" w:hAnsi="Arial" w:cs="Arial"/>
          <w:sz w:val="20"/>
          <w:szCs w:val="20"/>
        </w:rPr>
        <w:t xml:space="preserve">, Daphne du Maurier). </w:t>
      </w:r>
      <w:r w:rsidRPr="00F81D84">
        <w:rPr>
          <w:rFonts w:ascii="Arial" w:hAnsi="Arial" w:cs="Arial"/>
          <w:i/>
          <w:iCs/>
          <w:sz w:val="20"/>
          <w:szCs w:val="20"/>
        </w:rPr>
        <w:t xml:space="preserve"> </w:t>
      </w:r>
      <w:r w:rsidRPr="00F81D84">
        <w:rPr>
          <w:rFonts w:ascii="Arial" w:hAnsi="Arial" w:cs="Arial"/>
          <w:sz w:val="20"/>
          <w:szCs w:val="20"/>
        </w:rPr>
        <w:t>Secondly, there is the notion of the pastoral idyll, which portrays the village and surrounding countryside as an essential part of English history (</w:t>
      </w:r>
      <w:r w:rsidRPr="00F81D84">
        <w:rPr>
          <w:rFonts w:ascii="Arial" w:hAnsi="Arial" w:cs="Arial"/>
          <w:i/>
          <w:iCs/>
          <w:sz w:val="20"/>
          <w:szCs w:val="20"/>
        </w:rPr>
        <w:t>Quiet Week-End</w:t>
      </w:r>
      <w:r w:rsidRPr="00F81D84">
        <w:rPr>
          <w:rFonts w:ascii="Arial" w:hAnsi="Arial" w:cs="Arial"/>
          <w:sz w:val="20"/>
          <w:szCs w:val="20"/>
        </w:rPr>
        <w:t>, Esther McCracken). Finally a number of plays depict the domestic community, which bonds together for the common cause (</w:t>
      </w:r>
      <w:r w:rsidRPr="00F81D84">
        <w:rPr>
          <w:rFonts w:ascii="Arial" w:hAnsi="Arial" w:cs="Arial"/>
          <w:i/>
          <w:iCs/>
          <w:sz w:val="20"/>
          <w:szCs w:val="20"/>
        </w:rPr>
        <w:t>Great Day</w:t>
      </w:r>
      <w:r w:rsidRPr="00F81D84">
        <w:rPr>
          <w:rFonts w:ascii="Arial" w:hAnsi="Arial" w:cs="Arial"/>
          <w:sz w:val="20"/>
          <w:szCs w:val="20"/>
        </w:rPr>
        <w:t xml:space="preserve">, Lesley Storm; </w:t>
      </w:r>
      <w:r w:rsidRPr="00F81D84">
        <w:rPr>
          <w:rFonts w:ascii="Arial" w:hAnsi="Arial" w:cs="Arial"/>
          <w:i/>
          <w:iCs/>
          <w:sz w:val="20"/>
          <w:szCs w:val="20"/>
        </w:rPr>
        <w:t>No Medals</w:t>
      </w:r>
      <w:r w:rsidRPr="00F81D84">
        <w:rPr>
          <w:rFonts w:ascii="Arial" w:hAnsi="Arial" w:cs="Arial"/>
          <w:sz w:val="20"/>
          <w:szCs w:val="20"/>
        </w:rPr>
        <w:t xml:space="preserve">, McCracken; </w:t>
      </w:r>
      <w:r w:rsidRPr="00F81D84">
        <w:rPr>
          <w:rFonts w:ascii="Arial" w:hAnsi="Arial" w:cs="Arial"/>
          <w:i/>
          <w:iCs/>
          <w:sz w:val="20"/>
          <w:szCs w:val="20"/>
        </w:rPr>
        <w:t>The Years Between</w:t>
      </w:r>
      <w:r w:rsidRPr="00F81D84">
        <w:rPr>
          <w:rFonts w:ascii="Arial" w:hAnsi="Arial" w:cs="Arial"/>
          <w:sz w:val="20"/>
          <w:szCs w:val="20"/>
        </w:rPr>
        <w:t xml:space="preserve">, du Maurier). </w:t>
      </w:r>
    </w:p>
    <w:p w:rsidR="002E727A" w:rsidRPr="00F81D84" w:rsidRDefault="002E727A" w:rsidP="00930346">
      <w:pPr>
        <w:rPr>
          <w:rFonts w:ascii="Arial" w:hAnsi="Arial" w:cs="Arial"/>
          <w:sz w:val="20"/>
          <w:szCs w:val="20"/>
        </w:rPr>
      </w:pPr>
    </w:p>
    <w:p w:rsidR="002E727A" w:rsidRPr="00F81D84" w:rsidRDefault="002E727A" w:rsidP="00F85521">
      <w:pPr>
        <w:jc w:val="both"/>
        <w:rPr>
          <w:rFonts w:ascii="Arial" w:hAnsi="Arial" w:cs="Arial"/>
          <w:sz w:val="20"/>
          <w:szCs w:val="20"/>
        </w:rPr>
      </w:pPr>
      <w:r w:rsidRPr="00F81D84">
        <w:rPr>
          <w:rFonts w:ascii="Arial" w:hAnsi="Arial" w:cs="Arial"/>
          <w:sz w:val="20"/>
          <w:szCs w:val="20"/>
        </w:rPr>
        <w:t xml:space="preserve">These plays are concerned with the fissures of fear or discontent bubbling under the domestic surface, or alternatively present a mythic view of the country at a time when working alongside one another becomes paramount for national security. In this way we can see that women dramatists of this period had much to say about the connections between gender and place, reflecting the blurring of private and public spheres taking place in </w:t>
      </w:r>
      <w:smartTag w:uri="urn:schemas-microsoft-com:office:smarttags" w:element="place">
        <w:smartTag w:uri="urn:schemas-microsoft-com:office:smarttags" w:element="country-region">
          <w:r w:rsidRPr="00F81D84">
            <w:rPr>
              <w:rFonts w:ascii="Arial" w:hAnsi="Arial" w:cs="Arial"/>
              <w:sz w:val="20"/>
              <w:szCs w:val="20"/>
            </w:rPr>
            <w:t>Britain</w:t>
          </w:r>
        </w:smartTag>
      </w:smartTag>
      <w:r w:rsidRPr="00F81D84">
        <w:rPr>
          <w:rFonts w:ascii="Arial" w:hAnsi="Arial" w:cs="Arial"/>
          <w:sz w:val="20"/>
          <w:szCs w:val="20"/>
        </w:rPr>
        <w:t xml:space="preserve"> at this time.</w:t>
      </w:r>
    </w:p>
    <w:p w:rsidR="002E727A" w:rsidRPr="001D5720" w:rsidRDefault="002E727A" w:rsidP="00930346">
      <w:pPr>
        <w:pBdr>
          <w:bottom w:val="single" w:sz="12" w:space="1" w:color="auto"/>
        </w:pBdr>
        <w:rPr>
          <w:rFonts w:ascii="Arial" w:hAnsi="Arial" w:cs="Arial"/>
          <w:sz w:val="20"/>
          <w:szCs w:val="20"/>
        </w:rPr>
      </w:pPr>
    </w:p>
    <w:p w:rsidR="002E727A" w:rsidRPr="00C0290D" w:rsidRDefault="002E727A">
      <w:pPr>
        <w:pStyle w:val="BodyText3"/>
        <w:tabs>
          <w:tab w:val="left" w:pos="6096"/>
        </w:tabs>
        <w:rPr>
          <w:rFonts w:ascii="Arial" w:hAnsi="Arial" w:cs="Arial"/>
          <w:color w:val="auto"/>
          <w:sz w:val="20"/>
          <w:szCs w:val="20"/>
        </w:rPr>
      </w:pPr>
    </w:p>
    <w:p w:rsidR="002E727A" w:rsidRPr="00571DD8" w:rsidRDefault="002E727A" w:rsidP="00930346">
      <w:pPr>
        <w:rPr>
          <w:rFonts w:ascii="Arial" w:hAnsi="Arial" w:cs="Arial"/>
          <w:sz w:val="20"/>
          <w:szCs w:val="20"/>
        </w:rPr>
      </w:pPr>
      <w:r w:rsidRPr="00B87727">
        <w:rPr>
          <w:rFonts w:ascii="Arial" w:hAnsi="Arial" w:cs="Arial"/>
          <w:b/>
          <w:bCs/>
          <w:sz w:val="20"/>
          <w:szCs w:val="20"/>
        </w:rPr>
        <w:t>Henriette Donner</w:t>
      </w:r>
    </w:p>
    <w:p w:rsidR="002E727A" w:rsidRPr="00B87727" w:rsidRDefault="002E727A" w:rsidP="00930346">
      <w:pPr>
        <w:rPr>
          <w:rFonts w:ascii="Arial" w:hAnsi="Arial" w:cs="Arial"/>
          <w:b/>
          <w:bCs/>
          <w:i/>
          <w:iCs/>
          <w:sz w:val="20"/>
          <w:szCs w:val="20"/>
        </w:rPr>
      </w:pPr>
      <w:r w:rsidRPr="00B87727">
        <w:rPr>
          <w:rFonts w:ascii="Arial" w:hAnsi="Arial" w:cs="Arial"/>
          <w:b/>
          <w:bCs/>
          <w:sz w:val="20"/>
          <w:szCs w:val="20"/>
        </w:rPr>
        <w:t xml:space="preserve">“Writing from the “Third Space”:  Charlotte Bronte’s </w:t>
      </w:r>
      <w:r w:rsidRPr="00B87727">
        <w:rPr>
          <w:rFonts w:ascii="Arial" w:hAnsi="Arial" w:cs="Arial"/>
          <w:b/>
          <w:bCs/>
          <w:i/>
          <w:iCs/>
          <w:sz w:val="20"/>
          <w:szCs w:val="20"/>
        </w:rPr>
        <w:t>Villette.</w:t>
      </w:r>
    </w:p>
    <w:p w:rsidR="002E727A" w:rsidRPr="00571DD8" w:rsidRDefault="002E727A" w:rsidP="00930346">
      <w:pPr>
        <w:rPr>
          <w:rFonts w:ascii="Arial" w:hAnsi="Arial" w:cs="Arial"/>
          <w:sz w:val="20"/>
          <w:szCs w:val="20"/>
        </w:rPr>
      </w:pPr>
    </w:p>
    <w:p w:rsidR="002E727A" w:rsidRPr="00571DD8" w:rsidRDefault="002E727A" w:rsidP="00F85521">
      <w:pPr>
        <w:jc w:val="both"/>
        <w:rPr>
          <w:rFonts w:ascii="Arial" w:hAnsi="Arial" w:cs="Arial"/>
          <w:sz w:val="20"/>
          <w:szCs w:val="20"/>
        </w:rPr>
      </w:pPr>
      <w:r w:rsidRPr="00571DD8">
        <w:rPr>
          <w:rFonts w:ascii="Arial" w:hAnsi="Arial" w:cs="Arial"/>
          <w:sz w:val="20"/>
          <w:szCs w:val="20"/>
        </w:rPr>
        <w:t xml:space="preserve">When Charlotte Bronte crossed the channel to teach English to young women in a </w:t>
      </w:r>
      <w:r w:rsidRPr="00571DD8">
        <w:rPr>
          <w:rFonts w:ascii="Arial" w:hAnsi="Arial" w:cs="Arial"/>
          <w:i/>
          <w:iCs/>
          <w:sz w:val="20"/>
          <w:szCs w:val="20"/>
        </w:rPr>
        <w:t xml:space="preserve">pensionnate </w:t>
      </w:r>
      <w:r w:rsidRPr="00571DD8">
        <w:rPr>
          <w:rFonts w:ascii="Arial" w:hAnsi="Arial" w:cs="Arial"/>
          <w:sz w:val="20"/>
          <w:szCs w:val="20"/>
        </w:rPr>
        <w:t>in</w:t>
      </w:r>
      <w:r w:rsidRPr="00571DD8">
        <w:rPr>
          <w:rFonts w:ascii="Arial" w:hAnsi="Arial" w:cs="Arial"/>
          <w:i/>
          <w:iCs/>
          <w:sz w:val="20"/>
          <w:szCs w:val="20"/>
        </w:rPr>
        <w:t xml:space="preserve"> </w:t>
      </w:r>
      <w:smartTag w:uri="urn:schemas-microsoft-com:office:smarttags" w:element="place">
        <w:smartTag w:uri="urn:schemas-microsoft-com:office:smarttags" w:element="City">
          <w:r w:rsidRPr="00571DD8">
            <w:rPr>
              <w:rFonts w:ascii="Arial" w:hAnsi="Arial" w:cs="Arial"/>
              <w:sz w:val="20"/>
              <w:szCs w:val="20"/>
            </w:rPr>
            <w:t>Brussels</w:t>
          </w:r>
        </w:smartTag>
      </w:smartTag>
      <w:r w:rsidRPr="00571DD8">
        <w:rPr>
          <w:rFonts w:ascii="Arial" w:hAnsi="Arial" w:cs="Arial"/>
          <w:sz w:val="20"/>
          <w:szCs w:val="20"/>
        </w:rPr>
        <w:t xml:space="preserve">, she crossed geographic, linguistic and cultural borders. Her novel, </w:t>
      </w:r>
      <w:r w:rsidRPr="00571DD8">
        <w:rPr>
          <w:rFonts w:ascii="Arial" w:hAnsi="Arial" w:cs="Arial"/>
          <w:i/>
          <w:iCs/>
          <w:sz w:val="20"/>
          <w:szCs w:val="20"/>
        </w:rPr>
        <w:t>Villette,</w:t>
      </w:r>
      <w:r w:rsidRPr="00571DD8">
        <w:rPr>
          <w:rFonts w:ascii="Arial" w:hAnsi="Arial" w:cs="Arial"/>
          <w:sz w:val="20"/>
          <w:szCs w:val="20"/>
        </w:rPr>
        <w:t xml:space="preserve"> inspired by her life and work during that time, creates cross-cultural reflections, and invites readers to reach a state of liminality similar to her own. </w:t>
      </w:r>
      <w:r w:rsidRPr="00571DD8">
        <w:rPr>
          <w:rStyle w:val="EndnoteReference"/>
          <w:rFonts w:ascii="Arial" w:hAnsi="Arial" w:cs="Arial"/>
          <w:sz w:val="20"/>
          <w:szCs w:val="20"/>
        </w:rPr>
        <w:endnoteReference w:id="2"/>
      </w:r>
      <w:r w:rsidRPr="00571DD8">
        <w:rPr>
          <w:rFonts w:ascii="Arial" w:hAnsi="Arial" w:cs="Arial"/>
          <w:sz w:val="20"/>
          <w:szCs w:val="20"/>
        </w:rPr>
        <w:t xml:space="preserve"> </w:t>
      </w:r>
    </w:p>
    <w:p w:rsidR="002E727A" w:rsidRPr="00571DD8" w:rsidRDefault="002E727A" w:rsidP="00F85521">
      <w:pPr>
        <w:jc w:val="both"/>
        <w:rPr>
          <w:rFonts w:ascii="Arial" w:hAnsi="Arial" w:cs="Arial"/>
          <w:sz w:val="20"/>
          <w:szCs w:val="20"/>
        </w:rPr>
      </w:pPr>
      <w:r w:rsidRPr="00571DD8">
        <w:rPr>
          <w:rFonts w:ascii="Arial" w:hAnsi="Arial" w:cs="Arial"/>
          <w:sz w:val="20"/>
          <w:szCs w:val="20"/>
        </w:rPr>
        <w:t>Bronte was not just another 19</w:t>
      </w:r>
      <w:r w:rsidRPr="00571DD8">
        <w:rPr>
          <w:rFonts w:ascii="Arial" w:hAnsi="Arial" w:cs="Arial"/>
          <w:sz w:val="20"/>
          <w:szCs w:val="20"/>
          <w:vertAlign w:val="superscript"/>
        </w:rPr>
        <w:t>th</w:t>
      </w:r>
      <w:r w:rsidRPr="00571DD8">
        <w:rPr>
          <w:rFonts w:ascii="Arial" w:hAnsi="Arial" w:cs="Arial"/>
          <w:sz w:val="20"/>
          <w:szCs w:val="20"/>
        </w:rPr>
        <w:t xml:space="preserve"> century woman traveler.  </w:t>
      </w:r>
      <w:r w:rsidRPr="00571DD8">
        <w:rPr>
          <w:rStyle w:val="EndnoteReference"/>
          <w:rFonts w:ascii="Arial" w:hAnsi="Arial" w:cs="Arial"/>
          <w:sz w:val="20"/>
          <w:szCs w:val="20"/>
        </w:rPr>
        <w:endnoteReference w:id="3"/>
      </w:r>
      <w:r w:rsidRPr="00571DD8">
        <w:rPr>
          <w:rFonts w:ascii="Arial" w:hAnsi="Arial" w:cs="Arial"/>
          <w:sz w:val="20"/>
          <w:szCs w:val="20"/>
        </w:rPr>
        <w:t xml:space="preserve"> She was an exile, an ex-patriate. She therefore writes from what has been called the “third space”:  she attempts a literature that is dynamically placed in the interstices of two nations.</w:t>
      </w:r>
      <w:r w:rsidRPr="00571DD8">
        <w:rPr>
          <w:rStyle w:val="EndnoteReference"/>
          <w:rFonts w:ascii="Arial" w:hAnsi="Arial" w:cs="Arial"/>
          <w:sz w:val="20"/>
          <w:szCs w:val="20"/>
        </w:rPr>
        <w:endnoteReference w:id="4"/>
      </w:r>
      <w:r w:rsidRPr="00571DD8">
        <w:rPr>
          <w:rFonts w:ascii="Arial" w:hAnsi="Arial" w:cs="Arial"/>
          <w:sz w:val="20"/>
          <w:szCs w:val="20"/>
        </w:rPr>
        <w:t xml:space="preserve">  </w:t>
      </w:r>
    </w:p>
    <w:p w:rsidR="002E727A" w:rsidRPr="00571DD8" w:rsidRDefault="002E727A" w:rsidP="00F85521">
      <w:pPr>
        <w:jc w:val="both"/>
        <w:rPr>
          <w:rFonts w:ascii="Arial" w:hAnsi="Arial" w:cs="Arial"/>
          <w:sz w:val="20"/>
          <w:szCs w:val="20"/>
        </w:rPr>
      </w:pPr>
      <w:r w:rsidRPr="00571DD8">
        <w:rPr>
          <w:rFonts w:ascii="Arial" w:hAnsi="Arial" w:cs="Arial"/>
          <w:sz w:val="20"/>
          <w:szCs w:val="20"/>
        </w:rPr>
        <w:t>Bronte’s novel, is speckled with French words and phrases.  The city of Brussels is disguised as “</w:t>
      </w:r>
      <w:r w:rsidRPr="00571DD8">
        <w:rPr>
          <w:rFonts w:ascii="Arial" w:hAnsi="Arial" w:cs="Arial"/>
          <w:i/>
          <w:iCs/>
          <w:sz w:val="20"/>
          <w:szCs w:val="20"/>
        </w:rPr>
        <w:t xml:space="preserve">Villette” </w:t>
      </w:r>
      <w:r w:rsidRPr="00571DD8">
        <w:rPr>
          <w:rFonts w:ascii="Arial" w:hAnsi="Arial" w:cs="Arial"/>
          <w:sz w:val="20"/>
          <w:szCs w:val="20"/>
        </w:rPr>
        <w:t xml:space="preserve">in </w:t>
      </w:r>
      <w:r w:rsidRPr="00571DD8">
        <w:rPr>
          <w:rFonts w:ascii="Arial" w:hAnsi="Arial" w:cs="Arial"/>
          <w:i/>
          <w:iCs/>
          <w:sz w:val="20"/>
          <w:szCs w:val="20"/>
        </w:rPr>
        <w:t>Labassecour</w:t>
      </w:r>
      <w:r w:rsidRPr="00571DD8">
        <w:rPr>
          <w:rFonts w:ascii="Arial" w:hAnsi="Arial" w:cs="Arial"/>
          <w:sz w:val="20"/>
          <w:szCs w:val="20"/>
        </w:rPr>
        <w:t xml:space="preserve">  (Belgium).  Both stand for “French” culture.  In the novel, a young English woman, Lucy, is forced to exist and survive inside an “alien” social frame. She needs to interact with another cultural style based on unfamiliar conventions. The daily rituals of life and work challenge her to translate them to herself, to respond, and to integrate these challenges with what she had learned and assumed to know about the world.  She constructs an identity for herself from remembered English habits and traditions. She develops a habit of comparison. </w:t>
      </w:r>
    </w:p>
    <w:p w:rsidR="002E727A" w:rsidRPr="00571DD8" w:rsidRDefault="002E727A" w:rsidP="00F85521">
      <w:pPr>
        <w:jc w:val="both"/>
        <w:rPr>
          <w:rFonts w:ascii="Arial" w:hAnsi="Arial" w:cs="Arial"/>
          <w:sz w:val="20"/>
          <w:szCs w:val="20"/>
        </w:rPr>
      </w:pPr>
      <w:r w:rsidRPr="00571DD8">
        <w:rPr>
          <w:rFonts w:ascii="Arial" w:hAnsi="Arial" w:cs="Arial"/>
          <w:sz w:val="20"/>
          <w:szCs w:val="20"/>
        </w:rPr>
        <w:t>Throughout her stay in Villette, Lucy reaches many liminal moments. In these liminal frames she is a universal being in a particular location at a particular time. Such moments give her a sense of rightfully belonging to Villette. The final stage of liminality is entered when Lucy begins to find pleasure in deeper contact with and seeming immersion into Villette’s (French) cultural life. This new awareness works as a cure on her growing affection for Graham, an English physician exercising his profession in Villette. The more she experiments with French cultural identity, the more she realizes that Graham’s “type” would never venture into new cultural territory. The novel concludes with the possible success or failure of Lucy’s hopes to set up matrimony with M Paul Emmanuel – her former fellow teacher, a French Anglophile and a Catholic.  With this conclusion, Bronte shows us Lucy’s willingness to create a new identity, neither English, nor French, but fluid, to be decided by possibilities offered and withheld by the future. With this fluidity concerning identity, the novel can be said to be a 19</w:t>
      </w:r>
      <w:r w:rsidRPr="00571DD8">
        <w:rPr>
          <w:rFonts w:ascii="Arial" w:hAnsi="Arial" w:cs="Arial"/>
          <w:sz w:val="20"/>
          <w:szCs w:val="20"/>
          <w:vertAlign w:val="superscript"/>
        </w:rPr>
        <w:t>th</w:t>
      </w:r>
      <w:r w:rsidRPr="00571DD8">
        <w:rPr>
          <w:rFonts w:ascii="Arial" w:hAnsi="Arial" w:cs="Arial"/>
          <w:sz w:val="20"/>
          <w:szCs w:val="20"/>
        </w:rPr>
        <w:t xml:space="preserve"> century version of literature of the “Third Space”, the space occupied by individuals in migration creating new meanings in culture. </w:t>
      </w:r>
    </w:p>
    <w:p w:rsidR="002E727A" w:rsidRDefault="002E727A">
      <w:pPr>
        <w:pStyle w:val="BodyText3"/>
        <w:tabs>
          <w:tab w:val="left" w:pos="6096"/>
        </w:tabs>
        <w:rPr>
          <w:rFonts w:ascii="Arial" w:hAnsi="Arial" w:cs="Arial"/>
          <w:color w:val="auto"/>
          <w:sz w:val="20"/>
          <w:szCs w:val="20"/>
        </w:rPr>
      </w:pPr>
    </w:p>
    <w:p w:rsidR="002E727A" w:rsidRDefault="002E727A" w:rsidP="00930346">
      <w:pPr>
        <w:pStyle w:val="EndnoteText"/>
      </w:pPr>
      <w:r>
        <w:rPr>
          <w:rStyle w:val="EndnoteReference"/>
        </w:rPr>
        <w:footnoteRef/>
      </w:r>
      <w:r>
        <w:t xml:space="preserve"> 1853, London: Wordsworth Editions Limited, 1993. </w:t>
      </w:r>
    </w:p>
    <w:p w:rsidR="002E727A" w:rsidRDefault="002E727A" w:rsidP="00930346">
      <w:pPr>
        <w:pStyle w:val="EndnoteText"/>
      </w:pPr>
      <w:r>
        <w:rPr>
          <w:rStyle w:val="EndnoteReference"/>
        </w:rPr>
        <w:footnoteRef/>
      </w:r>
      <w:r>
        <w:t xml:space="preserve"> </w:t>
      </w:r>
      <w:r w:rsidRPr="001F3752">
        <w:rPr>
          <w:rFonts w:ascii="Book Antiqua" w:hAnsi="Book Antiqua" w:cs="Book Antiqua"/>
          <w:sz w:val="22"/>
          <w:szCs w:val="22"/>
        </w:rPr>
        <w:t>John</w:t>
      </w:r>
      <w:r>
        <w:rPr>
          <w:rFonts w:ascii="Book Antiqua" w:hAnsi="Book Antiqua" w:cs="Book Antiqua"/>
          <w:i/>
          <w:iCs/>
          <w:sz w:val="22"/>
          <w:szCs w:val="22"/>
        </w:rPr>
        <w:t xml:space="preserve"> </w:t>
      </w:r>
      <w:r>
        <w:rPr>
          <w:rFonts w:ascii="Book Antiqua" w:hAnsi="Book Antiqua" w:cs="Book Antiqua"/>
          <w:sz w:val="22"/>
          <w:szCs w:val="22"/>
        </w:rPr>
        <w:t>Theakstone</w:t>
      </w:r>
      <w:r w:rsidRPr="004229E4">
        <w:rPr>
          <w:rFonts w:ascii="Book Antiqua" w:hAnsi="Book Antiqua" w:cs="Book Antiqua"/>
          <w:i/>
          <w:iCs/>
          <w:sz w:val="22"/>
          <w:szCs w:val="22"/>
        </w:rPr>
        <w:t xml:space="preserve"> "Victorian &amp; Edwardian women travelers: a bibliography</w:t>
      </w:r>
      <w:r>
        <w:rPr>
          <w:rFonts w:ascii="Book Antiqua" w:hAnsi="Book Antiqua" w:cs="Book Antiqua"/>
          <w:i/>
          <w:iCs/>
          <w:sz w:val="22"/>
          <w:szCs w:val="22"/>
        </w:rPr>
        <w:t xml:space="preserve"> of books published in English.: </w:t>
      </w:r>
      <w:r w:rsidRPr="001F3752">
        <w:rPr>
          <w:rFonts w:ascii="Book Antiqua" w:hAnsi="Book Antiqua" w:cs="Book Antiqua"/>
          <w:sz w:val="22"/>
          <w:szCs w:val="22"/>
        </w:rPr>
        <w:t>Mansfield Center, CT: Martino, 2006</w:t>
      </w:r>
    </w:p>
    <w:p w:rsidR="002E727A" w:rsidRDefault="002E727A" w:rsidP="00930346">
      <w:pPr>
        <w:pStyle w:val="BodyText3"/>
        <w:pBdr>
          <w:bottom w:val="single" w:sz="12" w:space="1" w:color="auto"/>
        </w:pBdr>
        <w:tabs>
          <w:tab w:val="left" w:pos="6096"/>
        </w:tabs>
        <w:rPr>
          <w:color w:val="auto"/>
        </w:rPr>
      </w:pPr>
      <w:r w:rsidRPr="00930346">
        <w:rPr>
          <w:rStyle w:val="EndnoteReference"/>
          <w:color w:val="auto"/>
        </w:rPr>
        <w:footnoteRef/>
      </w:r>
      <w:r w:rsidRPr="00930346">
        <w:rPr>
          <w:color w:val="auto"/>
        </w:rPr>
        <w:t xml:space="preserve"> The concept of a Third Space has been advanced by Homi Bhabha - referring to the intersteciality of 'halfway populations' in modern contexts of migration. In this paper I apply it to Bronte in the context of being an exile, with some connection to England through the family of Mrs. Graham. I thank Sharif Gemie, for introducing me to this concept at a recent conference, through his paper “Between Two Worlds: Exiled Women, Radical Criticism and Muslim Countries”.</w:t>
      </w:r>
    </w:p>
    <w:p w:rsidR="002E727A" w:rsidRPr="00930346" w:rsidRDefault="002E727A" w:rsidP="00930346">
      <w:pPr>
        <w:pStyle w:val="BodyText3"/>
        <w:pBdr>
          <w:bottom w:val="single" w:sz="12" w:space="1" w:color="auto"/>
        </w:pBdr>
        <w:tabs>
          <w:tab w:val="left" w:pos="6096"/>
        </w:tabs>
        <w:rPr>
          <w:rFonts w:ascii="Arial" w:hAnsi="Arial" w:cs="Arial"/>
          <w:color w:val="auto"/>
          <w:sz w:val="20"/>
          <w:szCs w:val="20"/>
        </w:rPr>
      </w:pPr>
    </w:p>
    <w:p w:rsidR="002E727A" w:rsidRPr="00C0290D" w:rsidRDefault="002E727A">
      <w:pPr>
        <w:pStyle w:val="BodyText3"/>
        <w:tabs>
          <w:tab w:val="left" w:pos="6096"/>
        </w:tabs>
        <w:rPr>
          <w:rFonts w:ascii="Arial" w:hAnsi="Arial" w:cs="Arial"/>
          <w:color w:val="auto"/>
          <w:sz w:val="20"/>
          <w:szCs w:val="20"/>
        </w:rPr>
      </w:pPr>
    </w:p>
    <w:p w:rsidR="002E727A" w:rsidRPr="00C70FF8" w:rsidRDefault="002E727A" w:rsidP="00F85521">
      <w:pPr>
        <w:rPr>
          <w:rFonts w:ascii="Arial" w:hAnsi="Arial" w:cs="Arial"/>
          <w:sz w:val="20"/>
          <w:szCs w:val="20"/>
        </w:rPr>
      </w:pPr>
      <w:r w:rsidRPr="00AF4B39">
        <w:rPr>
          <w:rFonts w:ascii="Arial" w:hAnsi="Arial" w:cs="Arial"/>
          <w:b/>
          <w:bCs/>
          <w:sz w:val="20"/>
          <w:szCs w:val="20"/>
        </w:rPr>
        <w:t>Kate Garner</w:t>
      </w:r>
    </w:p>
    <w:p w:rsidR="002E727A" w:rsidRPr="00C70FF8" w:rsidRDefault="002E727A" w:rsidP="00F85521">
      <w:pPr>
        <w:rPr>
          <w:rFonts w:ascii="Arial" w:hAnsi="Arial" w:cs="Arial"/>
          <w:b/>
          <w:bCs/>
          <w:sz w:val="20"/>
          <w:szCs w:val="20"/>
        </w:rPr>
      </w:pPr>
      <w:r w:rsidRPr="00C70FF8">
        <w:rPr>
          <w:rFonts w:ascii="Arial" w:hAnsi="Arial" w:cs="Arial"/>
          <w:b/>
          <w:bCs/>
          <w:sz w:val="20"/>
          <w:szCs w:val="20"/>
        </w:rPr>
        <w:t xml:space="preserve">‘Her human geography sublime’: Mapping the female body in George Eliot’s ‘Janet’s Repentance’ and Kate Atkinson’s </w:t>
      </w:r>
      <w:r w:rsidRPr="00C70FF8">
        <w:rPr>
          <w:rFonts w:ascii="Arial" w:hAnsi="Arial" w:cs="Arial"/>
          <w:b/>
          <w:bCs/>
          <w:i/>
          <w:iCs/>
          <w:sz w:val="20"/>
          <w:szCs w:val="20"/>
        </w:rPr>
        <w:t>Human Croquet</w:t>
      </w:r>
    </w:p>
    <w:p w:rsidR="002E727A" w:rsidRPr="00C70FF8" w:rsidRDefault="002E727A" w:rsidP="00F85521">
      <w:pPr>
        <w:rPr>
          <w:rFonts w:ascii="Arial" w:hAnsi="Arial" w:cs="Arial"/>
          <w:sz w:val="20"/>
          <w:szCs w:val="20"/>
        </w:rPr>
      </w:pPr>
    </w:p>
    <w:p w:rsidR="002E727A" w:rsidRPr="00C70FF8" w:rsidRDefault="002E727A" w:rsidP="00F85521">
      <w:pPr>
        <w:jc w:val="both"/>
        <w:rPr>
          <w:rFonts w:ascii="Arial" w:hAnsi="Arial" w:cs="Arial"/>
          <w:sz w:val="20"/>
          <w:szCs w:val="20"/>
        </w:rPr>
      </w:pPr>
      <w:r w:rsidRPr="00C70FF8">
        <w:rPr>
          <w:rFonts w:ascii="Arial" w:hAnsi="Arial" w:cs="Arial"/>
          <w:sz w:val="20"/>
          <w:szCs w:val="20"/>
        </w:rPr>
        <w:t xml:space="preserve">This paper will explore the relationship between the female body and the map of the rural community through a comparative reading of George Eliot’s short story, ‘Janet’s Repentance’ (1858) and Kate Atkinson’s </w:t>
      </w:r>
      <w:r w:rsidRPr="00C70FF8">
        <w:rPr>
          <w:rFonts w:ascii="Arial" w:hAnsi="Arial" w:cs="Arial"/>
          <w:i/>
          <w:iCs/>
          <w:sz w:val="20"/>
          <w:szCs w:val="20"/>
        </w:rPr>
        <w:t>Human Croquet</w:t>
      </w:r>
      <w:r w:rsidRPr="00C70FF8">
        <w:rPr>
          <w:rFonts w:ascii="Arial" w:hAnsi="Arial" w:cs="Arial"/>
          <w:sz w:val="20"/>
          <w:szCs w:val="20"/>
        </w:rPr>
        <w:t xml:space="preserve"> (1997). Informed by Julia Kristeva and Teresa de Lauretis’ writing on the feminine aspects of landscape, I will explore how both writers map their ‘mother-town[s]’ in order to establish the contrasting isolation of their heroines. In both texts, it is possible to discern a paradox between the depiction of the mother(-town) as a home for ‘wandering men’ and the use of female-orientated linguistics to exile the heroine to ‘the outskirts of town’. The female body is used as a recurrent and dialectical metaphor for both the inclusion and exclusion of women from rural spaces. </w:t>
      </w:r>
    </w:p>
    <w:p w:rsidR="002E727A" w:rsidRPr="00C70FF8" w:rsidRDefault="002E727A" w:rsidP="00F85521">
      <w:pPr>
        <w:ind w:firstLine="720"/>
        <w:jc w:val="both"/>
        <w:rPr>
          <w:rFonts w:ascii="Arial" w:hAnsi="Arial" w:cs="Arial"/>
          <w:sz w:val="20"/>
          <w:szCs w:val="20"/>
        </w:rPr>
      </w:pPr>
      <w:r w:rsidRPr="00C70FF8">
        <w:rPr>
          <w:rFonts w:ascii="Arial" w:hAnsi="Arial" w:cs="Arial"/>
          <w:sz w:val="20"/>
          <w:szCs w:val="20"/>
        </w:rPr>
        <w:t xml:space="preserve">The position of the female on the border of spaces has received prominence in twentieth-century criticism as a result of Kristeva’s writings on feminine borders and liminality. Eliot’s eponymous protagonist is marginalised to the borders of Milby as she does not adhere to Victorian wifely ideals, and in Atkinson’s heavily intertextual novel, Isobel transgresses a multiplicity of spatial ‘borders’ across landscapes, histories, and texts. In </w:t>
      </w:r>
      <w:r w:rsidRPr="00C70FF8">
        <w:rPr>
          <w:rFonts w:ascii="Arial" w:hAnsi="Arial" w:cs="Arial"/>
          <w:i/>
          <w:iCs/>
          <w:sz w:val="20"/>
          <w:szCs w:val="20"/>
        </w:rPr>
        <w:t>Human Croquet</w:t>
      </w:r>
      <w:r w:rsidRPr="00C70FF8">
        <w:rPr>
          <w:rFonts w:ascii="Arial" w:hAnsi="Arial" w:cs="Arial"/>
          <w:sz w:val="20"/>
          <w:szCs w:val="20"/>
        </w:rPr>
        <w:t>, the contemporary woman has an unstable relationship with space; however, Eliot’s earlier short story supports Kristeva’s assertion that ‘this has always been so’.</w:t>
      </w:r>
    </w:p>
    <w:p w:rsidR="002E727A" w:rsidRDefault="002E727A" w:rsidP="00F85521">
      <w:pPr>
        <w:ind w:firstLine="720"/>
        <w:jc w:val="both"/>
        <w:rPr>
          <w:rFonts w:ascii="Arial" w:hAnsi="Arial" w:cs="Arial"/>
          <w:sz w:val="20"/>
          <w:szCs w:val="20"/>
        </w:rPr>
      </w:pPr>
      <w:r w:rsidRPr="00C70FF8">
        <w:rPr>
          <w:rFonts w:ascii="Arial" w:hAnsi="Arial" w:cs="Arial"/>
          <w:sz w:val="20"/>
          <w:szCs w:val="20"/>
        </w:rPr>
        <w:t xml:space="preserve"> ‘Place’ is sub-defined in the </w:t>
      </w:r>
      <w:r w:rsidRPr="00C70FF8">
        <w:rPr>
          <w:rFonts w:ascii="Arial" w:hAnsi="Arial" w:cs="Arial"/>
          <w:i/>
          <w:iCs/>
          <w:sz w:val="20"/>
          <w:szCs w:val="20"/>
        </w:rPr>
        <w:t>OED</w:t>
      </w:r>
      <w:r w:rsidRPr="00C70FF8">
        <w:rPr>
          <w:rFonts w:ascii="Arial" w:hAnsi="Arial" w:cs="Arial"/>
          <w:sz w:val="20"/>
          <w:szCs w:val="20"/>
        </w:rPr>
        <w:t xml:space="preserve"> as ‘</w:t>
      </w:r>
      <w:r w:rsidRPr="00C70FF8">
        <w:rPr>
          <w:rFonts w:ascii="Arial" w:hAnsi="Arial" w:cs="Arial"/>
          <w:sz w:val="20"/>
          <w:szCs w:val="20"/>
          <w:lang/>
        </w:rPr>
        <w:t xml:space="preserve">Space (esp. as contrasted with time); continuous or unbounded extension in every direction; extension in space. Now </w:t>
      </w:r>
      <w:r w:rsidRPr="00C70FF8">
        <w:rPr>
          <w:rFonts w:ascii="Arial" w:hAnsi="Arial" w:cs="Arial"/>
          <w:i/>
          <w:iCs/>
          <w:sz w:val="20"/>
          <w:szCs w:val="20"/>
          <w:lang/>
        </w:rPr>
        <w:t>rare</w:t>
      </w:r>
      <w:r w:rsidRPr="00C70FF8">
        <w:rPr>
          <w:rFonts w:ascii="Arial" w:hAnsi="Arial" w:cs="Arial"/>
          <w:sz w:val="20"/>
          <w:szCs w:val="20"/>
          <w:lang/>
        </w:rPr>
        <w:t>’. It is this dichotomy between the ‘unbounded extension’ of the feminine in relation to space, and a tendency for the corporal mapping of female bodies as metaphorical</w:t>
      </w:r>
      <w:r w:rsidRPr="00C70FF8">
        <w:rPr>
          <w:rFonts w:ascii="Arial" w:hAnsi="Arial" w:cs="Arial"/>
          <w:sz w:val="20"/>
          <w:szCs w:val="20"/>
        </w:rPr>
        <w:t xml:space="preserve"> ‘map[s] of the world’ which both texts explore. The town of Milby in ‘Janet’s Repentance’ and Lythe in </w:t>
      </w:r>
      <w:r w:rsidRPr="00C70FF8">
        <w:rPr>
          <w:rFonts w:ascii="Arial" w:hAnsi="Arial" w:cs="Arial"/>
          <w:i/>
          <w:iCs/>
          <w:sz w:val="20"/>
          <w:szCs w:val="20"/>
        </w:rPr>
        <w:t>Human Croquet</w:t>
      </w:r>
      <w:r w:rsidRPr="00C70FF8">
        <w:rPr>
          <w:rFonts w:ascii="Arial" w:hAnsi="Arial" w:cs="Arial"/>
          <w:sz w:val="20"/>
          <w:szCs w:val="20"/>
        </w:rPr>
        <w:t xml:space="preserve"> are far from rural idylls; rather, both spaces employ a vicious cartography that simultaneously threatens to exile and engulf the female body. </w:t>
      </w:r>
    </w:p>
    <w:p w:rsidR="002E727A" w:rsidRDefault="002E727A" w:rsidP="009760CA">
      <w:pPr>
        <w:pBdr>
          <w:bottom w:val="single" w:sz="12" w:space="1" w:color="auto"/>
        </w:pBdr>
        <w:jc w:val="both"/>
        <w:rPr>
          <w:rFonts w:ascii="Arial" w:hAnsi="Arial" w:cs="Arial"/>
          <w:sz w:val="20"/>
          <w:szCs w:val="20"/>
        </w:rPr>
      </w:pPr>
    </w:p>
    <w:p w:rsidR="002E727A" w:rsidRDefault="002E727A" w:rsidP="009760CA">
      <w:pPr>
        <w:jc w:val="both"/>
        <w:rPr>
          <w:rFonts w:ascii="Arial" w:hAnsi="Arial" w:cs="Arial"/>
          <w:sz w:val="20"/>
          <w:szCs w:val="20"/>
        </w:rPr>
      </w:pPr>
    </w:p>
    <w:p w:rsidR="002E727A" w:rsidRPr="00FA72D0" w:rsidRDefault="002E727A" w:rsidP="009760CA">
      <w:pPr>
        <w:rPr>
          <w:rFonts w:ascii="Arial" w:hAnsi="Arial" w:cs="Arial"/>
          <w:b/>
          <w:bCs/>
          <w:sz w:val="20"/>
          <w:szCs w:val="20"/>
        </w:rPr>
      </w:pPr>
      <w:r w:rsidRPr="00FA72D0">
        <w:rPr>
          <w:rFonts w:ascii="Arial" w:hAnsi="Arial" w:cs="Arial"/>
          <w:b/>
          <w:bCs/>
          <w:sz w:val="20"/>
          <w:szCs w:val="20"/>
        </w:rPr>
        <w:t>Ann Hoag</w:t>
      </w:r>
    </w:p>
    <w:p w:rsidR="002E727A" w:rsidRPr="003678B3" w:rsidRDefault="002E727A" w:rsidP="009760CA">
      <w:pPr>
        <w:rPr>
          <w:rFonts w:ascii="Arial" w:hAnsi="Arial" w:cs="Arial"/>
          <w:b/>
          <w:bCs/>
          <w:i/>
          <w:iCs/>
          <w:sz w:val="20"/>
          <w:szCs w:val="20"/>
        </w:rPr>
      </w:pPr>
      <w:r w:rsidRPr="003678B3">
        <w:rPr>
          <w:rFonts w:ascii="Arial" w:hAnsi="Arial" w:cs="Arial"/>
          <w:b/>
          <w:bCs/>
          <w:sz w:val="20"/>
          <w:szCs w:val="20"/>
        </w:rPr>
        <w:t xml:space="preserve">Re-Mapping Home: Rebecca West’s </w:t>
      </w:r>
      <w:r w:rsidRPr="003678B3">
        <w:rPr>
          <w:rFonts w:ascii="Arial" w:hAnsi="Arial" w:cs="Arial"/>
          <w:b/>
          <w:bCs/>
          <w:i/>
          <w:iCs/>
          <w:sz w:val="20"/>
          <w:szCs w:val="20"/>
        </w:rPr>
        <w:t>Black Lamb and Grey Falcon</w:t>
      </w:r>
    </w:p>
    <w:p w:rsidR="002E727A" w:rsidRPr="003678B3" w:rsidRDefault="002E727A" w:rsidP="009760CA">
      <w:pPr>
        <w:jc w:val="center"/>
        <w:rPr>
          <w:rFonts w:ascii="Arial" w:hAnsi="Arial" w:cs="Arial"/>
          <w:b/>
          <w:bCs/>
          <w:sz w:val="20"/>
          <w:szCs w:val="20"/>
        </w:rPr>
      </w:pPr>
    </w:p>
    <w:p w:rsidR="002E727A" w:rsidRDefault="002E727A" w:rsidP="009760CA">
      <w:pPr>
        <w:pBdr>
          <w:bottom w:val="single" w:sz="12" w:space="1" w:color="auto"/>
        </w:pBdr>
        <w:jc w:val="both"/>
        <w:rPr>
          <w:rFonts w:ascii="Arial" w:hAnsi="Arial" w:cs="Arial"/>
          <w:sz w:val="20"/>
          <w:szCs w:val="20"/>
        </w:rPr>
      </w:pPr>
      <w:r w:rsidRPr="003678B3">
        <w:rPr>
          <w:rFonts w:ascii="Arial" w:hAnsi="Arial" w:cs="Arial"/>
          <w:sz w:val="20"/>
          <w:szCs w:val="20"/>
        </w:rPr>
        <w:t xml:space="preserve">Any reader who casts even the most cursory glimpse at Rebecca West’s colossal 1942 text, </w:t>
      </w:r>
      <w:r w:rsidRPr="003678B3">
        <w:rPr>
          <w:rFonts w:ascii="Arial" w:hAnsi="Arial" w:cs="Arial"/>
          <w:i/>
          <w:iCs/>
          <w:sz w:val="20"/>
          <w:szCs w:val="20"/>
        </w:rPr>
        <w:t>Black Lamb and Grey Falcon: ‘A Journey through Yugoslavia,</w:t>
      </w:r>
      <w:r w:rsidRPr="003678B3">
        <w:rPr>
          <w:rFonts w:ascii="Arial" w:hAnsi="Arial" w:cs="Arial"/>
          <w:sz w:val="20"/>
          <w:szCs w:val="20"/>
        </w:rPr>
        <w:t xml:space="preserve">’ can attest that the work exceeds a mere journalistic record of the Balkans that the title suggests, and in many ways West’s writing reveals more about her perception of ‘home’ in England than it does about the geography ‘abroad.’  Persistently linking Yugoslavia and England, West suggests an integration of values that she associates with the Balkans into the framework of English identity.  I will argue in this paper that West was interested in rewriting the narrative of English nationalism with an incorporation of feminine voices.  West continually feminizes the Yugoslavian landscape as she illustrates the Balkans as a mystical world of imagination and memory, operating on a different temporal axis than her modern England.  Unsettled by the lack of women’s inclusion in England’s political sphere, West uses her experiences in Yugoslavia to envision a space for an alternative English identity which allows room for women’s participation.  Admittedly, West’s representations of gender within the immense text are diverse, occasionally contradictory, and frequently re-inscribe the gender binary, which makes overarching claims on her views about gender relations unfounded.  Yet while she doesn’t illustrate Yugoslavia as a place of individual women’s empowerment, she feminizes the whole of the landscape and history.  West does not present Yugoslavia as a feminist utopia, but she characterizes the nation as a representation of the feminine.  Re-mapping England onto Yugoslavia as she does with her frequent comparisons, West allegorically creates an imagined geography of a modified Britain which includes room for women as defined by her perceptions of femininity. </w:t>
      </w:r>
    </w:p>
    <w:p w:rsidR="002E727A" w:rsidRPr="003678B3" w:rsidRDefault="002E727A" w:rsidP="009760CA">
      <w:pPr>
        <w:pBdr>
          <w:bottom w:val="single" w:sz="12" w:space="1" w:color="auto"/>
        </w:pBdr>
        <w:jc w:val="both"/>
        <w:rPr>
          <w:rFonts w:ascii="Arial" w:hAnsi="Arial" w:cs="Arial"/>
          <w:sz w:val="20"/>
          <w:szCs w:val="20"/>
        </w:rPr>
      </w:pPr>
      <w:r w:rsidRPr="003678B3">
        <w:rPr>
          <w:rFonts w:ascii="Arial" w:hAnsi="Arial" w:cs="Arial"/>
          <w:sz w:val="20"/>
          <w:szCs w:val="20"/>
        </w:rPr>
        <w:t xml:space="preserve"> </w:t>
      </w:r>
    </w:p>
    <w:p w:rsidR="002E727A" w:rsidRDefault="002E727A" w:rsidP="009760CA">
      <w:pPr>
        <w:rPr>
          <w:rFonts w:ascii="Arial" w:hAnsi="Arial" w:cs="Arial"/>
          <w:sz w:val="20"/>
          <w:szCs w:val="20"/>
        </w:rPr>
      </w:pPr>
    </w:p>
    <w:p w:rsidR="002E727A" w:rsidRPr="00FD6492" w:rsidRDefault="002E727A" w:rsidP="009760CA">
      <w:pPr>
        <w:rPr>
          <w:rFonts w:ascii="Arial" w:hAnsi="Arial" w:cs="Arial"/>
          <w:b/>
          <w:bCs/>
          <w:sz w:val="20"/>
          <w:szCs w:val="20"/>
        </w:rPr>
      </w:pPr>
      <w:r w:rsidRPr="00FD6492">
        <w:rPr>
          <w:rFonts w:ascii="Arial" w:hAnsi="Arial" w:cs="Arial"/>
          <w:b/>
          <w:bCs/>
          <w:sz w:val="20"/>
          <w:szCs w:val="20"/>
        </w:rPr>
        <w:t>Mary Mullen</w:t>
      </w:r>
    </w:p>
    <w:p w:rsidR="002E727A" w:rsidRPr="000665B1" w:rsidRDefault="002E727A" w:rsidP="009760CA">
      <w:pPr>
        <w:spacing w:line="480" w:lineRule="auto"/>
        <w:rPr>
          <w:rFonts w:ascii="Arial" w:hAnsi="Arial" w:cs="Arial"/>
          <w:b/>
          <w:bCs/>
          <w:sz w:val="20"/>
          <w:szCs w:val="20"/>
        </w:rPr>
      </w:pPr>
      <w:r w:rsidRPr="000665B1">
        <w:rPr>
          <w:rFonts w:ascii="Arial" w:hAnsi="Arial" w:cs="Arial"/>
          <w:b/>
          <w:bCs/>
          <w:sz w:val="20"/>
          <w:szCs w:val="20"/>
        </w:rPr>
        <w:t xml:space="preserve">“The Space of the Age: Historicizing the Present in </w:t>
      </w:r>
      <w:r w:rsidRPr="000665B1">
        <w:rPr>
          <w:rFonts w:ascii="Arial" w:hAnsi="Arial" w:cs="Arial"/>
          <w:b/>
          <w:bCs/>
          <w:i/>
          <w:iCs/>
          <w:sz w:val="20"/>
          <w:szCs w:val="20"/>
        </w:rPr>
        <w:t>Aurora Leigh</w:t>
      </w:r>
      <w:r w:rsidRPr="000665B1">
        <w:rPr>
          <w:rFonts w:ascii="Arial" w:hAnsi="Arial" w:cs="Arial"/>
          <w:b/>
          <w:bCs/>
          <w:sz w:val="20"/>
          <w:szCs w:val="20"/>
        </w:rPr>
        <w:t xml:space="preserve">” </w:t>
      </w:r>
    </w:p>
    <w:p w:rsidR="002E727A" w:rsidRPr="00FD6492" w:rsidRDefault="002E727A" w:rsidP="009760CA">
      <w:pPr>
        <w:jc w:val="both"/>
        <w:rPr>
          <w:rFonts w:ascii="Arial" w:hAnsi="Arial" w:cs="Arial"/>
          <w:sz w:val="20"/>
          <w:szCs w:val="20"/>
        </w:rPr>
      </w:pPr>
      <w:r w:rsidRPr="00FD6492">
        <w:rPr>
          <w:rFonts w:ascii="Arial" w:hAnsi="Arial" w:cs="Arial"/>
          <w:sz w:val="20"/>
          <w:szCs w:val="20"/>
        </w:rPr>
        <w:t xml:space="preserve">This paper argues that by repeatedly suggesting that both poetic and historical spaces must be constructed, </w:t>
      </w:r>
      <w:r w:rsidRPr="00FD6492">
        <w:rPr>
          <w:rFonts w:ascii="Arial" w:hAnsi="Arial" w:cs="Arial"/>
          <w:i/>
          <w:iCs/>
          <w:sz w:val="20"/>
          <w:szCs w:val="20"/>
        </w:rPr>
        <w:t>Aurora Leigh</w:t>
      </w:r>
      <w:r w:rsidRPr="00FD6492">
        <w:rPr>
          <w:rFonts w:ascii="Arial" w:hAnsi="Arial" w:cs="Arial"/>
          <w:sz w:val="20"/>
          <w:szCs w:val="20"/>
        </w:rPr>
        <w:t xml:space="preserve"> complicates the notion of history as context.  While recent literary studies scholarship argues for theories that replace bounded, static forms with accounts of fluidity and flux – think for instance of the new mobility studies or the increasing presence of network theory – E. B. B.’s novel-poem argues that poets’ “sole work is to represent the age” as it promotes poetry precisely because it gives form or space to an otherwise fluid contemporary moment.  Paying particular attention to E. B. B.'s meta-reflection on poetry in the fifth book and Aurora's suggestion that poets' should possess a double-vision, I argue that E. B. B. repeatedly draws upon spatial metaphors to define the concept of an age, in part to give space to people, such as Marian Erle, who are excluded from official and often patriarchal history.  </w:t>
      </w:r>
    </w:p>
    <w:p w:rsidR="002E727A" w:rsidRPr="00FD6492" w:rsidRDefault="002E727A" w:rsidP="009760CA">
      <w:pPr>
        <w:jc w:val="both"/>
        <w:rPr>
          <w:rFonts w:ascii="Arial" w:hAnsi="Arial" w:cs="Arial"/>
          <w:sz w:val="20"/>
          <w:szCs w:val="20"/>
        </w:rPr>
      </w:pPr>
    </w:p>
    <w:p w:rsidR="002E727A" w:rsidRPr="00FD6492" w:rsidRDefault="002E727A" w:rsidP="009760CA">
      <w:pPr>
        <w:jc w:val="both"/>
        <w:rPr>
          <w:rFonts w:ascii="Arial" w:hAnsi="Arial" w:cs="Arial"/>
          <w:sz w:val="20"/>
          <w:szCs w:val="20"/>
        </w:rPr>
      </w:pPr>
      <w:r w:rsidRPr="00FD6492">
        <w:rPr>
          <w:rFonts w:ascii="Arial" w:hAnsi="Arial" w:cs="Arial"/>
          <w:sz w:val="20"/>
          <w:szCs w:val="20"/>
        </w:rPr>
        <w:t xml:space="preserve">Rather than seeing </w:t>
      </w:r>
      <w:r w:rsidRPr="00FD6492">
        <w:rPr>
          <w:rFonts w:ascii="Arial" w:hAnsi="Arial" w:cs="Arial"/>
          <w:i/>
          <w:iCs/>
          <w:sz w:val="20"/>
          <w:szCs w:val="20"/>
        </w:rPr>
        <w:t>Aurora Leigh</w:t>
      </w:r>
      <w:r w:rsidRPr="00FD6492">
        <w:rPr>
          <w:rFonts w:ascii="Arial" w:hAnsi="Arial" w:cs="Arial"/>
          <w:sz w:val="20"/>
          <w:szCs w:val="20"/>
        </w:rPr>
        <w:t xml:space="preserve"> as a text that dissolves boundaries then, I am interested in the ways that E.B.B. establishes boundaries in order to create a more inclusive historical form.  Ultimately, I argue that E.B.B’s spatial concept of the historical age reveals the limits of what contemporary scholarship calls ‘historical context.’  For E.B.B., history is not given and is certainly not a homogeneous space, but instead the product of a poetic “double-vision.” </w:t>
      </w:r>
    </w:p>
    <w:p w:rsidR="002E727A" w:rsidRDefault="002E727A" w:rsidP="009760CA">
      <w:pPr>
        <w:pBdr>
          <w:bottom w:val="single" w:sz="12" w:space="1" w:color="auto"/>
        </w:pBdr>
        <w:rPr>
          <w:rFonts w:ascii="Arial" w:hAnsi="Arial" w:cs="Arial"/>
          <w:sz w:val="20"/>
          <w:szCs w:val="20"/>
        </w:rPr>
      </w:pPr>
    </w:p>
    <w:p w:rsidR="002E727A" w:rsidRDefault="002E727A" w:rsidP="009760CA">
      <w:pPr>
        <w:rPr>
          <w:rFonts w:ascii="Arial" w:hAnsi="Arial" w:cs="Arial"/>
          <w:sz w:val="20"/>
          <w:szCs w:val="20"/>
        </w:rPr>
      </w:pPr>
    </w:p>
    <w:p w:rsidR="002E727A" w:rsidRPr="00FB6135" w:rsidRDefault="002E727A" w:rsidP="009760CA">
      <w:pPr>
        <w:jc w:val="both"/>
        <w:outlineLvl w:val="0"/>
        <w:rPr>
          <w:rFonts w:ascii="Arial" w:hAnsi="Arial" w:cs="Arial"/>
          <w:b/>
          <w:bCs/>
          <w:sz w:val="20"/>
          <w:szCs w:val="20"/>
        </w:rPr>
      </w:pPr>
      <w:r w:rsidRPr="00FB6135">
        <w:rPr>
          <w:rFonts w:ascii="Arial" w:hAnsi="Arial" w:cs="Arial"/>
          <w:b/>
          <w:bCs/>
          <w:sz w:val="20"/>
          <w:szCs w:val="20"/>
        </w:rPr>
        <w:t>Fabiola Popa</w:t>
      </w:r>
    </w:p>
    <w:p w:rsidR="002E727A" w:rsidRPr="00FB6135" w:rsidRDefault="002E727A" w:rsidP="009760CA">
      <w:pPr>
        <w:jc w:val="both"/>
        <w:outlineLvl w:val="0"/>
        <w:rPr>
          <w:rFonts w:ascii="Arial" w:hAnsi="Arial" w:cs="Arial"/>
          <w:b/>
          <w:bCs/>
          <w:sz w:val="20"/>
          <w:szCs w:val="20"/>
        </w:rPr>
      </w:pPr>
      <w:r w:rsidRPr="00FB6135">
        <w:rPr>
          <w:rFonts w:ascii="Arial" w:hAnsi="Arial" w:cs="Arial"/>
          <w:b/>
          <w:bCs/>
          <w:sz w:val="20"/>
          <w:szCs w:val="20"/>
        </w:rPr>
        <w:t xml:space="preserve">Identity shaped by space in the work of Penelope Lively </w:t>
      </w:r>
    </w:p>
    <w:p w:rsidR="002E727A" w:rsidRPr="00FB6135" w:rsidRDefault="002E727A" w:rsidP="009760CA">
      <w:pPr>
        <w:ind w:firstLine="720"/>
        <w:jc w:val="both"/>
        <w:rPr>
          <w:rFonts w:ascii="Arial" w:hAnsi="Arial" w:cs="Arial"/>
          <w:sz w:val="20"/>
          <w:szCs w:val="20"/>
        </w:rPr>
      </w:pPr>
    </w:p>
    <w:p w:rsidR="002E727A" w:rsidRPr="00FB6135" w:rsidRDefault="002E727A" w:rsidP="009760CA">
      <w:pPr>
        <w:jc w:val="both"/>
        <w:rPr>
          <w:rFonts w:ascii="Arial" w:hAnsi="Arial" w:cs="Arial"/>
          <w:sz w:val="20"/>
          <w:szCs w:val="20"/>
        </w:rPr>
      </w:pPr>
      <w:r w:rsidRPr="00FB6135">
        <w:rPr>
          <w:rFonts w:ascii="Arial" w:hAnsi="Arial" w:cs="Arial"/>
          <w:sz w:val="20"/>
          <w:szCs w:val="20"/>
        </w:rPr>
        <w:t>The paper proposes to focus on the issue of space in the literary work of the British writer Penelope Lively in view of examining the way it shapes the self inhabiting it. So far Lively’s critics have mainly focused on the writer’s obvious interest in topics related to time. Lively herself has repeatedly confessed her obsession with issues such as personal/collective history, the mechanism of memory, the (im)possibility to know the past. Nevertheless, very few critics have acknowledged her other interest, the interest in space, in the way in which time changes into space, in the way in which the space we inhabit tells stories about us, in the way in which space shapes its inhabitants and is shaped by them. The paper will contrast the urban space (</w:t>
      </w:r>
      <w:r w:rsidRPr="00FB6135">
        <w:rPr>
          <w:rFonts w:ascii="Arial" w:hAnsi="Arial" w:cs="Arial"/>
          <w:i/>
          <w:iCs/>
          <w:sz w:val="20"/>
          <w:szCs w:val="20"/>
        </w:rPr>
        <w:t>City of the Mind</w:t>
      </w:r>
      <w:r w:rsidRPr="00FB6135">
        <w:rPr>
          <w:rFonts w:ascii="Arial" w:hAnsi="Arial" w:cs="Arial"/>
          <w:sz w:val="20"/>
          <w:szCs w:val="20"/>
        </w:rPr>
        <w:t>, a novel that evinced the writer’s skillful use of space as an instrument to address the question of the crisis of the self, so typical of the postmodern thought) with the country side, a space where the self seems to regain some grounding (</w:t>
      </w:r>
      <w:r w:rsidRPr="00FB6135">
        <w:rPr>
          <w:rFonts w:ascii="Arial" w:hAnsi="Arial" w:cs="Arial"/>
          <w:i/>
          <w:iCs/>
          <w:sz w:val="20"/>
          <w:szCs w:val="20"/>
        </w:rPr>
        <w:t>The Road to Richfield, Treasures of Time</w:t>
      </w:r>
      <w:r w:rsidRPr="00FB6135">
        <w:rPr>
          <w:rFonts w:ascii="Arial" w:hAnsi="Arial" w:cs="Arial"/>
          <w:sz w:val="20"/>
          <w:szCs w:val="20"/>
        </w:rPr>
        <w:t>).Other types of spaces will be commented upon: the public space (museums, historical buildings, historical sites), which is the bearer of collective history, and the domestic space, the bearer of  the personal past. More often than not, the two of them intertwine to give a more complete image of the self shaped by the personal experience and the self shaped by the larger historical context in which one lives and which one cannot escape. (</w:t>
      </w:r>
      <w:r w:rsidRPr="00FB6135">
        <w:rPr>
          <w:rFonts w:ascii="Arial" w:hAnsi="Arial" w:cs="Arial"/>
          <w:i/>
          <w:iCs/>
          <w:sz w:val="20"/>
          <w:szCs w:val="20"/>
        </w:rPr>
        <w:t>A House Unlocked: A Memoir</w:t>
      </w:r>
      <w:r w:rsidRPr="00FB6135">
        <w:rPr>
          <w:rFonts w:ascii="Arial" w:hAnsi="Arial" w:cs="Arial"/>
          <w:sz w:val="20"/>
          <w:szCs w:val="20"/>
        </w:rPr>
        <w:t xml:space="preserve">). The “feminine” outer and inner space (the woman’s body and sexuality, the woman’s liminal state between object and being, the woman fighting to get her own ground in a male space) will also be brought into discussion, given the fact that most of Lively’s protagonists are strong female figures striving to make sense of the self in a world that is not theirs. </w:t>
      </w:r>
      <w:r w:rsidRPr="00FB6135">
        <w:rPr>
          <w:rFonts w:ascii="Arial" w:hAnsi="Arial" w:cs="Arial"/>
          <w:i/>
          <w:iCs/>
          <w:sz w:val="20"/>
          <w:szCs w:val="20"/>
        </w:rPr>
        <w:t>(Moon Tiger, Spiderweb</w:t>
      </w:r>
      <w:r w:rsidRPr="00FB6135">
        <w:rPr>
          <w:rFonts w:ascii="Arial" w:hAnsi="Arial" w:cs="Arial"/>
          <w:sz w:val="20"/>
          <w:szCs w:val="20"/>
        </w:rPr>
        <w:t>).</w:t>
      </w:r>
    </w:p>
    <w:p w:rsidR="002E727A" w:rsidRDefault="002E727A" w:rsidP="009760CA">
      <w:pPr>
        <w:pBdr>
          <w:bottom w:val="single" w:sz="12" w:space="1" w:color="auto"/>
        </w:pBdr>
        <w:rPr>
          <w:rFonts w:ascii="Arial" w:hAnsi="Arial" w:cs="Arial"/>
          <w:sz w:val="20"/>
          <w:szCs w:val="20"/>
        </w:rPr>
      </w:pPr>
    </w:p>
    <w:p w:rsidR="002E727A" w:rsidRDefault="002E727A" w:rsidP="009760CA">
      <w:pPr>
        <w:rPr>
          <w:rFonts w:ascii="Arial" w:hAnsi="Arial" w:cs="Arial"/>
          <w:sz w:val="20"/>
          <w:szCs w:val="20"/>
        </w:rPr>
      </w:pPr>
    </w:p>
    <w:p w:rsidR="002E727A" w:rsidRPr="00B3759A" w:rsidRDefault="002E727A" w:rsidP="00B64783">
      <w:pPr>
        <w:rPr>
          <w:rFonts w:ascii="Arial" w:hAnsi="Arial" w:cs="Arial"/>
          <w:sz w:val="20"/>
          <w:szCs w:val="20"/>
        </w:rPr>
      </w:pPr>
      <w:r w:rsidRPr="00B3759A">
        <w:rPr>
          <w:rFonts w:ascii="Arial" w:hAnsi="Arial" w:cs="Arial"/>
          <w:b/>
          <w:bCs/>
          <w:sz w:val="20"/>
          <w:szCs w:val="20"/>
        </w:rPr>
        <w:t>Emma Short</w:t>
      </w:r>
    </w:p>
    <w:p w:rsidR="002E727A" w:rsidRPr="00B3759A" w:rsidRDefault="002E727A" w:rsidP="00B64783">
      <w:pPr>
        <w:rPr>
          <w:rFonts w:ascii="Arial" w:hAnsi="Arial" w:cs="Arial"/>
          <w:b/>
          <w:bCs/>
          <w:smallCaps/>
          <w:sz w:val="20"/>
          <w:szCs w:val="20"/>
        </w:rPr>
      </w:pPr>
      <w:r w:rsidRPr="00B3759A">
        <w:rPr>
          <w:rFonts w:ascii="Arial" w:hAnsi="Arial" w:cs="Arial"/>
          <w:b/>
          <w:bCs/>
          <w:smallCaps/>
          <w:sz w:val="20"/>
          <w:szCs w:val="20"/>
        </w:rPr>
        <w:t xml:space="preserve">“‘We’ve All Got To Live Somewhere’”: ‘Home’, The Body And ‘Belonging’ In Elizabeth Bowen’s </w:t>
      </w:r>
      <w:r w:rsidRPr="00B3759A">
        <w:rPr>
          <w:rFonts w:ascii="Arial" w:hAnsi="Arial" w:cs="Arial"/>
          <w:b/>
          <w:bCs/>
          <w:i/>
          <w:iCs/>
          <w:smallCaps/>
          <w:sz w:val="20"/>
          <w:szCs w:val="20"/>
        </w:rPr>
        <w:t>The Death of the Heart</w:t>
      </w:r>
      <w:r w:rsidRPr="00B3759A">
        <w:rPr>
          <w:rFonts w:ascii="Arial" w:hAnsi="Arial" w:cs="Arial"/>
          <w:b/>
          <w:bCs/>
          <w:smallCaps/>
          <w:sz w:val="20"/>
          <w:szCs w:val="20"/>
        </w:rPr>
        <w:t>.</w:t>
      </w:r>
    </w:p>
    <w:p w:rsidR="002E727A" w:rsidRPr="00B3759A" w:rsidRDefault="002E727A" w:rsidP="00B64783">
      <w:pPr>
        <w:rPr>
          <w:rFonts w:ascii="Arial" w:hAnsi="Arial" w:cs="Arial"/>
          <w:sz w:val="20"/>
          <w:szCs w:val="20"/>
        </w:rPr>
      </w:pPr>
    </w:p>
    <w:p w:rsidR="002E727A" w:rsidRPr="00B3759A" w:rsidRDefault="002E727A" w:rsidP="00B64783">
      <w:pPr>
        <w:jc w:val="both"/>
        <w:rPr>
          <w:rFonts w:ascii="Arial" w:hAnsi="Arial" w:cs="Arial"/>
          <w:sz w:val="20"/>
          <w:szCs w:val="20"/>
        </w:rPr>
      </w:pPr>
      <w:r w:rsidRPr="00B3759A">
        <w:rPr>
          <w:rFonts w:ascii="Arial" w:hAnsi="Arial" w:cs="Arial"/>
          <w:sz w:val="20"/>
          <w:szCs w:val="20"/>
        </w:rPr>
        <w:t xml:space="preserve">Contemporary theorists of human subjectivity, particularly those working from a feminist and/or postcolonial perspective, have afforded an increasing level of importance to the concept of ‘home’, and its role in the construction of the (embodied) subject. This paper will consider the concepts of  ‘home’ and ‘belonging’ and their relation to the corporeal subject in Elizabeth Bowen’s 1938 novel </w:t>
      </w:r>
      <w:r w:rsidRPr="00B3759A">
        <w:rPr>
          <w:rFonts w:ascii="Arial" w:hAnsi="Arial" w:cs="Arial"/>
          <w:i/>
          <w:iCs/>
          <w:sz w:val="20"/>
          <w:szCs w:val="20"/>
        </w:rPr>
        <w:t>The Death of the Heart</w:t>
      </w:r>
      <w:r w:rsidRPr="00B3759A">
        <w:rPr>
          <w:rFonts w:ascii="Arial" w:hAnsi="Arial" w:cs="Arial"/>
          <w:sz w:val="20"/>
          <w:szCs w:val="20"/>
        </w:rPr>
        <w:t>. As an Anglo-Irish writer, the site of Bowen’s ‘home’ is uncertain. Neither English nor Irish, but a hybrid of both, she does not ‘belong’ to either country, arguably existing instead in an unstable, liminal sphere. This paper will maintain that, accordingly, Bowen’s novel explores the themes of belonging and exile, through the experiences of its protagonist Portia Quayne, a recently orphaned sixteen-year-old. Having spent her short lifetime moving between hotels and boarding houses, Portia is sent to stay with her half-brother and his wife in their imposing Regency townhouse in London. The recurring contrasts between the temporary spaces of hotel rooms and the apparently ‘stable’ environment of this ‘family home’ raises important questions about the very concept of ‘home’. This paper will argue that Portia’s constant unease in the Quayne’s house, and her eventual retreat to the hotel at the end of the novel, may suggest that ‘home’ is rather, as Biddy Martin and Chandra Talpade Mohanty (2003) suggest, “an illusion of coherence”, an idealistic construction as opposed to a reality. This paper engages with recent theories of corporeal subjectivity (Young [2005]), and postcolonial theories of exile and belonging (George [1996]) to reconsider how and why ‘homes’ are constructed. In doing so, this paper makes a critical intervention into contemporary discussions regarding the instability of the concept of ‘home’, and its impact on the lived reality of human subjects.</w:t>
      </w:r>
    </w:p>
    <w:p w:rsidR="002E727A" w:rsidRDefault="002E727A" w:rsidP="009760CA">
      <w:pPr>
        <w:widowControl w:val="0"/>
        <w:pBdr>
          <w:bottom w:val="single" w:sz="12" w:space="1" w:color="auto"/>
        </w:pBdr>
        <w:autoSpaceDE w:val="0"/>
        <w:autoSpaceDN w:val="0"/>
        <w:adjustRightInd w:val="0"/>
        <w:rPr>
          <w:rFonts w:ascii="Arial" w:hAnsi="Arial" w:cs="Arial"/>
          <w:b/>
          <w:bCs/>
          <w:sz w:val="20"/>
          <w:szCs w:val="20"/>
          <w:lang w:val="en-US"/>
        </w:rPr>
      </w:pPr>
    </w:p>
    <w:p w:rsidR="002E727A" w:rsidRDefault="002E727A" w:rsidP="009760CA">
      <w:pPr>
        <w:widowControl w:val="0"/>
        <w:autoSpaceDE w:val="0"/>
        <w:autoSpaceDN w:val="0"/>
        <w:adjustRightInd w:val="0"/>
        <w:rPr>
          <w:rFonts w:ascii="Arial" w:hAnsi="Arial" w:cs="Arial"/>
          <w:b/>
          <w:bCs/>
          <w:sz w:val="20"/>
          <w:szCs w:val="20"/>
          <w:lang w:val="en-US"/>
        </w:rPr>
      </w:pPr>
    </w:p>
    <w:p w:rsidR="002E727A" w:rsidRPr="0039143E" w:rsidRDefault="002E727A" w:rsidP="009760CA">
      <w:pPr>
        <w:widowControl w:val="0"/>
        <w:autoSpaceDE w:val="0"/>
        <w:autoSpaceDN w:val="0"/>
        <w:adjustRightInd w:val="0"/>
        <w:rPr>
          <w:rFonts w:ascii="Arial" w:hAnsi="Arial" w:cs="Arial"/>
          <w:b/>
          <w:bCs/>
          <w:sz w:val="20"/>
          <w:szCs w:val="20"/>
          <w:lang w:val="en-US"/>
        </w:rPr>
      </w:pPr>
      <w:r w:rsidRPr="0039143E">
        <w:rPr>
          <w:rFonts w:ascii="Arial" w:hAnsi="Arial" w:cs="Arial"/>
          <w:b/>
          <w:bCs/>
          <w:sz w:val="20"/>
          <w:szCs w:val="20"/>
          <w:lang w:val="en-US"/>
        </w:rPr>
        <w:t>Dr. Zoë Skoulding</w:t>
      </w:r>
    </w:p>
    <w:p w:rsidR="002E727A" w:rsidRPr="0039143E" w:rsidRDefault="002E727A" w:rsidP="009760CA">
      <w:pPr>
        <w:widowControl w:val="0"/>
        <w:autoSpaceDE w:val="0"/>
        <w:autoSpaceDN w:val="0"/>
        <w:adjustRightInd w:val="0"/>
        <w:rPr>
          <w:rFonts w:ascii="Arial" w:hAnsi="Arial" w:cs="Arial"/>
          <w:b/>
          <w:bCs/>
          <w:sz w:val="20"/>
          <w:szCs w:val="20"/>
          <w:lang w:val="en-US"/>
        </w:rPr>
      </w:pPr>
      <w:r w:rsidRPr="0039143E">
        <w:rPr>
          <w:rFonts w:ascii="Arial" w:hAnsi="Arial" w:cs="Arial"/>
          <w:b/>
          <w:bCs/>
          <w:sz w:val="20"/>
          <w:szCs w:val="20"/>
          <w:lang w:val="en-US"/>
        </w:rPr>
        <w:t>City space, history and quotation: Redell Olsen and Frances Presley</w:t>
      </w:r>
    </w:p>
    <w:p w:rsidR="002E727A" w:rsidRPr="0039143E" w:rsidRDefault="002E727A" w:rsidP="009760CA">
      <w:pPr>
        <w:widowControl w:val="0"/>
        <w:autoSpaceDE w:val="0"/>
        <w:autoSpaceDN w:val="0"/>
        <w:adjustRightInd w:val="0"/>
        <w:rPr>
          <w:rFonts w:ascii="Arial" w:hAnsi="Arial" w:cs="Arial"/>
          <w:sz w:val="20"/>
          <w:szCs w:val="20"/>
          <w:lang w:val="en-US"/>
        </w:rPr>
      </w:pPr>
    </w:p>
    <w:p w:rsidR="002E727A" w:rsidRPr="0039143E" w:rsidRDefault="002E727A" w:rsidP="009760CA">
      <w:pPr>
        <w:widowControl w:val="0"/>
        <w:autoSpaceDE w:val="0"/>
        <w:autoSpaceDN w:val="0"/>
        <w:adjustRightInd w:val="0"/>
        <w:jc w:val="both"/>
        <w:rPr>
          <w:rFonts w:ascii="Arial" w:hAnsi="Arial" w:cs="Arial"/>
          <w:sz w:val="20"/>
          <w:szCs w:val="20"/>
          <w:lang w:val="en-US"/>
        </w:rPr>
      </w:pPr>
      <w:r w:rsidRPr="0039143E">
        <w:rPr>
          <w:rFonts w:ascii="Arial" w:hAnsi="Arial" w:cs="Arial"/>
          <w:sz w:val="20"/>
          <w:szCs w:val="20"/>
          <w:lang w:val="en-US"/>
        </w:rPr>
        <w:t xml:space="preserve">This paper discusses the role of history and quotation in representions of urban space by two contemporary UK poets, and places it in the context of postmodern geography. In Redell Olsen’s ‘The Minimaus Poems’, the American Gloucester of Charles Olson’s sequence is reworked as Gloucester, UK, via writings by the composer Ivor Gurney. Rather than being simply a parody, as the play on names might suggest, this text sets up a complex interplay in which location and gender shift within multiple ironies. </w:t>
      </w:r>
      <w:r w:rsidRPr="0039143E">
        <w:rPr>
          <w:rFonts w:ascii="Arial" w:hAnsi="Arial" w:cs="Arial"/>
          <w:sz w:val="20"/>
          <w:szCs w:val="20"/>
        </w:rPr>
        <w:t xml:space="preserve">This view complements ideas suggested by the feminist geographer Gillian Rose, who argues for a ‘critical mobility’ that can ‘deconstruct the polarities it oscillates between.’ In her discussion of what she sees as the inherently masculinist discipline of geography, she argues for ‘paradoxical space […] imagined in order to articulate a troubled relationship to the hegemonic discourses of masculinism’. The need for concepts of space to incorporate time and movement is further argued by the geographer </w:t>
      </w:r>
      <w:r w:rsidRPr="0039143E">
        <w:rPr>
          <w:rFonts w:ascii="Arial" w:hAnsi="Arial" w:cs="Arial"/>
          <w:sz w:val="20"/>
          <w:szCs w:val="20"/>
          <w:lang w:val="en-US"/>
        </w:rPr>
        <w:t xml:space="preserve">Doreen Massey, who describes urban environments as ‘a clash of trajectories’, a term that encompasses both space and time. In the city, she argues, ‘negotiations of place take place on the move, between identities which are on the move.’ Frances Presley’s sequence of poems ‘Paravane’ is set partly in London against a backdrop of terrorist attacks. Here, the use of quotation from medieval and more recent texts is fragmented, never suggesting the presence of a completed whole but evoking a city that is, as Massey describes it, </w:t>
      </w:r>
      <w:r w:rsidRPr="0039143E">
        <w:rPr>
          <w:rFonts w:ascii="Arial" w:hAnsi="Arial" w:cs="Arial"/>
          <w:sz w:val="20"/>
          <w:szCs w:val="20"/>
        </w:rPr>
        <w:t>‘a space of loose ends and missing links’.</w:t>
      </w:r>
      <w:r w:rsidRPr="0039143E">
        <w:rPr>
          <w:rFonts w:ascii="Arial" w:hAnsi="Arial" w:cs="Arial"/>
          <w:sz w:val="20"/>
          <w:szCs w:val="20"/>
          <w:lang w:val="en-US"/>
        </w:rPr>
        <w:t xml:space="preserve"> The poems I am discussing can be seen as trajectories, as embodied practices in which the multiple, mercurial identities of the subject and her urban locale collide. I will explore a view of spatiality in which gender, history and the current conditions of the contemporary city are negotiated through a poetics of interaction.</w:t>
      </w:r>
    </w:p>
    <w:p w:rsidR="002E727A" w:rsidRDefault="002E727A" w:rsidP="009760CA">
      <w:pPr>
        <w:pBdr>
          <w:bottom w:val="single" w:sz="12" w:space="1" w:color="auto"/>
        </w:pBdr>
        <w:rPr>
          <w:rFonts w:ascii="Arial" w:hAnsi="Arial" w:cs="Arial"/>
          <w:sz w:val="20"/>
          <w:szCs w:val="20"/>
        </w:rPr>
      </w:pPr>
    </w:p>
    <w:p w:rsidR="002E727A" w:rsidRDefault="002E727A" w:rsidP="009760CA">
      <w:pPr>
        <w:rPr>
          <w:rFonts w:ascii="Arial" w:hAnsi="Arial" w:cs="Arial"/>
          <w:sz w:val="20"/>
          <w:szCs w:val="20"/>
        </w:rPr>
      </w:pPr>
    </w:p>
    <w:p w:rsidR="002E727A" w:rsidRPr="00A843BF" w:rsidRDefault="002E727A" w:rsidP="003F6D99">
      <w:pPr>
        <w:tabs>
          <w:tab w:val="left" w:pos="2694"/>
        </w:tabs>
        <w:rPr>
          <w:rFonts w:ascii="Arial" w:hAnsi="Arial" w:cs="Arial"/>
          <w:b/>
          <w:bCs/>
          <w:sz w:val="20"/>
          <w:szCs w:val="20"/>
        </w:rPr>
      </w:pPr>
      <w:r w:rsidRPr="00A843BF">
        <w:rPr>
          <w:rFonts w:ascii="Arial" w:hAnsi="Arial" w:cs="Arial"/>
          <w:b/>
          <w:bCs/>
          <w:sz w:val="20"/>
          <w:szCs w:val="20"/>
        </w:rPr>
        <w:t>Lynne Walker</w:t>
      </w:r>
    </w:p>
    <w:p w:rsidR="002E727A" w:rsidRPr="00F05B99" w:rsidRDefault="002E727A" w:rsidP="003F6D99">
      <w:pPr>
        <w:tabs>
          <w:tab w:val="left" w:pos="2694"/>
        </w:tabs>
        <w:rPr>
          <w:rFonts w:ascii="Arial" w:hAnsi="Arial" w:cs="Arial"/>
          <w:sz w:val="20"/>
          <w:szCs w:val="20"/>
        </w:rPr>
      </w:pPr>
      <w:r w:rsidRPr="00F05B99">
        <w:rPr>
          <w:rFonts w:ascii="Arial" w:hAnsi="Arial" w:cs="Arial"/>
          <w:b/>
          <w:bCs/>
          <w:sz w:val="20"/>
          <w:szCs w:val="20"/>
        </w:rPr>
        <w:t>‘Going Public: Victorian Women, Identity and Space’</w:t>
      </w:r>
    </w:p>
    <w:p w:rsidR="002E727A" w:rsidRPr="00F05B99" w:rsidRDefault="002E727A" w:rsidP="003F6D99">
      <w:pPr>
        <w:tabs>
          <w:tab w:val="left" w:pos="2694"/>
        </w:tabs>
        <w:rPr>
          <w:rFonts w:ascii="Arial" w:hAnsi="Arial" w:cs="Arial"/>
          <w:sz w:val="20"/>
          <w:szCs w:val="20"/>
        </w:rPr>
      </w:pPr>
    </w:p>
    <w:p w:rsidR="002E727A" w:rsidRPr="00F05B99" w:rsidRDefault="002E727A" w:rsidP="003F6D99">
      <w:pPr>
        <w:tabs>
          <w:tab w:val="left" w:pos="2694"/>
        </w:tabs>
        <w:jc w:val="both"/>
        <w:rPr>
          <w:rFonts w:ascii="Arial" w:hAnsi="Arial" w:cs="Arial"/>
          <w:sz w:val="20"/>
          <w:szCs w:val="20"/>
        </w:rPr>
      </w:pPr>
      <w:r w:rsidRPr="00F05B99">
        <w:rPr>
          <w:rFonts w:ascii="Arial" w:hAnsi="Arial" w:cs="Arial"/>
          <w:sz w:val="20"/>
          <w:szCs w:val="20"/>
        </w:rPr>
        <w:t>Like many women artists, designers and architects in late nineteenth century Britain, women writers worked from home. Whether in new or furbished buildings, creative middle-class women devised, altered and/or subverted private space to advance literary, social and political projects and to promote cultural change. These domestic practices were often allied with public activities, outside the home in the wider public sphere of education, health care and public affairs. I will argue that in the space between diverse intersections – of public and private, of the literary and social, of the personal and the political – social and physical spaces were made for the production of new identities, knowledges and opportunities.</w:t>
      </w:r>
    </w:p>
    <w:p w:rsidR="002E727A" w:rsidRPr="00F05B99" w:rsidRDefault="002E727A" w:rsidP="003F6D99">
      <w:pPr>
        <w:widowControl w:val="0"/>
        <w:jc w:val="both"/>
        <w:rPr>
          <w:rFonts w:ascii="Arial" w:hAnsi="Arial" w:cs="Arial"/>
          <w:sz w:val="20"/>
          <w:szCs w:val="20"/>
        </w:rPr>
      </w:pPr>
    </w:p>
    <w:p w:rsidR="002E727A" w:rsidRPr="00F05B99" w:rsidRDefault="002E727A" w:rsidP="003F6D99">
      <w:pPr>
        <w:widowControl w:val="0"/>
        <w:jc w:val="both"/>
        <w:rPr>
          <w:rFonts w:ascii="Arial" w:hAnsi="Arial" w:cs="Arial"/>
          <w:sz w:val="20"/>
          <w:szCs w:val="20"/>
        </w:rPr>
      </w:pPr>
      <w:r w:rsidRPr="00F05B99">
        <w:rPr>
          <w:rFonts w:ascii="Arial" w:hAnsi="Arial" w:cs="Arial"/>
          <w:sz w:val="20"/>
          <w:szCs w:val="20"/>
        </w:rPr>
        <w:t xml:space="preserve">This paper will focus on three writers, Adeline Sergeant and Mary Augusta Ward (Mrs. Humphry Ward), and Agnes Garrett, who lived and worked within a five minute walk of each other in Bloomsbury in the 1880’s. In this paper, I want to investigate how the domestic spaces of these writers-- whether flat, house or hotel room-- were employed and occupied; how they were laid out and decorated; and how they were fitted and furnished. All these practices were central to the making of identity, which was in turn represented, circulated and celebrated, most notably, in books and periodical articles about the lives of women authors. </w:t>
      </w:r>
    </w:p>
    <w:p w:rsidR="002E727A" w:rsidRPr="00F05B99" w:rsidRDefault="002E727A" w:rsidP="003F6D99">
      <w:pPr>
        <w:widowControl w:val="0"/>
        <w:jc w:val="both"/>
        <w:rPr>
          <w:rFonts w:ascii="Arial" w:hAnsi="Arial" w:cs="Arial"/>
          <w:sz w:val="20"/>
          <w:szCs w:val="20"/>
        </w:rPr>
      </w:pPr>
    </w:p>
    <w:p w:rsidR="002E727A" w:rsidRPr="00F05B99" w:rsidRDefault="002E727A" w:rsidP="003F6D99">
      <w:pPr>
        <w:widowControl w:val="0"/>
        <w:jc w:val="both"/>
        <w:rPr>
          <w:rFonts w:ascii="Arial" w:hAnsi="Arial" w:cs="Arial"/>
          <w:sz w:val="20"/>
          <w:szCs w:val="20"/>
        </w:rPr>
      </w:pPr>
      <w:r w:rsidRPr="00F05B99">
        <w:rPr>
          <w:rFonts w:ascii="Arial" w:hAnsi="Arial" w:cs="Arial"/>
          <w:sz w:val="20"/>
          <w:szCs w:val="20"/>
        </w:rPr>
        <w:t>While the Women’s Movement was a particularly fertile ground for cultural production, it will be shown that there was considerable political diversity between these women writers and between their tightly meshed connections through organisations and informal circles of friendship and family ties.</w:t>
      </w:r>
    </w:p>
    <w:p w:rsidR="002E727A" w:rsidRPr="00F05B99" w:rsidRDefault="002E727A" w:rsidP="003F6D99">
      <w:pPr>
        <w:widowControl w:val="0"/>
        <w:jc w:val="both"/>
        <w:rPr>
          <w:rFonts w:ascii="Arial" w:hAnsi="Arial" w:cs="Arial"/>
          <w:sz w:val="20"/>
          <w:szCs w:val="20"/>
        </w:rPr>
      </w:pPr>
    </w:p>
    <w:p w:rsidR="002E727A" w:rsidRDefault="002E727A" w:rsidP="003F6D99">
      <w:pPr>
        <w:widowControl w:val="0"/>
        <w:jc w:val="both"/>
        <w:rPr>
          <w:rFonts w:ascii="Arial" w:hAnsi="Arial" w:cs="Arial"/>
          <w:snapToGrid w:val="0"/>
          <w:sz w:val="20"/>
          <w:szCs w:val="20"/>
        </w:rPr>
      </w:pPr>
      <w:r w:rsidRPr="00F05B99">
        <w:rPr>
          <w:rFonts w:ascii="Arial" w:hAnsi="Arial" w:cs="Arial"/>
          <w:sz w:val="20"/>
          <w:szCs w:val="20"/>
        </w:rPr>
        <w:t xml:space="preserve">By mapping their placement and proximity in Bloomsbury, this paper will locate the context of other independent Victorian women’s homes and sites of women’s organisations and new institutions, I want to consider </w:t>
      </w:r>
      <w:r w:rsidRPr="00F05B99">
        <w:rPr>
          <w:rFonts w:ascii="Arial" w:hAnsi="Arial" w:cs="Arial"/>
          <w:snapToGrid w:val="0"/>
          <w:sz w:val="20"/>
          <w:szCs w:val="20"/>
        </w:rPr>
        <w:t>how a building and its spaces are employed and occupied; how it is laid out and decorated; how it is fitted and furnished, as well as where you are placed within its spaces, determine in part how you think of yourself, where you should be, and what you should be doing. Space tells people where they can and cannot be, and in part defines what people feel about who they are, how they feel about each other. In rethinking 19th century women's histories, we recognise, the capacity of architecture to carry dominant ideologies, to inscribe normative social and cultural relations in its fabric and embody them its spaces, as well as divide, rank and define people on the basis of gender and other cultural categories. However, today we will focus on how these material and spatial formations could be negotiated and subverted to other, less conventional, but more socially progressive ends. I want to argue that the social spaces of visual and material culture, in architecture, photography, and in both high and popular art were 'arenas where new identities are forged and contesting subjectivities formed, as well as sites for the contestation of meanings' (Jane/Deb, Vistas).And that the production of these spaces were undertaken by clients and users as much as by architects, providing culturally powerful social practices, which both informed and shaped histories of nineteenth-century women.</w:t>
      </w:r>
    </w:p>
    <w:p w:rsidR="002E727A" w:rsidRDefault="002E727A" w:rsidP="003F6D99">
      <w:pPr>
        <w:widowControl w:val="0"/>
        <w:pBdr>
          <w:bottom w:val="single" w:sz="12" w:space="1" w:color="auto"/>
        </w:pBdr>
        <w:jc w:val="both"/>
        <w:rPr>
          <w:rFonts w:ascii="Arial" w:hAnsi="Arial" w:cs="Arial"/>
          <w:snapToGrid w:val="0"/>
          <w:sz w:val="20"/>
          <w:szCs w:val="20"/>
        </w:rPr>
      </w:pPr>
    </w:p>
    <w:p w:rsidR="002E727A" w:rsidRPr="00F05B99" w:rsidRDefault="002E727A" w:rsidP="003F6D99">
      <w:pPr>
        <w:widowControl w:val="0"/>
        <w:jc w:val="both"/>
        <w:rPr>
          <w:rFonts w:ascii="Arial" w:hAnsi="Arial" w:cs="Arial"/>
          <w:snapToGrid w:val="0"/>
          <w:sz w:val="20"/>
          <w:szCs w:val="20"/>
        </w:rPr>
      </w:pPr>
    </w:p>
    <w:p w:rsidR="002E727A" w:rsidRDefault="002E727A" w:rsidP="009760CA">
      <w:pPr>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p w:rsidR="002E727A" w:rsidRDefault="002E727A" w:rsidP="00F85521">
      <w:pPr>
        <w:ind w:firstLine="720"/>
        <w:jc w:val="both"/>
        <w:rPr>
          <w:rFonts w:ascii="Arial" w:hAnsi="Arial" w:cs="Arial"/>
          <w:sz w:val="20"/>
          <w:szCs w:val="20"/>
        </w:rPr>
      </w:pPr>
    </w:p>
    <w:sectPr w:rsidR="002E727A" w:rsidSect="002D3CC3">
      <w:pgSz w:w="11899" w:h="16838"/>
      <w:pgMar w:top="1440" w:right="1800" w:bottom="1440" w:left="1800" w:header="708" w:footer="7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727A" w:rsidRDefault="002E727A" w:rsidP="002E727A">
      <w:r>
        <w:separator/>
      </w:r>
    </w:p>
  </w:endnote>
  <w:endnote w:type="continuationSeparator" w:id="1">
    <w:p w:rsidR="002E727A" w:rsidRDefault="002E727A" w:rsidP="002E727A">
      <w:r>
        <w:continuationSeparator/>
      </w:r>
    </w:p>
  </w:endnote>
  <w:endnote w:id="2">
    <w:p w:rsidR="002E727A" w:rsidRDefault="002E727A" w:rsidP="00930346">
      <w:pPr>
        <w:pStyle w:val="EndnoteText"/>
      </w:pPr>
    </w:p>
  </w:endnote>
  <w:endnote w:id="3">
    <w:p w:rsidR="002E727A" w:rsidRDefault="002E727A" w:rsidP="00930346">
      <w:pPr>
        <w:pStyle w:val="EndnoteText"/>
      </w:pPr>
    </w:p>
  </w:endnote>
  <w:endnote w:id="4">
    <w:p w:rsidR="002E727A" w:rsidRDefault="002E727A" w:rsidP="00930346">
      <w:pPr>
        <w:pStyle w:val="EndnoteText"/>
      </w:pPr>
    </w:p>
  </w:endnote>
</w:endnotes>
</file>

<file path=word/fontTable.xml><?xml version="1.0" encoding="utf-8"?>
<w:fonts xmlns:r="http://schemas.openxmlformats.org/officeDocument/2006/relationships" xmlns:w="http://schemas.openxmlformats.org/wordprocessingml/2006/main">
  <w:font w:name="Times">
    <w:panose1 w:val="02020603050405020304"/>
    <w:charset w:val="00"/>
    <w:family w:val="roman"/>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eta-Normal">
    <w:altName w:val="Times New Roman"/>
    <w:panose1 w:val="00000000000000000000"/>
    <w:charset w:val="00"/>
    <w:family w:val="auto"/>
    <w:notTrueType/>
    <w:pitch w:val="variable"/>
    <w:sig w:usb0="00000003" w:usb1="00000000" w:usb2="00000000" w:usb3="00000000" w:csb0="00000001" w:csb1="00000000"/>
  </w:font>
  <w:font w:name="Monaco">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727A" w:rsidRDefault="002E727A" w:rsidP="002E727A">
      <w:r>
        <w:separator/>
      </w:r>
    </w:p>
  </w:footnote>
  <w:footnote w:type="continuationSeparator" w:id="1">
    <w:p w:rsidR="002E727A" w:rsidRDefault="002E727A" w:rsidP="002E727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isplayHorizontalDrawingGridEvery w:val="0"/>
  <w:displayVerticalDrawingGridEvery w:val="0"/>
  <w:doNotUseMarginsForDrawingGridOrigin/>
  <w:characterSpacingControl w:val="doNotCompress"/>
  <w:doNotValidateAgainstSchema/>
  <w:doNotDemarcateInvalidXml/>
  <w:footnotePr>
    <w:footnote w:id="0"/>
    <w:footnote w:id="1"/>
  </w:footnotePr>
  <w:endnotePr>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D7F45"/>
    <w:rsid w:val="000665B1"/>
    <w:rsid w:val="001D5720"/>
    <w:rsid w:val="001F3752"/>
    <w:rsid w:val="002A4478"/>
    <w:rsid w:val="002D3CC3"/>
    <w:rsid w:val="002D7F45"/>
    <w:rsid w:val="002E727A"/>
    <w:rsid w:val="00341990"/>
    <w:rsid w:val="003678B3"/>
    <w:rsid w:val="0039143E"/>
    <w:rsid w:val="003F6D99"/>
    <w:rsid w:val="004229E4"/>
    <w:rsid w:val="004439C4"/>
    <w:rsid w:val="00571DD8"/>
    <w:rsid w:val="00930346"/>
    <w:rsid w:val="009760CA"/>
    <w:rsid w:val="009C18E3"/>
    <w:rsid w:val="00A410F1"/>
    <w:rsid w:val="00A843BF"/>
    <w:rsid w:val="00AF4B39"/>
    <w:rsid w:val="00B203D4"/>
    <w:rsid w:val="00B3759A"/>
    <w:rsid w:val="00B64783"/>
    <w:rsid w:val="00B87727"/>
    <w:rsid w:val="00C0290D"/>
    <w:rsid w:val="00C70FF8"/>
    <w:rsid w:val="00DD38C7"/>
    <w:rsid w:val="00F05B99"/>
    <w:rsid w:val="00F47085"/>
    <w:rsid w:val="00F81D84"/>
    <w:rsid w:val="00F85521"/>
    <w:rsid w:val="00FA72D0"/>
    <w:rsid w:val="00FB6135"/>
    <w:rsid w:val="00FD6492"/>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State"/>
  <w:smartTagType w:namespaceuri="urn:schemas-microsoft-com:office:smarttags" w:name="place"/>
  <w:smartTagType w:namespaceuri="urn:schemas-microsoft-com:office:smarttags" w:name="City"/>
  <w:smartTagType w:namespaceuri="urn:schemas-microsoft-com:office:smarttags" w:name="address"/>
  <w:smartTagType w:namespaceuri="urn:schemas-microsoft-com:office:smarttags" w:name="Street"/>
  <w:smartTagType w:namespaceuri="urn:schemas-microsoft-com:office:smarttags" w:name="dat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w:eastAsia="Times" w:hAnsi="Times" w:cs="Times New Roman"/>
        <w:sz w:val="22"/>
        <w:szCs w:val="22"/>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endnote reference" w:unhideWhenUsed="0"/>
    <w:lsdException w:name="endnote text" w:unhideWhenUsed="0"/>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Body Text 2" w:unhideWhenUsed="0"/>
    <w:lsdException w:name="Body Text 3" w:unhideWhenUsed="0"/>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3CC3"/>
    <w:rPr>
      <w:rFonts w:cs="Times"/>
      <w:sz w:val="24"/>
      <w:szCs w:val="24"/>
    </w:rPr>
  </w:style>
  <w:style w:type="paragraph" w:styleId="Heading1">
    <w:name w:val="heading 1"/>
    <w:basedOn w:val="Normal"/>
    <w:next w:val="Normal"/>
    <w:link w:val="Heading1Char"/>
    <w:uiPriority w:val="99"/>
    <w:qFormat/>
    <w:rsid w:val="00930346"/>
    <w:pPr>
      <w:keepNext/>
      <w:outlineLvl w:val="0"/>
    </w:pPr>
    <w:rPr>
      <w:b/>
      <w:bCs/>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7DC3"/>
    <w:rPr>
      <w:rFonts w:asciiTheme="majorHAnsi" w:eastAsiaTheme="majorEastAsia" w:hAnsiTheme="majorHAnsi" w:cstheme="majorBidi"/>
      <w:b/>
      <w:bCs/>
      <w:kern w:val="32"/>
      <w:sz w:val="32"/>
      <w:szCs w:val="32"/>
    </w:rPr>
  </w:style>
  <w:style w:type="paragraph" w:styleId="BodyText3">
    <w:name w:val="Body Text 3"/>
    <w:basedOn w:val="Normal"/>
    <w:link w:val="BodyText3Char"/>
    <w:uiPriority w:val="99"/>
    <w:semiHidden/>
    <w:rsid w:val="002D3CC3"/>
    <w:rPr>
      <w:rFonts w:ascii="Meta-Normal" w:hAnsi="Meta-Normal" w:cs="Meta-Normal"/>
      <w:color w:val="0000FF"/>
      <w:sz w:val="22"/>
      <w:szCs w:val="22"/>
      <w:lang w:val="en-US"/>
    </w:rPr>
  </w:style>
  <w:style w:type="character" w:customStyle="1" w:styleId="BodyText3Char">
    <w:name w:val="Body Text 3 Char"/>
    <w:basedOn w:val="DefaultParagraphFont"/>
    <w:link w:val="BodyText3"/>
    <w:uiPriority w:val="99"/>
    <w:semiHidden/>
    <w:rPr>
      <w:sz w:val="16"/>
      <w:szCs w:val="16"/>
    </w:rPr>
  </w:style>
  <w:style w:type="paragraph" w:styleId="BodyText">
    <w:name w:val="Body Text"/>
    <w:basedOn w:val="Normal"/>
    <w:link w:val="BodyTextChar"/>
    <w:uiPriority w:val="99"/>
    <w:semiHidden/>
    <w:rsid w:val="002D3CC3"/>
    <w:rPr>
      <w:rFonts w:ascii="Meta-Normal" w:hAnsi="Meta-Normal" w:cs="Meta-Normal"/>
      <w:color w:val="000000"/>
      <w:sz w:val="22"/>
      <w:szCs w:val="22"/>
    </w:rPr>
  </w:style>
  <w:style w:type="character" w:customStyle="1" w:styleId="BodyTextChar">
    <w:name w:val="Body Text Char"/>
    <w:basedOn w:val="DefaultParagraphFont"/>
    <w:link w:val="BodyText"/>
    <w:uiPriority w:val="99"/>
    <w:semiHidden/>
    <w:rPr>
      <w:sz w:val="24"/>
      <w:szCs w:val="24"/>
    </w:rPr>
  </w:style>
  <w:style w:type="paragraph" w:styleId="BodyText2">
    <w:name w:val="Body Text 2"/>
    <w:basedOn w:val="Normal"/>
    <w:link w:val="BodyText2Char"/>
    <w:uiPriority w:val="99"/>
    <w:semiHidden/>
    <w:rsid w:val="002D3CC3"/>
    <w:rPr>
      <w:rFonts w:ascii="Monaco" w:eastAsia="Times New Roman" w:hAnsi="Monaco" w:cs="Monaco"/>
      <w:sz w:val="18"/>
      <w:szCs w:val="18"/>
      <w:lang w:val="en-US"/>
    </w:rPr>
  </w:style>
  <w:style w:type="character" w:customStyle="1" w:styleId="BodyText2Char">
    <w:name w:val="Body Text 2 Char"/>
    <w:basedOn w:val="DefaultParagraphFont"/>
    <w:link w:val="BodyText2"/>
    <w:uiPriority w:val="99"/>
    <w:semiHidden/>
    <w:rPr>
      <w:sz w:val="24"/>
      <w:szCs w:val="24"/>
    </w:rPr>
  </w:style>
  <w:style w:type="paragraph" w:styleId="EndnoteText">
    <w:name w:val="endnote text"/>
    <w:basedOn w:val="Normal"/>
    <w:link w:val="EndnoteTextChar"/>
    <w:uiPriority w:val="99"/>
    <w:semiHidden/>
    <w:rsid w:val="00930346"/>
    <w:rPr>
      <w:sz w:val="20"/>
      <w:szCs w:val="20"/>
      <w:lang w:val="en-US" w:eastAsia="en-US"/>
    </w:rPr>
  </w:style>
  <w:style w:type="character" w:customStyle="1" w:styleId="EndnoteTextChar">
    <w:name w:val="Endnote Text Char"/>
    <w:basedOn w:val="DefaultParagraphFont"/>
    <w:link w:val="EndnoteText"/>
    <w:uiPriority w:val="99"/>
    <w:semiHidden/>
    <w:rsid w:val="00937DC3"/>
    <w:rPr>
      <w:rFonts w:cs="Times"/>
      <w:sz w:val="20"/>
      <w:szCs w:val="20"/>
    </w:rPr>
  </w:style>
  <w:style w:type="character" w:styleId="EndnoteReference">
    <w:name w:val="endnote reference"/>
    <w:basedOn w:val="DefaultParagraphFont"/>
    <w:uiPriority w:val="99"/>
    <w:semiHidden/>
    <w:rsid w:val="00930346"/>
    <w:rPr>
      <w:vertAlign w:val="superscript"/>
    </w:rPr>
  </w:style>
  <w:style w:type="character" w:styleId="Emphasis">
    <w:name w:val="Emphasis"/>
    <w:basedOn w:val="DefaultParagraphFont"/>
    <w:uiPriority w:val="99"/>
    <w:qFormat/>
    <w:rsid w:val="00930346"/>
    <w:rPr>
      <w:i/>
      <w:iCs/>
    </w:rPr>
  </w:style>
  <w:style w:type="paragraph" w:styleId="Header">
    <w:name w:val="header"/>
    <w:basedOn w:val="Normal"/>
    <w:link w:val="HeaderChar"/>
    <w:uiPriority w:val="99"/>
    <w:rsid w:val="009760CA"/>
    <w:pPr>
      <w:tabs>
        <w:tab w:val="center" w:pos="4153"/>
        <w:tab w:val="right" w:pos="8306"/>
      </w:tabs>
    </w:pPr>
  </w:style>
  <w:style w:type="character" w:customStyle="1" w:styleId="HeaderChar">
    <w:name w:val="Header Char"/>
    <w:basedOn w:val="DefaultParagraphFont"/>
    <w:link w:val="Header"/>
    <w:uiPriority w:val="99"/>
    <w:semiHidden/>
    <w:rsid w:val="00937DC3"/>
    <w:rPr>
      <w:rFonts w:cs="Times"/>
      <w:sz w:val="24"/>
      <w:szCs w:val="24"/>
    </w:rPr>
  </w:style>
  <w:style w:type="paragraph" w:styleId="Footer">
    <w:name w:val="footer"/>
    <w:basedOn w:val="Normal"/>
    <w:link w:val="FooterChar"/>
    <w:uiPriority w:val="99"/>
    <w:rsid w:val="009760CA"/>
    <w:pPr>
      <w:tabs>
        <w:tab w:val="center" w:pos="4153"/>
        <w:tab w:val="right" w:pos="8306"/>
      </w:tabs>
    </w:pPr>
  </w:style>
  <w:style w:type="character" w:customStyle="1" w:styleId="FooterChar">
    <w:name w:val="Footer Char"/>
    <w:basedOn w:val="DefaultParagraphFont"/>
    <w:link w:val="Footer"/>
    <w:uiPriority w:val="99"/>
    <w:semiHidden/>
    <w:rsid w:val="00937DC3"/>
    <w:rPr>
      <w:rFonts w:cs="Times"/>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29</TotalTime>
  <Pages>8</Pages>
  <Words>3890</Words>
  <Characters>22178</Characters>
  <Application>Microsoft Office Outlook</Application>
  <DocSecurity>0</DocSecurity>
  <Lines>0</Lines>
  <Paragraphs>0</Paragraphs>
  <ScaleCrop>false</ScaleCrop>
  <Company>pp</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Background</dc:title>
  <dc:subject/>
  <dc:creator>rosa ainley</dc:creator>
  <cp:keywords/>
  <dc:description/>
  <cp:lastModifiedBy>Dibben</cp:lastModifiedBy>
  <cp:revision>4</cp:revision>
  <cp:lastPrinted>2009-02-25T13:43:00Z</cp:lastPrinted>
  <dcterms:created xsi:type="dcterms:W3CDTF">2009-02-25T13:16:00Z</dcterms:created>
  <dcterms:modified xsi:type="dcterms:W3CDTF">2009-02-25T13:46:00Z</dcterms:modified>
</cp:coreProperties>
</file>