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A9F6A2" w14:textId="77777777" w:rsidR="003E03DB" w:rsidRPr="003E03DB" w:rsidRDefault="003E03DB" w:rsidP="003E03DB">
      <w:pPr>
        <w:rPr>
          <w:b/>
        </w:rPr>
      </w:pPr>
      <w:r w:rsidRPr="003E03DB">
        <w:rPr>
          <w:b/>
        </w:rPr>
        <w:t>Edward Said: P.368-373</w:t>
      </w:r>
    </w:p>
    <w:p w14:paraId="74677EFD" w14:textId="77777777" w:rsidR="003E03DB" w:rsidRDefault="003E03DB" w:rsidP="0006111D">
      <w:r>
        <w:t>Textual attitude:</w:t>
      </w:r>
    </w:p>
    <w:p w14:paraId="417F9D75" w14:textId="77777777" w:rsidR="0006111D" w:rsidRDefault="003E03DB" w:rsidP="0006111D">
      <w:pPr>
        <w:pStyle w:val="ListParagraph"/>
        <w:numPr>
          <w:ilvl w:val="0"/>
          <w:numId w:val="6"/>
        </w:numPr>
      </w:pPr>
      <w:r>
        <w:t>In which a person view an aspect of reality based on what he/she has read on what has been written about that reality.</w:t>
      </w:r>
    </w:p>
    <w:p w14:paraId="57C85A8F" w14:textId="77777777" w:rsidR="0006111D" w:rsidRDefault="003E03DB" w:rsidP="0006111D">
      <w:pPr>
        <w:pStyle w:val="ListParagraph"/>
        <w:numPr>
          <w:ilvl w:val="0"/>
          <w:numId w:val="6"/>
        </w:numPr>
      </w:pPr>
      <w:r>
        <w:t>P.368: “What seems unexceptionable good sense to these writers is that it is a to assume that the swarming, unpredictable, and problematic mess in which human beings live can be understood on the basis of what books—texts—say; to apply what one learns out of a book literally to reality is to risk folly or ruin.”</w:t>
      </w:r>
    </w:p>
    <w:p w14:paraId="3C46FD9C" w14:textId="77777777" w:rsidR="0006111D" w:rsidRDefault="003E03DB" w:rsidP="0006111D">
      <w:pPr>
        <w:pStyle w:val="ListParagraph"/>
        <w:numPr>
          <w:ilvl w:val="0"/>
          <w:numId w:val="6"/>
        </w:numPr>
      </w:pPr>
      <w:r>
        <w:t>Two situations favour a textual attitude: 1) when a person encounters something “relatively unknown” (e.g. travel books or guidebooks), 2) in which more and more literature on an aspect of reality is written based on the appearance of success; “a rather complex dialectic of reinforcement in which the experiences of readers in reality are determined by what they have read, and this in turn influences writers to take up subjects defined in advance by readers’ experience.”</w:t>
      </w:r>
    </w:p>
    <w:p w14:paraId="0A7C2576" w14:textId="77777777" w:rsidR="003E03DB" w:rsidRDefault="003E03DB" w:rsidP="0006111D">
      <w:pPr>
        <w:pStyle w:val="ListParagraph"/>
        <w:numPr>
          <w:ilvl w:val="0"/>
          <w:numId w:val="6"/>
        </w:numPr>
      </w:pPr>
      <w:r>
        <w:t xml:space="preserve">P.369: “Most important, such texts can </w:t>
      </w:r>
      <w:r w:rsidRPr="0006111D">
        <w:rPr>
          <w:i/>
        </w:rPr>
        <w:t>create</w:t>
      </w:r>
      <w:r>
        <w:t xml:space="preserve"> not only knowledge but also the very reality they appear to describe. In time such knowledge and reality produce a tradition … a discourse.”</w:t>
      </w:r>
    </w:p>
    <w:p w14:paraId="57B5E6E6" w14:textId="77777777" w:rsidR="0006111D" w:rsidRDefault="003E03DB" w:rsidP="0006111D">
      <w:r>
        <w:t>Orientalism:</w:t>
      </w:r>
    </w:p>
    <w:p w14:paraId="7867E6E2" w14:textId="77777777" w:rsidR="0006111D" w:rsidRDefault="003E03DB" w:rsidP="0006111D">
      <w:pPr>
        <w:pStyle w:val="ListParagraph"/>
        <w:numPr>
          <w:ilvl w:val="0"/>
          <w:numId w:val="5"/>
        </w:numPr>
      </w:pPr>
      <w:r>
        <w:t>Key terms: Orient (Far/Near), Oriental, Orientalist</w:t>
      </w:r>
    </w:p>
    <w:p w14:paraId="45116A6E" w14:textId="77777777" w:rsidR="0006111D" w:rsidRDefault="003E03DB" w:rsidP="0006111D">
      <w:pPr>
        <w:pStyle w:val="ListParagraph"/>
        <w:numPr>
          <w:ilvl w:val="0"/>
          <w:numId w:val="5"/>
        </w:numPr>
      </w:pPr>
      <w:r>
        <w:t>“The sign of the West’s great cultural strength, its will to power over the Orient”, resulting in two things: 1) “a relation between Western writing (and its consequences) and Oreintal silence”, 2) a side that “lives its own life”, but whose “existence depends on the pressures of the Orientalist tradition and its textual attitude to the Orient.”</w:t>
      </w:r>
    </w:p>
    <w:p w14:paraId="482CE164" w14:textId="77777777" w:rsidR="0006111D" w:rsidRDefault="003E03DB" w:rsidP="0006111D">
      <w:pPr>
        <w:pStyle w:val="ListParagraph"/>
        <w:numPr>
          <w:ilvl w:val="0"/>
          <w:numId w:val="5"/>
        </w:numPr>
      </w:pPr>
      <w:r>
        <w:t>P.370: “think of Orientalism as a kind of Western projection onto and will to govern over the Orient”</w:t>
      </w:r>
      <w:r w:rsidR="003474D2">
        <w:t xml:space="preserve"> </w:t>
      </w:r>
      <w:r w:rsidR="003474D2">
        <w:sym w:font="Wingdings" w:char="F0E0"/>
      </w:r>
      <w:r w:rsidR="003474D2">
        <w:t xml:space="preserve"> “For if it is true that historians … </w:t>
      </w:r>
      <w:r w:rsidR="003474D2" w:rsidRPr="0006111D">
        <w:rPr>
          <w:i/>
        </w:rPr>
        <w:t>emplot</w:t>
      </w:r>
      <w:r w:rsidR="003474D2">
        <w:t xml:space="preserve"> their narratives ‘as a story of a particular kind’, the same is also true of Orientalists who plotted Oriental history, character, and destiny for hundreds of years” </w:t>
      </w:r>
      <w:r w:rsidR="003474D2">
        <w:sym w:font="Wingdings" w:char="F0E0"/>
      </w:r>
      <w:r w:rsidR="003474D2">
        <w:t xml:space="preserve"> “During the 19</w:t>
      </w:r>
      <w:r w:rsidR="003474D2" w:rsidRPr="0006111D">
        <w:rPr>
          <w:vertAlign w:val="superscript"/>
        </w:rPr>
        <w:t>th</w:t>
      </w:r>
      <w:r w:rsidR="003474D2">
        <w:t xml:space="preserve"> and 20</w:t>
      </w:r>
      <w:r w:rsidR="003474D2" w:rsidRPr="0006111D">
        <w:rPr>
          <w:vertAlign w:val="superscript"/>
        </w:rPr>
        <w:t>th</w:t>
      </w:r>
      <w:r w:rsidR="003474D2">
        <w:t xml:space="preserve"> centuries … Orientalism had accomplished its self-metamorphosis from a scholarly discourse to an imperial institution”, and the “Oriental-European relationship” became “determined by an unstoppable European expansion in search of markets, resources, and colonies”</w:t>
      </w:r>
    </w:p>
    <w:p w14:paraId="7CCF9496" w14:textId="77777777" w:rsidR="0006111D" w:rsidRDefault="003474D2" w:rsidP="0006111D">
      <w:pPr>
        <w:pStyle w:val="ListParagraph"/>
        <w:numPr>
          <w:ilvl w:val="0"/>
          <w:numId w:val="5"/>
        </w:numPr>
      </w:pPr>
      <w:r>
        <w:t xml:space="preserve">“Orientalism overrode the Orient”, rising from the “specifically human detail to the general transhuman one”, causing mere particulars to define and shape a whole culture </w:t>
      </w:r>
      <w:r>
        <w:sym w:font="Wingdings" w:char="F0E0"/>
      </w:r>
      <w:r>
        <w:t xml:space="preserve"> KEY POINT: “Orientalism assumed an unchanging Orient, absolutely different (the reasons change from epoch to epoch) from the West.”</w:t>
      </w:r>
    </w:p>
    <w:p w14:paraId="428447D6" w14:textId="77777777" w:rsidR="0006111D" w:rsidRDefault="003474D2" w:rsidP="0006111D">
      <w:pPr>
        <w:pStyle w:val="ListParagraph"/>
        <w:numPr>
          <w:ilvl w:val="0"/>
          <w:numId w:val="5"/>
        </w:numPr>
      </w:pPr>
      <w:r>
        <w:t>History lesson, P.372: “From the outset, then, Orientalism carried forward two traits: 1) a newly found scientific self-consciousness based on the linguistic importance of the Orient to Europe, and 2) a proclivity to divide, subdivide, and redivide its subject matter without ever changing its mind about the O</w:t>
      </w:r>
      <w:r w:rsidR="0006111D">
        <w:t xml:space="preserve">rient as being always the same” </w:t>
      </w:r>
      <w:r w:rsidR="0006111D">
        <w:sym w:font="Wingdings" w:char="F0E0"/>
      </w:r>
      <w:r w:rsidR="0006111D">
        <w:t xml:space="preserve"> essentially, Orientalism will always deal with an Orient of the past, neglecting its present-day status</w:t>
      </w:r>
    </w:p>
    <w:p w14:paraId="67C4B4A2" w14:textId="77777777" w:rsidR="0006111D" w:rsidRDefault="0006111D" w:rsidP="0006111D">
      <w:pPr>
        <w:pStyle w:val="ListParagraph"/>
        <w:numPr>
          <w:ilvl w:val="0"/>
          <w:numId w:val="5"/>
        </w:numPr>
      </w:pPr>
      <w:r>
        <w:t xml:space="preserve">The “typical experiences and emotions that accompany both the scholarly advances of Orientalism and the political conequests aided by Orientalism”, P.373: there is the disappointment that the modern Orient is not at all like the texts </w:t>
      </w:r>
      <w:r>
        <w:sym w:font="Wingdings" w:char="F0E0"/>
      </w:r>
      <w:r>
        <w:t xml:space="preserve"> “to write about the modern Oreint is either to reveal an upsetting demystification of images culled from texts, or to confine oneself to … the Orient as ‘image’”</w:t>
      </w:r>
    </w:p>
    <w:p w14:paraId="0052872B" w14:textId="77777777" w:rsidR="0006111D" w:rsidRDefault="0006111D" w:rsidP="0006111D"/>
    <w:p w14:paraId="791827B4" w14:textId="77777777" w:rsidR="0006111D" w:rsidRDefault="0006111D" w:rsidP="0006111D">
      <w:pPr>
        <w:rPr>
          <w:b/>
        </w:rPr>
      </w:pPr>
      <w:r>
        <w:rPr>
          <w:b/>
        </w:rPr>
        <w:lastRenderedPageBreak/>
        <w:t>Edward Said: P.374-380</w:t>
      </w:r>
    </w:p>
    <w:p w14:paraId="2EB80F3E" w14:textId="77777777" w:rsidR="0006111D" w:rsidRDefault="00156632" w:rsidP="0006111D">
      <w:r>
        <w:t>Orientalist thought, and its persistence:</w:t>
      </w:r>
    </w:p>
    <w:p w14:paraId="662D8022" w14:textId="77777777" w:rsidR="00156632" w:rsidRDefault="0006111D" w:rsidP="0006111D">
      <w:pPr>
        <w:pStyle w:val="ListParagraph"/>
        <w:numPr>
          <w:ilvl w:val="0"/>
          <w:numId w:val="8"/>
        </w:numPr>
      </w:pPr>
      <w:r>
        <w:t xml:space="preserve">P.374: “It is enough for us here to note how strongly the general character ascribed to things Oriental could withstand both the rhetorical and the existential force of obvious exceptions” </w:t>
      </w:r>
      <w:r>
        <w:sym w:font="Wingdings" w:char="F0E0"/>
      </w:r>
      <w:r>
        <w:t xml:space="preserve"> </w:t>
      </w:r>
      <w:r w:rsidR="00156632">
        <w:t xml:space="preserve">“A limited terrain in which to operate: no matter how deep the specific exception, no matter how much a single Oriental can escape the fences placed around him, he is </w:t>
      </w:r>
      <w:r w:rsidR="00156632">
        <w:rPr>
          <w:i/>
        </w:rPr>
        <w:t>first</w:t>
      </w:r>
      <w:r w:rsidR="00156632">
        <w:t xml:space="preserve"> an Oriental, </w:t>
      </w:r>
      <w:r w:rsidR="00156632">
        <w:rPr>
          <w:i/>
        </w:rPr>
        <w:t>second</w:t>
      </w:r>
      <w:r w:rsidR="00156632">
        <w:t xml:space="preserve"> a human being, and </w:t>
      </w:r>
      <w:r w:rsidR="00156632">
        <w:rPr>
          <w:i/>
        </w:rPr>
        <w:t>last</w:t>
      </w:r>
      <w:r w:rsidR="00156632">
        <w:t xml:space="preserve"> again an Oriental.”</w:t>
      </w:r>
    </w:p>
    <w:p w14:paraId="7A99848B" w14:textId="77777777" w:rsidR="00156632" w:rsidRDefault="00156632" w:rsidP="0006111D">
      <w:pPr>
        <w:pStyle w:val="ListParagraph"/>
        <w:numPr>
          <w:ilvl w:val="0"/>
          <w:numId w:val="8"/>
        </w:numPr>
      </w:pPr>
      <w:r>
        <w:t>Everything is a matter of race, P.375: “An Oriental lives in the Orient, he lives a life of Oriental ease, in a state of Oriental despotism and sensuality, imbued with a feeling of Oriental fatalism.”</w:t>
      </w:r>
    </w:p>
    <w:p w14:paraId="6E7ED3C9" w14:textId="77777777" w:rsidR="00F51696" w:rsidRDefault="00156632" w:rsidP="00F51696">
      <w:pPr>
        <w:pStyle w:val="ListParagraph"/>
        <w:numPr>
          <w:ilvl w:val="0"/>
          <w:numId w:val="8"/>
        </w:numPr>
      </w:pPr>
      <w:r>
        <w:t xml:space="preserve">Otherness, a “living tableau of queerness”: “The whole Orient can be made to serve as an illustration of a particular form of eccentricity. Although the individual Oriental cannot shake or disturb the general categorise that make sense of his oddness, his oddness can nevertheless be enjoyed for its own sake.” </w:t>
      </w:r>
      <w:r>
        <w:sym w:font="Wingdings" w:char="F0E0"/>
      </w:r>
      <w:r>
        <w:t xml:space="preserve"> “The Orient is </w:t>
      </w:r>
      <w:r>
        <w:rPr>
          <w:i/>
        </w:rPr>
        <w:t>watched</w:t>
      </w:r>
      <w:r>
        <w:t>, since its almost (but never quite) offensive behaviour issues out of a reservoir of infinite peculiarity; the European, whose sensibility tours the Orient, is a watcher, never involved, always detached, always reader for new examples of … ‘bizzare jouissance’.”</w:t>
      </w:r>
    </w:p>
    <w:p w14:paraId="128FB9A3" w14:textId="77777777" w:rsidR="00F51696" w:rsidRDefault="00F51696" w:rsidP="00F51696">
      <w:r>
        <w:t>The Orientalist:</w:t>
      </w:r>
    </w:p>
    <w:p w14:paraId="2ED1602F" w14:textId="77777777" w:rsidR="00F51696" w:rsidRDefault="00B25B14" w:rsidP="00F51696">
      <w:pPr>
        <w:pStyle w:val="ListParagraph"/>
        <w:numPr>
          <w:ilvl w:val="0"/>
          <w:numId w:val="8"/>
        </w:numPr>
      </w:pPr>
      <w:r>
        <w:t xml:space="preserve">Objectivity </w:t>
      </w:r>
      <w:r w:rsidR="00F51696">
        <w:t>is impossible against orthodoxy,</w:t>
      </w:r>
      <w:r>
        <w:t xml:space="preserve"> P.376: “As a judge of the Orient, the modern Orientalist does not, as he believes and even says, stand apart from it objectively. His human detachment, whose sign is the absence of sympathy covered by professional knowledge, is weighted heavily with all the orthodox attitudes, perspectives, and moods of Orientalism … His Orient is not the Orient as it is, but the Orient as it has been Orientalised.”</w:t>
      </w:r>
    </w:p>
    <w:p w14:paraId="3163A6DE" w14:textId="77777777" w:rsidR="00874099" w:rsidRDefault="00F51696" w:rsidP="00F51696">
      <w:pPr>
        <w:pStyle w:val="ListParagraph"/>
        <w:numPr>
          <w:ilvl w:val="0"/>
          <w:numId w:val="8"/>
        </w:numPr>
      </w:pPr>
      <w:r>
        <w:t>The disparity between the past and the present, a failure to adapt to the present: a “time-lag, not only between orientalist science and the material under study, but also … between the conceptions, the methods and the instruments of work in the human/social sciences and those of orientalism.”</w:t>
      </w:r>
    </w:p>
    <w:p w14:paraId="57056A8A" w14:textId="77777777" w:rsidR="00A55AD8" w:rsidRDefault="00874099" w:rsidP="00A55AD8">
      <w:pPr>
        <w:pStyle w:val="ListParagraph"/>
        <w:numPr>
          <w:ilvl w:val="0"/>
          <w:numId w:val="8"/>
        </w:numPr>
      </w:pPr>
      <w:r>
        <w:t xml:space="preserve">An imperative for a new approach to Orientalism: “What we now need … is the traditional Orientalist </w:t>
      </w:r>
      <w:r>
        <w:rPr>
          <w:i/>
        </w:rPr>
        <w:t>plus</w:t>
      </w:r>
      <w:r>
        <w:t xml:space="preserve"> a good social scientist working together: between them the two will do ‘interdisciplinary’ work. Yet the traditional Orientalist will not bring outdated knowledge to bear on the Orient; no, his expertise will serve to remind his uninitiated colleagues in area studies that ‘to apply the psychology and mechanics of Western political institutions to Asian or Arab situations is pure Walt Disney’.”</w:t>
      </w:r>
      <w:r w:rsidR="00A55AD8">
        <w:t xml:space="preserve"> </w:t>
      </w:r>
      <w:r w:rsidR="00A55AD8">
        <w:sym w:font="Wingdings" w:char="F0E0"/>
      </w:r>
      <w:r w:rsidR="00A55AD8">
        <w:t xml:space="preserve"> AN ORIENTAL MUST BE ADDRESSED IN ORIENTAL TERMS, NOT IN THE ORIENTALIST’S</w:t>
      </w:r>
    </w:p>
    <w:p w14:paraId="05D50C73" w14:textId="77777777" w:rsidR="00A55AD8" w:rsidRDefault="00A55AD8" w:rsidP="00A55AD8">
      <w:pPr>
        <w:pStyle w:val="ListParagraph"/>
        <w:numPr>
          <w:ilvl w:val="0"/>
          <w:numId w:val="8"/>
        </w:numPr>
      </w:pPr>
      <w:r>
        <w:t>The hegemonism of possessing minorities, and the alliance between anthropocentrism with Europocentrism, P.379: “Always there lurks the assumption that although the Western consumer belongs to a numerical minority, he is entitled either to own or to expend (or both) the majority of the world resources. Why? Because he, unlike the Oriental, is a true human being … a while middle-class Westerner believes it his human prerogative not only to manage the nonwhite world but also to own it, just because by definition ‘it’ is not quite as human as ‘we’ are.”</w:t>
      </w:r>
    </w:p>
    <w:p w14:paraId="594B42DC" w14:textId="77777777" w:rsidR="003E03DB" w:rsidRPr="0006111D" w:rsidRDefault="00A55AD8" w:rsidP="00A55AD8">
      <w:pPr>
        <w:pStyle w:val="ListParagraph"/>
        <w:numPr>
          <w:ilvl w:val="0"/>
          <w:numId w:val="8"/>
        </w:numPr>
      </w:pPr>
      <w:r>
        <w:t xml:space="preserve">Limitations, which “follow upon disregarding, essentialising, denuding the humanity of another culture, people, or geographical region”: “it views the Orient as something whose existence is not only displayed but has remained fixed in time and place for the West.” </w:t>
      </w:r>
      <w:r>
        <w:sym w:font="Wingdings" w:char="F0E0"/>
      </w:r>
      <w:r>
        <w:t xml:space="preserve"> disparity between texts and reality</w:t>
      </w:r>
    </w:p>
    <w:sectPr w:rsidR="003E03DB" w:rsidRPr="0006111D" w:rsidSect="003E03DB">
      <w:headerReference w:type="even" r:id="rId8"/>
      <w:headerReference w:type="default" r:id="rId9"/>
      <w:footerReference w:type="even" r:id="rId10"/>
      <w:footerReference w:type="default" r:id="rId11"/>
      <w:headerReference w:type="first" r:id="rId12"/>
      <w:footerReference w:type="first" r:id="rId13"/>
      <w:pgSz w:w="11900" w:h="16840"/>
      <w:pgMar w:top="1440" w:right="1797" w:bottom="1440" w:left="1797" w:header="709" w:footer="709"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C516A9" w14:textId="77777777" w:rsidR="002D40D5" w:rsidRDefault="002D40D5" w:rsidP="002D40D5">
      <w:r>
        <w:separator/>
      </w:r>
    </w:p>
  </w:endnote>
  <w:endnote w:type="continuationSeparator" w:id="0">
    <w:p w14:paraId="1BFAC15A" w14:textId="77777777" w:rsidR="002D40D5" w:rsidRDefault="002D40D5" w:rsidP="002D40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Theme Headings)">
    <w:altName w:val="Times New Roman"/>
    <w:panose1 w:val="00000000000000000000"/>
    <w:charset w:val="4D"/>
    <w:family w:val="roman"/>
    <w:notTrueType/>
    <w:pitch w:val="default"/>
    <w:sig w:usb0="00000003" w:usb1="00000000" w:usb2="00000000" w:usb3="00000000" w:csb0="00000001"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7B88B9" w14:textId="77777777" w:rsidR="002D40D5" w:rsidRDefault="002D40D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4920F4" w14:textId="77777777" w:rsidR="002D40D5" w:rsidRDefault="002D40D5">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1CEF85" w14:textId="77777777" w:rsidR="002D40D5" w:rsidRDefault="002D40D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50DCC5" w14:textId="77777777" w:rsidR="002D40D5" w:rsidRDefault="002D40D5" w:rsidP="002D40D5">
      <w:r>
        <w:separator/>
      </w:r>
    </w:p>
  </w:footnote>
  <w:footnote w:type="continuationSeparator" w:id="0">
    <w:p w14:paraId="08A0652A" w14:textId="77777777" w:rsidR="002D40D5" w:rsidRDefault="002D40D5" w:rsidP="002D40D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F2362A" w14:textId="77777777" w:rsidR="002D40D5" w:rsidRDefault="002D40D5">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86A307" w14:textId="77777777" w:rsidR="002D40D5" w:rsidRDefault="002D40D5">
    <w:pPr>
      <w:pStyle w:val="Header"/>
    </w:pPr>
    <w:r>
      <w:t>Daryl Yam</w:t>
    </w:r>
    <w:r>
      <w:tab/>
    </w:r>
    <w:r>
      <w:tab/>
    </w:r>
    <w:r>
      <w:tab/>
      <w:t>2.7</w:t>
    </w:r>
    <w:bookmarkStart w:id="0" w:name="_GoBack"/>
    <w:bookmarkEnd w:id="0"/>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67439D" w14:textId="77777777" w:rsidR="002D40D5" w:rsidRDefault="002D40D5">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E4515"/>
    <w:multiLevelType w:val="hybridMultilevel"/>
    <w:tmpl w:val="F8FC88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806441"/>
    <w:multiLevelType w:val="hybridMultilevel"/>
    <w:tmpl w:val="4888D9F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1445EEE"/>
    <w:multiLevelType w:val="hybridMultilevel"/>
    <w:tmpl w:val="1D300840"/>
    <w:lvl w:ilvl="0" w:tplc="E260043A">
      <w:start w:val="1"/>
      <w:numFmt w:val="bullet"/>
      <w:lvlText w:val="-"/>
      <w:lvlJc w:val="left"/>
      <w:pPr>
        <w:tabs>
          <w:tab w:val="num" w:pos="284"/>
        </w:tabs>
        <w:ind w:left="284" w:hanging="171"/>
      </w:pPr>
      <w:rPr>
        <w:rFonts w:ascii="Calibri (Theme Headings)" w:hAnsi="Calibri (Theme Hea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20C6F15"/>
    <w:multiLevelType w:val="hybridMultilevel"/>
    <w:tmpl w:val="8D7EB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3E83949"/>
    <w:multiLevelType w:val="hybridMultilevel"/>
    <w:tmpl w:val="A88A3A84"/>
    <w:lvl w:ilvl="0" w:tplc="E260043A">
      <w:start w:val="1"/>
      <w:numFmt w:val="bullet"/>
      <w:lvlText w:val="-"/>
      <w:lvlJc w:val="left"/>
      <w:pPr>
        <w:tabs>
          <w:tab w:val="num" w:pos="531"/>
        </w:tabs>
        <w:ind w:left="531" w:hanging="171"/>
      </w:pPr>
      <w:rPr>
        <w:rFonts w:ascii="Calibri (Theme Headings)" w:hAnsi="Calibri (Theme Headings)" w:hint="default"/>
      </w:rPr>
    </w:lvl>
    <w:lvl w:ilvl="1" w:tplc="04090003" w:tentative="1">
      <w:start w:val="1"/>
      <w:numFmt w:val="bullet"/>
      <w:lvlText w:val="o"/>
      <w:lvlJc w:val="left"/>
      <w:pPr>
        <w:ind w:left="1687" w:hanging="360"/>
      </w:pPr>
      <w:rPr>
        <w:rFonts w:ascii="Courier New" w:hAnsi="Courier New" w:hint="default"/>
      </w:rPr>
    </w:lvl>
    <w:lvl w:ilvl="2" w:tplc="04090005" w:tentative="1">
      <w:start w:val="1"/>
      <w:numFmt w:val="bullet"/>
      <w:lvlText w:val=""/>
      <w:lvlJc w:val="left"/>
      <w:pPr>
        <w:ind w:left="2407" w:hanging="360"/>
      </w:pPr>
      <w:rPr>
        <w:rFonts w:ascii="Wingdings" w:hAnsi="Wingdings" w:hint="default"/>
      </w:rPr>
    </w:lvl>
    <w:lvl w:ilvl="3" w:tplc="04090001" w:tentative="1">
      <w:start w:val="1"/>
      <w:numFmt w:val="bullet"/>
      <w:lvlText w:val=""/>
      <w:lvlJc w:val="left"/>
      <w:pPr>
        <w:ind w:left="3127" w:hanging="360"/>
      </w:pPr>
      <w:rPr>
        <w:rFonts w:ascii="Symbol" w:hAnsi="Symbol" w:hint="default"/>
      </w:rPr>
    </w:lvl>
    <w:lvl w:ilvl="4" w:tplc="04090003" w:tentative="1">
      <w:start w:val="1"/>
      <w:numFmt w:val="bullet"/>
      <w:lvlText w:val="o"/>
      <w:lvlJc w:val="left"/>
      <w:pPr>
        <w:ind w:left="3847" w:hanging="360"/>
      </w:pPr>
      <w:rPr>
        <w:rFonts w:ascii="Courier New" w:hAnsi="Courier New" w:hint="default"/>
      </w:rPr>
    </w:lvl>
    <w:lvl w:ilvl="5" w:tplc="04090005" w:tentative="1">
      <w:start w:val="1"/>
      <w:numFmt w:val="bullet"/>
      <w:lvlText w:val=""/>
      <w:lvlJc w:val="left"/>
      <w:pPr>
        <w:ind w:left="4567" w:hanging="360"/>
      </w:pPr>
      <w:rPr>
        <w:rFonts w:ascii="Wingdings" w:hAnsi="Wingdings" w:hint="default"/>
      </w:rPr>
    </w:lvl>
    <w:lvl w:ilvl="6" w:tplc="04090001" w:tentative="1">
      <w:start w:val="1"/>
      <w:numFmt w:val="bullet"/>
      <w:lvlText w:val=""/>
      <w:lvlJc w:val="left"/>
      <w:pPr>
        <w:ind w:left="5287" w:hanging="360"/>
      </w:pPr>
      <w:rPr>
        <w:rFonts w:ascii="Symbol" w:hAnsi="Symbol" w:hint="default"/>
      </w:rPr>
    </w:lvl>
    <w:lvl w:ilvl="7" w:tplc="04090003" w:tentative="1">
      <w:start w:val="1"/>
      <w:numFmt w:val="bullet"/>
      <w:lvlText w:val="o"/>
      <w:lvlJc w:val="left"/>
      <w:pPr>
        <w:ind w:left="6007" w:hanging="360"/>
      </w:pPr>
      <w:rPr>
        <w:rFonts w:ascii="Courier New" w:hAnsi="Courier New" w:hint="default"/>
      </w:rPr>
    </w:lvl>
    <w:lvl w:ilvl="8" w:tplc="04090005" w:tentative="1">
      <w:start w:val="1"/>
      <w:numFmt w:val="bullet"/>
      <w:lvlText w:val=""/>
      <w:lvlJc w:val="left"/>
      <w:pPr>
        <w:ind w:left="6727" w:hanging="360"/>
      </w:pPr>
      <w:rPr>
        <w:rFonts w:ascii="Wingdings" w:hAnsi="Wingdings" w:hint="default"/>
      </w:rPr>
    </w:lvl>
  </w:abstractNum>
  <w:abstractNum w:abstractNumId="5">
    <w:nsid w:val="45871B40"/>
    <w:multiLevelType w:val="hybridMultilevel"/>
    <w:tmpl w:val="3F18CF8C"/>
    <w:lvl w:ilvl="0" w:tplc="E260043A">
      <w:start w:val="1"/>
      <w:numFmt w:val="bullet"/>
      <w:lvlText w:val="-"/>
      <w:lvlJc w:val="left"/>
      <w:pPr>
        <w:tabs>
          <w:tab w:val="num" w:pos="531"/>
        </w:tabs>
        <w:ind w:left="531" w:hanging="171"/>
      </w:pPr>
      <w:rPr>
        <w:rFonts w:ascii="Calibri (Theme Headings)" w:hAnsi="Calibri (Theme Hea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14174A7"/>
    <w:multiLevelType w:val="hybridMultilevel"/>
    <w:tmpl w:val="D17E84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6E0172C"/>
    <w:multiLevelType w:val="hybridMultilevel"/>
    <w:tmpl w:val="6CC41FA6"/>
    <w:lvl w:ilvl="0" w:tplc="E260043A">
      <w:start w:val="1"/>
      <w:numFmt w:val="bullet"/>
      <w:lvlText w:val="-"/>
      <w:lvlJc w:val="left"/>
      <w:pPr>
        <w:tabs>
          <w:tab w:val="num" w:pos="284"/>
        </w:tabs>
        <w:ind w:left="284" w:hanging="171"/>
      </w:pPr>
      <w:rPr>
        <w:rFonts w:ascii="Calibri (Theme Headings)" w:hAnsi="Calibri (Theme Hea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45144C3"/>
    <w:multiLevelType w:val="hybridMultilevel"/>
    <w:tmpl w:val="438CC810"/>
    <w:lvl w:ilvl="0" w:tplc="E260043A">
      <w:start w:val="1"/>
      <w:numFmt w:val="bullet"/>
      <w:lvlText w:val="-"/>
      <w:lvlJc w:val="left"/>
      <w:pPr>
        <w:tabs>
          <w:tab w:val="num" w:pos="531"/>
        </w:tabs>
        <w:ind w:left="531" w:hanging="171"/>
      </w:pPr>
      <w:rPr>
        <w:rFonts w:ascii="Calibri (Theme Headings)" w:hAnsi="Calibri (Theme Hea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9C95C44"/>
    <w:multiLevelType w:val="hybridMultilevel"/>
    <w:tmpl w:val="E62CD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
  </w:num>
  <w:num w:numId="3">
    <w:abstractNumId w:val="6"/>
  </w:num>
  <w:num w:numId="4">
    <w:abstractNumId w:val="0"/>
  </w:num>
  <w:num w:numId="5">
    <w:abstractNumId w:val="5"/>
  </w:num>
  <w:num w:numId="6">
    <w:abstractNumId w:val="8"/>
  </w:num>
  <w:num w:numId="7">
    <w:abstractNumId w:val="3"/>
  </w:num>
  <w:num w:numId="8">
    <w:abstractNumId w:val="4"/>
  </w:num>
  <w:num w:numId="9">
    <w:abstractNumId w:val="2"/>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doNotTrackMove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rsids>
    <w:rsidRoot w:val="003E03DB"/>
    <w:rsid w:val="0006111D"/>
    <w:rsid w:val="00156632"/>
    <w:rsid w:val="002D40D5"/>
    <w:rsid w:val="003474D2"/>
    <w:rsid w:val="003E03DB"/>
    <w:rsid w:val="00874099"/>
    <w:rsid w:val="00A55AD8"/>
    <w:rsid w:val="00B25B14"/>
    <w:rsid w:val="00F5169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E4B08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456A"/>
    <w:rPr>
      <w:rFonts w:ascii="Times New Roman" w:hAnsi="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03DB"/>
    <w:pPr>
      <w:ind w:left="720"/>
      <w:contextualSpacing/>
    </w:pPr>
  </w:style>
  <w:style w:type="paragraph" w:styleId="Header">
    <w:name w:val="header"/>
    <w:basedOn w:val="Normal"/>
    <w:link w:val="HeaderChar"/>
    <w:uiPriority w:val="99"/>
    <w:unhideWhenUsed/>
    <w:rsid w:val="002D40D5"/>
    <w:pPr>
      <w:tabs>
        <w:tab w:val="center" w:pos="4320"/>
        <w:tab w:val="right" w:pos="8640"/>
      </w:tabs>
    </w:pPr>
  </w:style>
  <w:style w:type="character" w:customStyle="1" w:styleId="HeaderChar">
    <w:name w:val="Header Char"/>
    <w:basedOn w:val="DefaultParagraphFont"/>
    <w:link w:val="Header"/>
    <w:uiPriority w:val="99"/>
    <w:rsid w:val="002D40D5"/>
    <w:rPr>
      <w:rFonts w:ascii="Times New Roman" w:hAnsi="Times New Roman"/>
      <w:lang w:val="en-GB"/>
    </w:rPr>
  </w:style>
  <w:style w:type="paragraph" w:styleId="Footer">
    <w:name w:val="footer"/>
    <w:basedOn w:val="Normal"/>
    <w:link w:val="FooterChar"/>
    <w:uiPriority w:val="99"/>
    <w:unhideWhenUsed/>
    <w:rsid w:val="002D40D5"/>
    <w:pPr>
      <w:tabs>
        <w:tab w:val="center" w:pos="4320"/>
        <w:tab w:val="right" w:pos="8640"/>
      </w:tabs>
    </w:pPr>
  </w:style>
  <w:style w:type="character" w:customStyle="1" w:styleId="FooterChar">
    <w:name w:val="Footer Char"/>
    <w:basedOn w:val="DefaultParagraphFont"/>
    <w:link w:val="Footer"/>
    <w:uiPriority w:val="99"/>
    <w:rsid w:val="002D40D5"/>
    <w:rPr>
      <w:rFonts w:ascii="Times New Roman" w:hAnsi="Times New Roman"/>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91</TotalTime>
  <Pages>2</Pages>
  <Words>1014</Words>
  <Characters>5784</Characters>
  <Application>Microsoft Macintosh Word</Application>
  <DocSecurity>0</DocSecurity>
  <Lines>48</Lines>
  <Paragraphs>13</Paragraphs>
  <ScaleCrop>false</ScaleCrop>
  <Company/>
  <LinksUpToDate>false</LinksUpToDate>
  <CharactersWithSpaces>6785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Nick Collins</cp:lastModifiedBy>
  <cp:revision>2</cp:revision>
  <dcterms:created xsi:type="dcterms:W3CDTF">2013-02-20T12:39:00Z</dcterms:created>
  <dcterms:modified xsi:type="dcterms:W3CDTF">2013-02-27T13:52:00Z</dcterms:modified>
</cp:coreProperties>
</file>