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7FD5" w:rsidRDefault="00CC2B21" w:rsidP="00792A86">
      <w:pPr>
        <w:spacing w:after="0" w:line="240" w:lineRule="auto"/>
        <w:rPr>
          <w:b/>
          <w:u w:val="single"/>
          <w:lang w:val="en-US"/>
        </w:rPr>
      </w:pPr>
      <w:r w:rsidRPr="00764F16">
        <w:rPr>
          <w:b/>
          <w:u w:val="single"/>
          <w:lang w:val="en-US"/>
        </w:rPr>
        <w:t>EN 122 Modes of Reading</w:t>
      </w:r>
    </w:p>
    <w:p w:rsidR="00CC2B21" w:rsidRPr="00792A86" w:rsidRDefault="00CC771E" w:rsidP="00792A86">
      <w:pPr>
        <w:spacing w:after="0" w:line="240" w:lineRule="auto"/>
        <w:rPr>
          <w:lang w:val="en-US"/>
        </w:rPr>
      </w:pPr>
      <w:proofErr w:type="gramStart"/>
      <w:r>
        <w:rPr>
          <w:lang w:val="en-US"/>
        </w:rPr>
        <w:t xml:space="preserve">Presentation by Hélène </w:t>
      </w:r>
      <w:proofErr w:type="spellStart"/>
      <w:r>
        <w:rPr>
          <w:lang w:val="en-US"/>
        </w:rPr>
        <w:t>Dessauge</w:t>
      </w:r>
      <w:proofErr w:type="spellEnd"/>
      <w:r>
        <w:rPr>
          <w:lang w:val="en-US"/>
        </w:rPr>
        <w:t>.</w:t>
      </w:r>
      <w:proofErr w:type="gramEnd"/>
    </w:p>
    <w:p w:rsidR="00764F16" w:rsidRDefault="00CC2B21" w:rsidP="00792A86">
      <w:pPr>
        <w:spacing w:line="240" w:lineRule="auto"/>
        <w:jc w:val="center"/>
        <w:rPr>
          <w:b/>
          <w:i/>
          <w:u w:val="single"/>
          <w:lang w:val="en-US"/>
        </w:rPr>
      </w:pPr>
      <w:r w:rsidRPr="00764F16">
        <w:rPr>
          <w:b/>
          <w:u w:val="single"/>
          <w:lang w:val="en-US"/>
        </w:rPr>
        <w:t xml:space="preserve">Edward Said: </w:t>
      </w:r>
      <w:proofErr w:type="spellStart"/>
      <w:r w:rsidRPr="00764F16">
        <w:rPr>
          <w:b/>
          <w:i/>
          <w:u w:val="single"/>
          <w:lang w:val="en-US"/>
        </w:rPr>
        <w:t>Orientalism</w:t>
      </w:r>
      <w:proofErr w:type="spellEnd"/>
    </w:p>
    <w:p w:rsidR="00764F16" w:rsidRPr="00764F16" w:rsidRDefault="00764F16" w:rsidP="00764F16">
      <w:pPr>
        <w:pStyle w:val="Paragraphedeliste"/>
        <w:numPr>
          <w:ilvl w:val="0"/>
          <w:numId w:val="1"/>
        </w:numPr>
        <w:rPr>
          <w:b/>
          <w:i/>
          <w:u w:val="single"/>
          <w:lang w:val="en-US"/>
        </w:rPr>
      </w:pPr>
      <w:r w:rsidRPr="00764F16">
        <w:rPr>
          <w:u w:val="single"/>
          <w:lang w:val="en-US"/>
        </w:rPr>
        <w:t>The author:</w:t>
      </w:r>
    </w:p>
    <w:p w:rsidR="00FE3477" w:rsidRDefault="00764F16" w:rsidP="00981502">
      <w:pPr>
        <w:ind w:firstLine="360"/>
        <w:jc w:val="both"/>
        <w:rPr>
          <w:lang w:val="en-US"/>
        </w:rPr>
      </w:pPr>
      <w:r>
        <w:rPr>
          <w:lang w:val="en-US"/>
        </w:rPr>
        <w:t xml:space="preserve">Edward Said is a Palestinian </w:t>
      </w:r>
      <w:r w:rsidR="00981502">
        <w:rPr>
          <w:lang w:val="en-US"/>
        </w:rPr>
        <w:t xml:space="preserve">who was </w:t>
      </w:r>
      <w:r>
        <w:rPr>
          <w:lang w:val="en-US"/>
        </w:rPr>
        <w:t>educated in Egypt,</w:t>
      </w:r>
      <w:r w:rsidR="00981502">
        <w:rPr>
          <w:lang w:val="en-US"/>
        </w:rPr>
        <w:t xml:space="preserve"> in Palestine (countries who had been under British rule) </w:t>
      </w:r>
      <w:r>
        <w:rPr>
          <w:lang w:val="en-US"/>
        </w:rPr>
        <w:t>and in the U</w:t>
      </w:r>
      <w:r w:rsidR="00981502">
        <w:rPr>
          <w:lang w:val="en-US"/>
        </w:rPr>
        <w:t xml:space="preserve">nited </w:t>
      </w:r>
      <w:r>
        <w:rPr>
          <w:lang w:val="en-US"/>
        </w:rPr>
        <w:t>S</w:t>
      </w:r>
      <w:r w:rsidR="00981502">
        <w:rPr>
          <w:lang w:val="en-US"/>
        </w:rPr>
        <w:t>tates</w:t>
      </w:r>
      <w:r>
        <w:rPr>
          <w:lang w:val="en-US"/>
        </w:rPr>
        <w:t xml:space="preserve">.  His text </w:t>
      </w:r>
      <w:r>
        <w:rPr>
          <w:i/>
          <w:lang w:val="en-US"/>
        </w:rPr>
        <w:t xml:space="preserve">Orientalism </w:t>
      </w:r>
      <w:r>
        <w:rPr>
          <w:lang w:val="en-US"/>
        </w:rPr>
        <w:t>is the foundational text of postcolonial criticism. His background gave him an interest in the representation of the colonized subject in western culture and the relationship between culture and political imperialism. He has been influenced by Michel Foucault: culture and knowledge are tools of political power and oppression.</w:t>
      </w:r>
    </w:p>
    <w:p w:rsidR="00FE3477" w:rsidRPr="00FE3477" w:rsidRDefault="00FE3477" w:rsidP="00792A86">
      <w:pPr>
        <w:pStyle w:val="Paragraphedeliste"/>
        <w:numPr>
          <w:ilvl w:val="0"/>
          <w:numId w:val="1"/>
        </w:numPr>
        <w:spacing w:after="0" w:line="240" w:lineRule="auto"/>
        <w:jc w:val="both"/>
        <w:rPr>
          <w:u w:val="single"/>
          <w:lang w:val="en-US"/>
        </w:rPr>
      </w:pPr>
      <w:r w:rsidRPr="00FE3477">
        <w:rPr>
          <w:u w:val="single"/>
          <w:lang w:val="en-US"/>
        </w:rPr>
        <w:t>His theory: Orientalism:</w:t>
      </w:r>
    </w:p>
    <w:p w:rsidR="00792A86" w:rsidRDefault="00764F16" w:rsidP="00792A86">
      <w:pPr>
        <w:spacing w:after="0" w:line="240" w:lineRule="auto"/>
        <w:ind w:firstLine="360"/>
        <w:jc w:val="both"/>
        <w:rPr>
          <w:lang w:val="en-US"/>
        </w:rPr>
      </w:pPr>
      <w:r>
        <w:rPr>
          <w:lang w:val="en-US"/>
        </w:rPr>
        <w:t xml:space="preserve"> </w:t>
      </w:r>
      <w:r w:rsidR="00FE3477">
        <w:rPr>
          <w:lang w:val="en-US"/>
        </w:rPr>
        <w:t>“Orientalism is the discourse of</w:t>
      </w:r>
      <w:r w:rsidR="00FA48FF">
        <w:rPr>
          <w:lang w:val="en-US"/>
        </w:rPr>
        <w:t xml:space="preserve"> t</w:t>
      </w:r>
      <w:r w:rsidR="007462B5">
        <w:rPr>
          <w:lang w:val="en-US"/>
        </w:rPr>
        <w:t>he West about the East” (</w:t>
      </w:r>
      <w:r w:rsidR="00FA48FF">
        <w:rPr>
          <w:lang w:val="en-US"/>
        </w:rPr>
        <w:t>Said</w:t>
      </w:r>
      <w:r w:rsidR="00FE3477">
        <w:rPr>
          <w:lang w:val="en-US"/>
        </w:rPr>
        <w:t>, 367).</w:t>
      </w:r>
    </w:p>
    <w:p w:rsidR="00792A86" w:rsidRDefault="00792A86" w:rsidP="00792A86">
      <w:pPr>
        <w:spacing w:after="0" w:line="240" w:lineRule="auto"/>
        <w:ind w:firstLine="360"/>
        <w:jc w:val="both"/>
        <w:rPr>
          <w:lang w:val="en-US"/>
        </w:rPr>
      </w:pPr>
    </w:p>
    <w:p w:rsidR="00FE3477" w:rsidRDefault="00FE3477" w:rsidP="00792A86">
      <w:pPr>
        <w:spacing w:after="0" w:line="240" w:lineRule="auto"/>
        <w:ind w:firstLine="360"/>
        <w:jc w:val="both"/>
        <w:rPr>
          <w:lang w:val="en-US"/>
        </w:rPr>
      </w:pPr>
      <w:r>
        <w:rPr>
          <w:lang w:val="en-US"/>
        </w:rPr>
        <w:t xml:space="preserve">Said defined </w:t>
      </w:r>
      <w:proofErr w:type="spellStart"/>
      <w:r>
        <w:rPr>
          <w:lang w:val="en-US"/>
        </w:rPr>
        <w:t>Orientalism</w:t>
      </w:r>
      <w:proofErr w:type="spellEnd"/>
      <w:r>
        <w:rPr>
          <w:lang w:val="en-US"/>
        </w:rPr>
        <w:t xml:space="preserve"> as being a western discourse on the East creating and perpetuating stereotypes and those stereotypes legitimized colonial oppression by presenting th</w:t>
      </w:r>
      <w:r w:rsidR="00FA48FF">
        <w:rPr>
          <w:lang w:val="en-US"/>
        </w:rPr>
        <w:t>e colonized subject as being</w:t>
      </w:r>
      <w:r>
        <w:rPr>
          <w:lang w:val="en-US"/>
        </w:rPr>
        <w:t xml:space="preserve"> “other” and unworthy of self-determination. Said argues that western writings about the East function as the branch of the imperial</w:t>
      </w:r>
      <w:r w:rsidR="007462B5">
        <w:rPr>
          <w:lang w:val="en-US"/>
        </w:rPr>
        <w:t xml:space="preserve"> project of colonizing the East:</w:t>
      </w:r>
      <w:r>
        <w:rPr>
          <w:lang w:val="en-US"/>
        </w:rPr>
        <w:t xml:space="preserve"> </w:t>
      </w:r>
      <w:r w:rsidR="007462B5">
        <w:rPr>
          <w:lang w:val="en-US"/>
        </w:rPr>
        <w:t xml:space="preserve">“The scope of </w:t>
      </w:r>
      <w:proofErr w:type="spellStart"/>
      <w:r w:rsidR="007462B5">
        <w:rPr>
          <w:lang w:val="en-US"/>
        </w:rPr>
        <w:t>Orientalism</w:t>
      </w:r>
      <w:proofErr w:type="spellEnd"/>
      <w:r w:rsidR="007462B5">
        <w:rPr>
          <w:lang w:val="en-US"/>
        </w:rPr>
        <w:t xml:space="preserve"> exactly matched the scope of empire” (Said, 376).</w:t>
      </w:r>
    </w:p>
    <w:p w:rsidR="00792A86" w:rsidRDefault="00792A86" w:rsidP="00792A86">
      <w:pPr>
        <w:spacing w:after="0" w:line="240" w:lineRule="auto"/>
        <w:ind w:firstLine="360"/>
        <w:jc w:val="both"/>
        <w:rPr>
          <w:lang w:val="en-US"/>
        </w:rPr>
      </w:pPr>
    </w:p>
    <w:p w:rsidR="00FE3477" w:rsidRDefault="00FE3477" w:rsidP="00792A86">
      <w:pPr>
        <w:spacing w:after="0" w:line="240" w:lineRule="auto"/>
        <w:ind w:firstLine="360"/>
        <w:jc w:val="both"/>
        <w:rPr>
          <w:lang w:val="en-US"/>
        </w:rPr>
      </w:pPr>
      <w:r>
        <w:rPr>
          <w:lang w:val="en-US"/>
        </w:rPr>
        <w:t>Introduction to his book: “Orient</w:t>
      </w:r>
      <w:r w:rsidR="005C2BAC">
        <w:rPr>
          <w:lang w:val="en-US"/>
        </w:rPr>
        <w:t>alism can be discussed and analy</w:t>
      </w:r>
      <w:r>
        <w:rPr>
          <w:lang w:val="en-US"/>
        </w:rPr>
        <w:t>zed as the corporate institution for dealing with the Orient</w:t>
      </w:r>
      <w:r w:rsidR="005C2BAC">
        <w:rPr>
          <w:lang w:val="en-US"/>
        </w:rPr>
        <w:t xml:space="preserve"> -  dealing with it</w:t>
      </w:r>
      <w:r w:rsidR="00E0700C">
        <w:rPr>
          <w:lang w:val="en-US"/>
        </w:rPr>
        <w:t xml:space="preserve"> by making statements about it, authorizing views of it, describing it, by teaching it, settling it, ruling over it: in short, Orientalism as a Western style for dominating, restructuring, and having a</w:t>
      </w:r>
      <w:r w:rsidR="00FA48FF">
        <w:rPr>
          <w:lang w:val="en-US"/>
        </w:rPr>
        <w:t>ut</w:t>
      </w:r>
      <w:r w:rsidR="007462B5">
        <w:rPr>
          <w:lang w:val="en-US"/>
        </w:rPr>
        <w:t>hority over the orient” (</w:t>
      </w:r>
      <w:r w:rsidR="00FA48FF">
        <w:rPr>
          <w:lang w:val="en-US"/>
        </w:rPr>
        <w:t>Said</w:t>
      </w:r>
      <w:r w:rsidR="00E0700C">
        <w:rPr>
          <w:lang w:val="en-US"/>
        </w:rPr>
        <w:t>, 367).</w:t>
      </w:r>
    </w:p>
    <w:p w:rsidR="00792A86" w:rsidRDefault="00792A86" w:rsidP="00792A86">
      <w:pPr>
        <w:spacing w:after="0" w:line="240" w:lineRule="auto"/>
        <w:ind w:firstLine="360"/>
        <w:jc w:val="both"/>
        <w:rPr>
          <w:lang w:val="en-US"/>
        </w:rPr>
      </w:pPr>
    </w:p>
    <w:p w:rsidR="0052545F" w:rsidRDefault="0052545F" w:rsidP="00792A86">
      <w:pPr>
        <w:spacing w:after="0" w:line="240" w:lineRule="auto"/>
        <w:ind w:firstLine="360"/>
        <w:jc w:val="both"/>
        <w:rPr>
          <w:lang w:val="en-US"/>
        </w:rPr>
      </w:pPr>
      <w:r>
        <w:rPr>
          <w:lang w:val="en-US"/>
        </w:rPr>
        <w:t>Said explains the idea th</w:t>
      </w:r>
      <w:r w:rsidR="00FA48FF">
        <w:rPr>
          <w:lang w:val="en-US"/>
        </w:rPr>
        <w:t>at books creating stereotypes</w:t>
      </w:r>
      <w:r>
        <w:rPr>
          <w:lang w:val="en-US"/>
        </w:rPr>
        <w:t xml:space="preserve"> served as the basis for the colonial reality. </w:t>
      </w:r>
      <w:r w:rsidR="00955A43">
        <w:rPr>
          <w:lang w:val="en-US"/>
        </w:rPr>
        <w:t xml:space="preserve">The colonized subject is represented as unchanging, always the same, essentially other and strange. </w:t>
      </w:r>
      <w:r w:rsidR="00AF441F">
        <w:rPr>
          <w:lang w:val="en-US"/>
        </w:rPr>
        <w:t>He explains that attitudes that made colonization possible were shaped before the beginning of colonizing process (in the literature of the seventeenth-century, the eighteenth-century and the early nineteenth-century).  The attitudes of men are shaped by what they read in books: he gives the example of travelers saying that a country was not what they expected, meaning “it wasn’t what</w:t>
      </w:r>
      <w:r w:rsidR="00FA48FF">
        <w:rPr>
          <w:lang w:val="en-US"/>
        </w:rPr>
        <w:t xml:space="preserve"> a</w:t>
      </w:r>
      <w:r w:rsidR="007462B5">
        <w:rPr>
          <w:lang w:val="en-US"/>
        </w:rPr>
        <w:t xml:space="preserve"> book said it would be” (</w:t>
      </w:r>
      <w:r w:rsidR="00FA48FF">
        <w:rPr>
          <w:lang w:val="en-US"/>
        </w:rPr>
        <w:t>Said,</w:t>
      </w:r>
      <w:r w:rsidR="00AF441F">
        <w:rPr>
          <w:lang w:val="en-US"/>
        </w:rPr>
        <w:t xml:space="preserve"> 368). Success of the books</w:t>
      </w:r>
      <w:r w:rsidR="00AA5E23">
        <w:rPr>
          <w:lang w:val="en-US"/>
        </w:rPr>
        <w:t xml:space="preserve"> is also a factor to take into </w:t>
      </w:r>
      <w:r w:rsidR="00AF441F">
        <w:rPr>
          <w:lang w:val="en-US"/>
        </w:rPr>
        <w:t xml:space="preserve">account, meaning if we can find a similarity between what the book says and the reality, we are likely to read more books of the author and to believe what they say. </w:t>
      </w:r>
    </w:p>
    <w:p w:rsidR="00792A86" w:rsidRDefault="00792A86" w:rsidP="00792A86">
      <w:pPr>
        <w:spacing w:after="0" w:line="240" w:lineRule="auto"/>
        <w:ind w:firstLine="360"/>
        <w:jc w:val="both"/>
        <w:rPr>
          <w:lang w:val="en-US"/>
        </w:rPr>
      </w:pPr>
    </w:p>
    <w:p w:rsidR="00AA5E23" w:rsidRDefault="00AA5E23" w:rsidP="00792A86">
      <w:pPr>
        <w:spacing w:after="0" w:line="240" w:lineRule="auto"/>
        <w:ind w:firstLine="360"/>
        <w:jc w:val="both"/>
        <w:rPr>
          <w:lang w:val="en-US"/>
        </w:rPr>
      </w:pPr>
      <w:r>
        <w:rPr>
          <w:lang w:val="en-US"/>
        </w:rPr>
        <w:t>“The experiences of readers in reality are determined by what they have read, and this in turn influences writers to take up subjects defined in advanc</w:t>
      </w:r>
      <w:r w:rsidR="007462B5">
        <w:rPr>
          <w:lang w:val="en-US"/>
        </w:rPr>
        <w:t>e by readers’ experience” (Said,</w:t>
      </w:r>
      <w:r>
        <w:rPr>
          <w:lang w:val="en-US"/>
        </w:rPr>
        <w:t xml:space="preserve"> 368).</w:t>
      </w:r>
    </w:p>
    <w:p w:rsidR="00792A86" w:rsidRDefault="00792A86" w:rsidP="00792A86">
      <w:pPr>
        <w:spacing w:after="0" w:line="240" w:lineRule="auto"/>
        <w:ind w:firstLine="360"/>
        <w:jc w:val="both"/>
        <w:rPr>
          <w:lang w:val="en-US"/>
        </w:rPr>
      </w:pPr>
    </w:p>
    <w:p w:rsidR="00AA5E23" w:rsidRDefault="00AA5E23" w:rsidP="00792A86">
      <w:pPr>
        <w:spacing w:after="0" w:line="240" w:lineRule="auto"/>
        <w:ind w:firstLine="360"/>
        <w:jc w:val="both"/>
        <w:rPr>
          <w:lang w:val="en-US"/>
        </w:rPr>
      </w:pPr>
      <w:r>
        <w:rPr>
          <w:lang w:val="en-US"/>
        </w:rPr>
        <w:t>“Texts can create not only knowledge but also the very r</w:t>
      </w:r>
      <w:r w:rsidR="007462B5">
        <w:rPr>
          <w:lang w:val="en-US"/>
        </w:rPr>
        <w:t>eality they appear to describe” (Said</w:t>
      </w:r>
      <w:r w:rsidR="00C55A80">
        <w:rPr>
          <w:lang w:val="en-US"/>
        </w:rPr>
        <w:t>, 369).</w:t>
      </w:r>
    </w:p>
    <w:p w:rsidR="00792A86" w:rsidRDefault="00792A86" w:rsidP="00792A86">
      <w:pPr>
        <w:spacing w:after="0" w:line="240" w:lineRule="auto"/>
        <w:ind w:firstLine="360"/>
        <w:jc w:val="both"/>
        <w:rPr>
          <w:lang w:val="en-US"/>
        </w:rPr>
      </w:pPr>
    </w:p>
    <w:p w:rsidR="00AA5E23" w:rsidRDefault="00AA5E23" w:rsidP="00792A86">
      <w:pPr>
        <w:spacing w:after="0" w:line="240" w:lineRule="auto"/>
        <w:jc w:val="both"/>
        <w:rPr>
          <w:i/>
          <w:lang w:val="en-US"/>
        </w:rPr>
      </w:pPr>
      <w:r>
        <w:rPr>
          <w:lang w:val="en-US"/>
        </w:rPr>
        <w:t xml:space="preserve">The Western fascination for the East was coming from books dealing with this subject: Chateaubriand, </w:t>
      </w:r>
      <w:proofErr w:type="spellStart"/>
      <w:r>
        <w:rPr>
          <w:lang w:val="en-US"/>
        </w:rPr>
        <w:t>Gérard</w:t>
      </w:r>
      <w:proofErr w:type="spellEnd"/>
      <w:r>
        <w:rPr>
          <w:lang w:val="en-US"/>
        </w:rPr>
        <w:t xml:space="preserve"> de </w:t>
      </w:r>
      <w:proofErr w:type="spellStart"/>
      <w:r>
        <w:rPr>
          <w:lang w:val="en-US"/>
        </w:rPr>
        <w:t>Nerval</w:t>
      </w:r>
      <w:proofErr w:type="spellEnd"/>
      <w:r>
        <w:rPr>
          <w:lang w:val="en-US"/>
        </w:rPr>
        <w:t>, George Eliot (</w:t>
      </w:r>
      <w:r>
        <w:rPr>
          <w:i/>
          <w:lang w:val="en-US"/>
        </w:rPr>
        <w:t xml:space="preserve">Daniel </w:t>
      </w:r>
      <w:proofErr w:type="spellStart"/>
      <w:r>
        <w:rPr>
          <w:i/>
          <w:lang w:val="en-US"/>
        </w:rPr>
        <w:t>Deronda</w:t>
      </w:r>
      <w:proofErr w:type="spellEnd"/>
      <w:r>
        <w:rPr>
          <w:i/>
          <w:lang w:val="en-US"/>
        </w:rPr>
        <w:t xml:space="preserve">), </w:t>
      </w:r>
      <w:proofErr w:type="spellStart"/>
      <w:r>
        <w:rPr>
          <w:lang w:val="en-US"/>
        </w:rPr>
        <w:t>Jospeh</w:t>
      </w:r>
      <w:proofErr w:type="spellEnd"/>
      <w:r>
        <w:rPr>
          <w:lang w:val="en-US"/>
        </w:rPr>
        <w:t xml:space="preserve"> </w:t>
      </w:r>
      <w:proofErr w:type="spellStart"/>
      <w:r>
        <w:rPr>
          <w:lang w:val="en-US"/>
        </w:rPr>
        <w:t>Conroad</w:t>
      </w:r>
      <w:proofErr w:type="spellEnd"/>
      <w:r>
        <w:rPr>
          <w:lang w:val="en-US"/>
        </w:rPr>
        <w:t xml:space="preserve"> (</w:t>
      </w:r>
      <w:r>
        <w:rPr>
          <w:i/>
          <w:lang w:val="en-US"/>
        </w:rPr>
        <w:t xml:space="preserve">Heart of Darkness), </w:t>
      </w:r>
      <w:proofErr w:type="gramStart"/>
      <w:r>
        <w:rPr>
          <w:lang w:val="en-US"/>
        </w:rPr>
        <w:t>E.M</w:t>
      </w:r>
      <w:proofErr w:type="gramEnd"/>
      <w:r>
        <w:rPr>
          <w:lang w:val="en-US"/>
        </w:rPr>
        <w:t>. Forster (</w:t>
      </w:r>
      <w:r>
        <w:rPr>
          <w:i/>
          <w:lang w:val="en-US"/>
        </w:rPr>
        <w:t xml:space="preserve">A Passage to India). </w:t>
      </w:r>
      <w:r w:rsidR="00C55A80">
        <w:rPr>
          <w:i/>
          <w:lang w:val="en-US"/>
        </w:rPr>
        <w:t xml:space="preserve"> </w:t>
      </w:r>
    </w:p>
    <w:p w:rsidR="00792A86" w:rsidRDefault="00792A86" w:rsidP="00792A86">
      <w:pPr>
        <w:spacing w:after="0" w:line="240" w:lineRule="auto"/>
        <w:jc w:val="both"/>
        <w:rPr>
          <w:i/>
          <w:lang w:val="en-US"/>
        </w:rPr>
      </w:pPr>
    </w:p>
    <w:p w:rsidR="00C55A80" w:rsidRDefault="00C55A80" w:rsidP="00792A86">
      <w:pPr>
        <w:spacing w:after="0" w:line="240" w:lineRule="auto"/>
        <w:ind w:firstLine="708"/>
        <w:jc w:val="both"/>
        <w:rPr>
          <w:lang w:val="en-US"/>
        </w:rPr>
      </w:pPr>
      <w:r>
        <w:rPr>
          <w:lang w:val="en-US"/>
        </w:rPr>
        <w:t>Orientalism developed even more during the nineteenth-century and the twentieth-century because the fascination for the East was also developing at the time and “Orientalism had accomplished its self-metamorphosis from a scholarly discourse to</w:t>
      </w:r>
      <w:r w:rsidR="007462B5">
        <w:rPr>
          <w:lang w:val="en-US"/>
        </w:rPr>
        <w:t xml:space="preserve"> an imperial institution” (Said, 370). </w:t>
      </w:r>
      <w:proofErr w:type="spellStart"/>
      <w:r w:rsidR="007462B5">
        <w:rPr>
          <w:lang w:val="en-US"/>
        </w:rPr>
        <w:t>Orientalism</w:t>
      </w:r>
      <w:proofErr w:type="spellEnd"/>
      <w:r w:rsidR="007462B5">
        <w:rPr>
          <w:lang w:val="en-US"/>
        </w:rPr>
        <w:t xml:space="preserve"> </w:t>
      </w:r>
      <w:r>
        <w:rPr>
          <w:lang w:val="en-US"/>
        </w:rPr>
        <w:t>shape</w:t>
      </w:r>
      <w:r w:rsidR="007462B5">
        <w:rPr>
          <w:lang w:val="en-US"/>
        </w:rPr>
        <w:t>d</w:t>
      </w:r>
      <w:r>
        <w:rPr>
          <w:lang w:val="en-US"/>
        </w:rPr>
        <w:t xml:space="preserve"> the attitudes of colonizers toward</w:t>
      </w:r>
      <w:r w:rsidR="007462B5">
        <w:rPr>
          <w:lang w:val="en-US"/>
        </w:rPr>
        <w:t>s the colonized subjects and</w:t>
      </w:r>
      <w:r>
        <w:rPr>
          <w:lang w:val="en-US"/>
        </w:rPr>
        <w:t xml:space="preserve"> shape</w:t>
      </w:r>
      <w:r w:rsidR="007462B5">
        <w:rPr>
          <w:lang w:val="en-US"/>
        </w:rPr>
        <w:t>d</w:t>
      </w:r>
      <w:r>
        <w:rPr>
          <w:lang w:val="en-US"/>
        </w:rPr>
        <w:t xml:space="preserve"> the </w:t>
      </w:r>
      <w:r>
        <w:rPr>
          <w:lang w:val="en-US"/>
        </w:rPr>
        <w:lastRenderedPageBreak/>
        <w:t>colonizing process. Orientalism functions as a discourse based on generalization on examples sometimes taken from centuries ago: “an observation about a tenth-century Arab poet multiplied itself into a policy towards (and about) the Oriental mentality in Egypt, Iraq or Arabia”</w:t>
      </w:r>
      <w:r w:rsidR="007462B5">
        <w:rPr>
          <w:lang w:val="en-US"/>
        </w:rPr>
        <w:t xml:space="preserve"> (Said</w:t>
      </w:r>
      <w:r w:rsidR="00DC07EE">
        <w:rPr>
          <w:lang w:val="en-US"/>
        </w:rPr>
        <w:t>, 370), “</w:t>
      </w:r>
      <w:proofErr w:type="spellStart"/>
      <w:r w:rsidR="00DC07EE">
        <w:rPr>
          <w:lang w:val="en-US"/>
        </w:rPr>
        <w:t>Orientalism</w:t>
      </w:r>
      <w:proofErr w:type="spellEnd"/>
      <w:r w:rsidR="00DC07EE">
        <w:rPr>
          <w:lang w:val="en-US"/>
        </w:rPr>
        <w:t xml:space="preserve"> assumed an unchanging Orient” (</w:t>
      </w:r>
      <w:r w:rsidR="007462B5">
        <w:rPr>
          <w:lang w:val="en-US"/>
        </w:rPr>
        <w:t xml:space="preserve">Said, </w:t>
      </w:r>
      <w:r w:rsidR="00DC07EE">
        <w:rPr>
          <w:lang w:val="en-US"/>
        </w:rPr>
        <w:t xml:space="preserve">370). </w:t>
      </w:r>
      <w:r w:rsidR="00F6743B">
        <w:rPr>
          <w:lang w:val="en-US"/>
        </w:rPr>
        <w:t>Orientalism even shaped the politics and created the attitudes of politics. The colonized subject is always an ‘object’ of study but never the subject. He is described as “passive, non-participating […] non-creative, non-autonomous, non-soverei</w:t>
      </w:r>
      <w:r w:rsidR="007462B5">
        <w:rPr>
          <w:lang w:val="en-US"/>
        </w:rPr>
        <w:t>gn with regard to itself” (Said</w:t>
      </w:r>
      <w:r w:rsidR="00F6743B">
        <w:rPr>
          <w:lang w:val="en-US"/>
        </w:rPr>
        <w:t xml:space="preserve">, 371). </w:t>
      </w:r>
    </w:p>
    <w:p w:rsidR="00792A86" w:rsidRDefault="00792A86" w:rsidP="00792A86">
      <w:pPr>
        <w:spacing w:after="0" w:line="240" w:lineRule="auto"/>
        <w:ind w:firstLine="708"/>
        <w:jc w:val="both"/>
        <w:rPr>
          <w:lang w:val="en-US"/>
        </w:rPr>
      </w:pPr>
    </w:p>
    <w:p w:rsidR="00EB7A6C" w:rsidRDefault="004B412F" w:rsidP="00792A86">
      <w:pPr>
        <w:spacing w:after="0" w:line="240" w:lineRule="auto"/>
        <w:ind w:firstLine="708"/>
        <w:jc w:val="both"/>
        <w:rPr>
          <w:lang w:val="en-US"/>
        </w:rPr>
      </w:pPr>
      <w:r>
        <w:rPr>
          <w:lang w:val="en-US"/>
        </w:rPr>
        <w:t>The</w:t>
      </w:r>
      <w:r w:rsidR="00286307">
        <w:rPr>
          <w:lang w:val="en-US"/>
        </w:rPr>
        <w:t xml:space="preserve"> Oriental subject is presented </w:t>
      </w:r>
      <w:r w:rsidR="007462B5">
        <w:rPr>
          <w:lang w:val="en-US"/>
        </w:rPr>
        <w:t>as eccentric (Said</w:t>
      </w:r>
      <w:r>
        <w:rPr>
          <w:lang w:val="en-US"/>
        </w:rPr>
        <w:t xml:space="preserve">, 375). </w:t>
      </w:r>
      <w:r w:rsidR="00286307">
        <w:rPr>
          <w:lang w:val="en-US"/>
        </w:rPr>
        <w:t>Said also refers to the generality of what is assigned to the Orient, to the “disenchantment that one fe</w:t>
      </w:r>
      <w:r w:rsidR="007462B5">
        <w:rPr>
          <w:lang w:val="en-US"/>
        </w:rPr>
        <w:t>els after encountering it” (Said</w:t>
      </w:r>
      <w:r w:rsidR="00286307">
        <w:rPr>
          <w:lang w:val="en-US"/>
        </w:rPr>
        <w:t xml:space="preserve">, 375). </w:t>
      </w:r>
    </w:p>
    <w:p w:rsidR="00792A86" w:rsidRDefault="00792A86" w:rsidP="00792A86">
      <w:pPr>
        <w:spacing w:after="0" w:line="240" w:lineRule="auto"/>
        <w:ind w:firstLine="708"/>
        <w:jc w:val="both"/>
        <w:rPr>
          <w:lang w:val="en-US"/>
        </w:rPr>
      </w:pPr>
    </w:p>
    <w:p w:rsidR="00152815" w:rsidRDefault="00152815" w:rsidP="00792A86">
      <w:pPr>
        <w:spacing w:after="0" w:line="240" w:lineRule="auto"/>
        <w:ind w:firstLine="708"/>
        <w:jc w:val="both"/>
        <w:rPr>
          <w:lang w:val="en-US"/>
        </w:rPr>
      </w:pPr>
      <w:r>
        <w:rPr>
          <w:lang w:val="en-US"/>
        </w:rPr>
        <w:t>“It views the Orient as something whose existence is not only displayed but has remained fixed in time</w:t>
      </w:r>
      <w:r w:rsidR="007462B5">
        <w:rPr>
          <w:lang w:val="en-US"/>
        </w:rPr>
        <w:t xml:space="preserve"> and place for the West” (Said,</w:t>
      </w:r>
      <w:r>
        <w:rPr>
          <w:lang w:val="en-US"/>
        </w:rPr>
        <w:t xml:space="preserve"> 379).</w:t>
      </w:r>
    </w:p>
    <w:p w:rsidR="00792A86" w:rsidRDefault="00792A86" w:rsidP="00792A86">
      <w:pPr>
        <w:spacing w:after="0" w:line="240" w:lineRule="auto"/>
        <w:ind w:firstLine="708"/>
        <w:jc w:val="both"/>
        <w:rPr>
          <w:lang w:val="en-US"/>
        </w:rPr>
      </w:pPr>
    </w:p>
    <w:p w:rsidR="00BA5E67" w:rsidRDefault="00BA5E67" w:rsidP="00792A86">
      <w:pPr>
        <w:spacing w:after="0" w:line="240" w:lineRule="auto"/>
        <w:ind w:firstLine="708"/>
        <w:jc w:val="both"/>
        <w:rPr>
          <w:lang w:val="en-US"/>
        </w:rPr>
      </w:pPr>
      <w:r>
        <w:rPr>
          <w:lang w:val="en-US"/>
        </w:rPr>
        <w:t>In order to fight those stereotypes, Said recommends to read literary texts contrapuntally, in parallel with something else, meaning reading the main text of the Cannon in parallel with minority writings of the colonized. Cultural experience is hybrid, made of different voices. For example, you must read Shakespeare’s</w:t>
      </w:r>
      <w:r>
        <w:rPr>
          <w:i/>
          <w:lang w:val="en-US"/>
        </w:rPr>
        <w:t xml:space="preserve"> The Tempest</w:t>
      </w:r>
      <w:r>
        <w:rPr>
          <w:lang w:val="en-US"/>
        </w:rPr>
        <w:t xml:space="preserve"> alongside </w:t>
      </w:r>
      <w:proofErr w:type="spellStart"/>
      <w:r>
        <w:rPr>
          <w:lang w:val="en-US"/>
        </w:rPr>
        <w:t>Aimé</w:t>
      </w:r>
      <w:proofErr w:type="spellEnd"/>
      <w:r>
        <w:rPr>
          <w:lang w:val="en-US"/>
        </w:rPr>
        <w:t xml:space="preserve"> </w:t>
      </w:r>
      <w:proofErr w:type="spellStart"/>
      <w:r>
        <w:rPr>
          <w:lang w:val="en-US"/>
        </w:rPr>
        <w:t>Césaire</w:t>
      </w:r>
      <w:proofErr w:type="spellEnd"/>
      <w:r>
        <w:rPr>
          <w:lang w:val="en-US"/>
        </w:rPr>
        <w:t xml:space="preserve"> </w:t>
      </w:r>
      <w:proofErr w:type="spellStart"/>
      <w:r>
        <w:rPr>
          <w:i/>
          <w:lang w:val="en-US"/>
        </w:rPr>
        <w:t>Une</w:t>
      </w:r>
      <w:proofErr w:type="spellEnd"/>
      <w:r>
        <w:rPr>
          <w:i/>
          <w:lang w:val="en-US"/>
        </w:rPr>
        <w:t xml:space="preserve"> </w:t>
      </w:r>
      <w:proofErr w:type="spellStart"/>
      <w:r>
        <w:rPr>
          <w:i/>
          <w:lang w:val="en-US"/>
        </w:rPr>
        <w:t>Tempête</w:t>
      </w:r>
      <w:proofErr w:type="spellEnd"/>
      <w:r>
        <w:rPr>
          <w:i/>
          <w:lang w:val="en-US"/>
        </w:rPr>
        <w:t xml:space="preserve"> </w:t>
      </w:r>
      <w:r>
        <w:rPr>
          <w:lang w:val="en-US"/>
        </w:rPr>
        <w:t xml:space="preserve">in which Caliban is represented as a slave fighting for his freedom against the European </w:t>
      </w:r>
      <w:r w:rsidR="009B157E">
        <w:rPr>
          <w:lang w:val="en-US"/>
        </w:rPr>
        <w:t>oppressor</w:t>
      </w:r>
      <w:r>
        <w:rPr>
          <w:lang w:val="en-US"/>
        </w:rPr>
        <w:t xml:space="preserve">. </w:t>
      </w:r>
    </w:p>
    <w:p w:rsidR="0048433E" w:rsidRDefault="0048433E" w:rsidP="00792A86">
      <w:pPr>
        <w:spacing w:after="0" w:line="240" w:lineRule="auto"/>
        <w:jc w:val="both"/>
        <w:rPr>
          <w:lang w:val="en-US"/>
        </w:rPr>
      </w:pPr>
    </w:p>
    <w:p w:rsidR="0048433E" w:rsidRDefault="0048433E" w:rsidP="00792A86">
      <w:pPr>
        <w:pStyle w:val="Paragraphedeliste"/>
        <w:numPr>
          <w:ilvl w:val="0"/>
          <w:numId w:val="1"/>
        </w:numPr>
        <w:spacing w:after="0" w:line="240" w:lineRule="auto"/>
        <w:jc w:val="both"/>
        <w:rPr>
          <w:lang w:val="en-US"/>
        </w:rPr>
      </w:pPr>
      <w:r>
        <w:rPr>
          <w:u w:val="single"/>
          <w:lang w:val="en-US"/>
        </w:rPr>
        <w:t xml:space="preserve">How can we apply </w:t>
      </w:r>
      <w:proofErr w:type="spellStart"/>
      <w:r>
        <w:rPr>
          <w:u w:val="single"/>
          <w:lang w:val="en-US"/>
        </w:rPr>
        <w:t>Said’s</w:t>
      </w:r>
      <w:proofErr w:type="spellEnd"/>
      <w:r>
        <w:rPr>
          <w:u w:val="single"/>
          <w:lang w:val="en-US"/>
        </w:rPr>
        <w:t xml:space="preserve"> theory to </w:t>
      </w:r>
      <w:r>
        <w:rPr>
          <w:i/>
          <w:u w:val="single"/>
          <w:lang w:val="en-US"/>
        </w:rPr>
        <w:t>The Buddha of Suburbia?</w:t>
      </w:r>
    </w:p>
    <w:p w:rsidR="0048433E" w:rsidRDefault="0048433E" w:rsidP="00792A86">
      <w:pPr>
        <w:spacing w:after="0" w:line="240" w:lineRule="auto"/>
        <w:ind w:firstLine="360"/>
        <w:jc w:val="both"/>
        <w:rPr>
          <w:lang w:val="en-US"/>
        </w:rPr>
      </w:pPr>
      <w:r>
        <w:rPr>
          <w:lang w:val="en-US"/>
        </w:rPr>
        <w:t xml:space="preserve">There are different characters through which we can observe a kind of Orientalist attitude. </w:t>
      </w:r>
      <w:proofErr w:type="spellStart"/>
      <w:r>
        <w:rPr>
          <w:lang w:val="en-US"/>
        </w:rPr>
        <w:t>Jalima</w:t>
      </w:r>
      <w:proofErr w:type="spellEnd"/>
      <w:r>
        <w:rPr>
          <w:lang w:val="en-US"/>
        </w:rPr>
        <w:t>, for example, has been educated by a white person, Miss Cutm</w:t>
      </w:r>
      <w:r w:rsidR="00FE21C9">
        <w:rPr>
          <w:lang w:val="en-US"/>
        </w:rPr>
        <w:t>ore and</w:t>
      </w:r>
      <w:r>
        <w:rPr>
          <w:lang w:val="en-US"/>
        </w:rPr>
        <w:t xml:space="preserve"> </w:t>
      </w:r>
      <w:r w:rsidR="00FE21C9">
        <w:rPr>
          <w:lang w:val="en-US"/>
        </w:rPr>
        <w:t>“</w:t>
      </w:r>
      <w:r w:rsidR="00D652D2">
        <w:rPr>
          <w:lang w:val="en-US"/>
        </w:rPr>
        <w:t>Jamila though</w:t>
      </w:r>
      <w:r w:rsidR="00FE21C9">
        <w:rPr>
          <w:lang w:val="en-US"/>
        </w:rPr>
        <w:t>t</w:t>
      </w:r>
      <w:r w:rsidR="00D652D2">
        <w:rPr>
          <w:lang w:val="en-US"/>
        </w:rPr>
        <w:t xml:space="preserve"> Miss Cutmore really wanted to eradicate everything that was foreign in her”</w:t>
      </w:r>
      <w:r w:rsidR="00FE21C9">
        <w:rPr>
          <w:lang w:val="en-US"/>
        </w:rPr>
        <w:t xml:space="preserve"> (Hanif Kureishi, 53). Karim adds,</w:t>
      </w:r>
      <w:r w:rsidR="00D652D2">
        <w:rPr>
          <w:lang w:val="en-US"/>
        </w:rPr>
        <w:t xml:space="preserve"> “She drove me mad by saying Miss Cutmore had colonized her” (Hanif </w:t>
      </w:r>
      <w:r w:rsidR="007462B5">
        <w:rPr>
          <w:lang w:val="en-US"/>
        </w:rPr>
        <w:t xml:space="preserve">Kureishi, 53). It refers to </w:t>
      </w:r>
      <w:r w:rsidR="00D652D2">
        <w:rPr>
          <w:lang w:val="en-US"/>
        </w:rPr>
        <w:t xml:space="preserve">the purpose of </w:t>
      </w:r>
      <w:proofErr w:type="spellStart"/>
      <w:r w:rsidR="00D652D2">
        <w:rPr>
          <w:lang w:val="en-US"/>
        </w:rPr>
        <w:t>Orienta</w:t>
      </w:r>
      <w:r w:rsidR="007462B5">
        <w:rPr>
          <w:lang w:val="en-US"/>
        </w:rPr>
        <w:t>list</w:t>
      </w:r>
      <w:proofErr w:type="spellEnd"/>
      <w:r w:rsidR="007462B5">
        <w:rPr>
          <w:lang w:val="en-US"/>
        </w:rPr>
        <w:t xml:space="preserve"> writings which made possible </w:t>
      </w:r>
      <w:r w:rsidR="00D652D2">
        <w:rPr>
          <w:lang w:val="en-US"/>
        </w:rPr>
        <w:t xml:space="preserve">the colonizing process through the stereotypes found in western literature. </w:t>
      </w:r>
      <w:r w:rsidR="00FE21C9">
        <w:rPr>
          <w:lang w:val="en-US"/>
        </w:rPr>
        <w:t>We can also find it in the character of Pyke, a theatre directo</w:t>
      </w:r>
      <w:r w:rsidR="00960A0A">
        <w:rPr>
          <w:lang w:val="en-US"/>
        </w:rPr>
        <w:t xml:space="preserve">r who casts </w:t>
      </w:r>
      <w:proofErr w:type="spellStart"/>
      <w:r w:rsidR="00960A0A">
        <w:rPr>
          <w:lang w:val="en-US"/>
        </w:rPr>
        <w:t>Karim</w:t>
      </w:r>
      <w:proofErr w:type="spellEnd"/>
      <w:r w:rsidR="00960A0A">
        <w:rPr>
          <w:lang w:val="en-US"/>
        </w:rPr>
        <w:t xml:space="preserve"> for his show and who </w:t>
      </w:r>
      <w:r w:rsidR="00FE21C9">
        <w:rPr>
          <w:lang w:val="en-US"/>
        </w:rPr>
        <w:t xml:space="preserve">seems to be fascinated by Karim’s family because they are oriental people: “What about your family? […] Uncles and aunts. They’ll give the play a little variety. I bet they’re fascinating” (Hanif Kureishi, 170). In Hanif Kureishi’s novel, we can find this fascination for the East in the character of Karim’s father, too, who turns himself into an exotic, Eva fetishes yoga and eastern religion, Karim is cast as Mowgli, the Indian character in Keplin’s book. </w:t>
      </w:r>
    </w:p>
    <w:p w:rsidR="00792A86" w:rsidRDefault="00792A86" w:rsidP="00792A86">
      <w:pPr>
        <w:spacing w:after="0" w:line="240" w:lineRule="auto"/>
        <w:ind w:firstLine="360"/>
        <w:jc w:val="both"/>
        <w:rPr>
          <w:lang w:val="en-US"/>
        </w:rPr>
      </w:pPr>
    </w:p>
    <w:p w:rsidR="00792A86" w:rsidRDefault="00792A86" w:rsidP="00792A86">
      <w:pPr>
        <w:spacing w:after="0" w:line="240" w:lineRule="auto"/>
        <w:ind w:firstLine="360"/>
        <w:jc w:val="both"/>
        <w:rPr>
          <w:lang w:val="en-US"/>
        </w:rPr>
      </w:pPr>
    </w:p>
    <w:p w:rsidR="00464FB2" w:rsidRDefault="00464FB2" w:rsidP="00792A86">
      <w:pPr>
        <w:spacing w:after="0" w:line="240" w:lineRule="auto"/>
        <w:ind w:firstLine="360"/>
        <w:jc w:val="both"/>
        <w:rPr>
          <w:lang w:val="en-US"/>
        </w:rPr>
      </w:pPr>
    </w:p>
    <w:p w:rsidR="00960A0A" w:rsidRPr="00792A86" w:rsidRDefault="00960A0A" w:rsidP="00960A0A">
      <w:pPr>
        <w:jc w:val="both"/>
        <w:rPr>
          <w:u w:val="single"/>
          <w:lang w:val="en-US"/>
        </w:rPr>
      </w:pPr>
      <w:r w:rsidRPr="00792A86">
        <w:rPr>
          <w:u w:val="single"/>
          <w:lang w:val="en-US"/>
        </w:rPr>
        <w:t>Works cited:</w:t>
      </w:r>
    </w:p>
    <w:p w:rsidR="00960A0A" w:rsidRDefault="00960A0A" w:rsidP="00792A86">
      <w:pPr>
        <w:spacing w:line="240" w:lineRule="auto"/>
        <w:ind w:left="510" w:hanging="397"/>
        <w:rPr>
          <w:rFonts w:cs="Calibri"/>
          <w:lang w:val="en-US"/>
        </w:rPr>
      </w:pPr>
      <w:proofErr w:type="gramStart"/>
      <w:r>
        <w:rPr>
          <w:rFonts w:cs="Calibri"/>
          <w:lang w:val="en-US"/>
        </w:rPr>
        <w:t>Said, Edward.</w:t>
      </w:r>
      <w:proofErr w:type="gramEnd"/>
      <w:r>
        <w:rPr>
          <w:rFonts w:cs="Calibri"/>
          <w:lang w:val="en-US"/>
        </w:rPr>
        <w:t xml:space="preserve"> “Crisis [in </w:t>
      </w:r>
      <w:proofErr w:type="spellStart"/>
      <w:r>
        <w:rPr>
          <w:rFonts w:cs="Calibri"/>
          <w:lang w:val="en-US"/>
        </w:rPr>
        <w:t>orientalism</w:t>
      </w:r>
      <w:proofErr w:type="spellEnd"/>
      <w:r>
        <w:rPr>
          <w:rFonts w:cs="Calibri"/>
          <w:lang w:val="en-US"/>
        </w:rPr>
        <w:t>]</w:t>
      </w:r>
      <w:r w:rsidRPr="00960A0A">
        <w:rPr>
          <w:rFonts w:cs="Calibri"/>
          <w:lang w:val="en-US"/>
        </w:rPr>
        <w:t xml:space="preserve">” </w:t>
      </w:r>
      <w:r w:rsidRPr="00960A0A">
        <w:rPr>
          <w:rFonts w:cs="Calibri"/>
          <w:i/>
          <w:lang w:val="en-US"/>
        </w:rPr>
        <w:t xml:space="preserve">Modern Criticism and Theory: A Reader. </w:t>
      </w:r>
      <w:proofErr w:type="gramStart"/>
      <w:r w:rsidRPr="00960A0A">
        <w:rPr>
          <w:rFonts w:cs="Calibri"/>
          <w:lang w:val="en-US"/>
        </w:rPr>
        <w:t>Eds. David Lodge and Nigel Wood.</w:t>
      </w:r>
      <w:proofErr w:type="gramEnd"/>
      <w:r w:rsidRPr="00960A0A">
        <w:rPr>
          <w:rFonts w:cs="Calibri"/>
          <w:lang w:val="en-US"/>
        </w:rPr>
        <w:t xml:space="preserve"> </w:t>
      </w:r>
      <w:proofErr w:type="gramStart"/>
      <w:r w:rsidRPr="00960A0A">
        <w:rPr>
          <w:rFonts w:cs="Calibri"/>
          <w:lang w:val="en-US"/>
        </w:rPr>
        <w:t>3</w:t>
      </w:r>
      <w:r w:rsidRPr="00960A0A">
        <w:rPr>
          <w:rFonts w:cs="Calibri"/>
          <w:vertAlign w:val="superscript"/>
          <w:lang w:val="en-US"/>
        </w:rPr>
        <w:t>rd</w:t>
      </w:r>
      <w:r w:rsidRPr="00960A0A">
        <w:rPr>
          <w:rFonts w:cs="Calibri"/>
          <w:lang w:val="en-US"/>
        </w:rPr>
        <w:t xml:space="preserve"> edition.</w:t>
      </w:r>
      <w:proofErr w:type="gramEnd"/>
      <w:r w:rsidRPr="00960A0A">
        <w:rPr>
          <w:rFonts w:cs="Calibri"/>
          <w:lang w:val="en-US"/>
        </w:rPr>
        <w:t xml:space="preserve"> Harlow, England: Pearson Education,</w:t>
      </w:r>
      <w:r>
        <w:rPr>
          <w:rFonts w:cs="Calibri"/>
          <w:lang w:val="en-US"/>
        </w:rPr>
        <w:t xml:space="preserve"> 2008. </w:t>
      </w:r>
      <w:proofErr w:type="gramStart"/>
      <w:r w:rsidRPr="00960A0A">
        <w:rPr>
          <w:rFonts w:cs="Calibri"/>
          <w:lang w:val="en-US"/>
        </w:rPr>
        <w:t>125-39.</w:t>
      </w:r>
      <w:proofErr w:type="gramEnd"/>
    </w:p>
    <w:p w:rsidR="00960A0A" w:rsidRPr="00960A0A" w:rsidRDefault="00960A0A" w:rsidP="00792A86">
      <w:pPr>
        <w:spacing w:line="240" w:lineRule="auto"/>
        <w:ind w:left="510" w:hanging="397"/>
        <w:rPr>
          <w:rFonts w:cs="Calibri"/>
          <w:lang w:val="en-US"/>
        </w:rPr>
      </w:pPr>
      <w:proofErr w:type="spellStart"/>
      <w:r>
        <w:rPr>
          <w:rFonts w:cs="Calibri"/>
          <w:lang w:val="en-US"/>
        </w:rPr>
        <w:t>Kureishi</w:t>
      </w:r>
      <w:proofErr w:type="spellEnd"/>
      <w:r>
        <w:rPr>
          <w:rFonts w:cs="Calibri"/>
          <w:lang w:val="en-US"/>
        </w:rPr>
        <w:t xml:space="preserve">, </w:t>
      </w:r>
      <w:proofErr w:type="spellStart"/>
      <w:r>
        <w:rPr>
          <w:rFonts w:cs="Calibri"/>
          <w:lang w:val="en-US"/>
        </w:rPr>
        <w:t>Hanif</w:t>
      </w:r>
      <w:proofErr w:type="spellEnd"/>
      <w:r>
        <w:rPr>
          <w:rFonts w:cs="Calibri"/>
          <w:lang w:val="en-US"/>
        </w:rPr>
        <w:t xml:space="preserve">. </w:t>
      </w:r>
      <w:proofErr w:type="gramStart"/>
      <w:r>
        <w:rPr>
          <w:rFonts w:cs="Calibri"/>
          <w:i/>
          <w:lang w:val="en-US"/>
        </w:rPr>
        <w:t>The Buddha of Suburbia.</w:t>
      </w:r>
      <w:proofErr w:type="gramEnd"/>
      <w:r>
        <w:rPr>
          <w:rFonts w:cs="Calibri"/>
          <w:i/>
          <w:lang w:val="en-US"/>
        </w:rPr>
        <w:t xml:space="preserve"> </w:t>
      </w:r>
      <w:r>
        <w:rPr>
          <w:rFonts w:cs="Calibri"/>
          <w:lang w:val="en-US"/>
        </w:rPr>
        <w:t>Ed. London, England: Faber and Faber Ltd, 1990.</w:t>
      </w:r>
    </w:p>
    <w:p w:rsidR="00960A0A" w:rsidRPr="0048433E" w:rsidRDefault="00960A0A" w:rsidP="00960A0A">
      <w:pPr>
        <w:jc w:val="both"/>
        <w:rPr>
          <w:lang w:val="en-US"/>
        </w:rPr>
      </w:pPr>
    </w:p>
    <w:p w:rsidR="009F63F8" w:rsidRDefault="009F63F8" w:rsidP="00C55A80">
      <w:pPr>
        <w:ind w:firstLine="708"/>
        <w:jc w:val="both"/>
        <w:rPr>
          <w:lang w:val="en-US"/>
        </w:rPr>
      </w:pPr>
    </w:p>
    <w:p w:rsidR="00CC2B21" w:rsidRPr="00764F16" w:rsidRDefault="00CC2B21" w:rsidP="00CC2B21">
      <w:pPr>
        <w:rPr>
          <w:lang w:val="en-US"/>
        </w:rPr>
      </w:pPr>
    </w:p>
    <w:sectPr w:rsidR="00CC2B21" w:rsidRPr="00764F16" w:rsidSect="00077FD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3578BC"/>
    <w:multiLevelType w:val="hybridMultilevel"/>
    <w:tmpl w:val="1BAAC68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CC2B21"/>
    <w:rsid w:val="00077FD5"/>
    <w:rsid w:val="00152815"/>
    <w:rsid w:val="00165E6E"/>
    <w:rsid w:val="00250B5E"/>
    <w:rsid w:val="00286307"/>
    <w:rsid w:val="00353841"/>
    <w:rsid w:val="00464FB2"/>
    <w:rsid w:val="00472D7B"/>
    <w:rsid w:val="0048433E"/>
    <w:rsid w:val="004B412F"/>
    <w:rsid w:val="0052545F"/>
    <w:rsid w:val="005C2BAC"/>
    <w:rsid w:val="007462B5"/>
    <w:rsid w:val="00764F16"/>
    <w:rsid w:val="00792A86"/>
    <w:rsid w:val="00933A15"/>
    <w:rsid w:val="00955A43"/>
    <w:rsid w:val="00960A0A"/>
    <w:rsid w:val="00981502"/>
    <w:rsid w:val="009B157E"/>
    <w:rsid w:val="009F63F8"/>
    <w:rsid w:val="00AA5E23"/>
    <w:rsid w:val="00AF441F"/>
    <w:rsid w:val="00BA5E67"/>
    <w:rsid w:val="00C55A80"/>
    <w:rsid w:val="00C81457"/>
    <w:rsid w:val="00CC2B21"/>
    <w:rsid w:val="00CC771E"/>
    <w:rsid w:val="00D652D2"/>
    <w:rsid w:val="00DC07EE"/>
    <w:rsid w:val="00E0700C"/>
    <w:rsid w:val="00E82381"/>
    <w:rsid w:val="00EB7A6C"/>
    <w:rsid w:val="00F6743B"/>
    <w:rsid w:val="00FA48FF"/>
    <w:rsid w:val="00FE21C9"/>
    <w:rsid w:val="00FE3477"/>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7FD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64F16"/>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157</TotalTime>
  <Pages>2</Pages>
  <Words>941</Words>
  <Characters>5179</Characters>
  <Application>Microsoft Office Word</Application>
  <DocSecurity>0</DocSecurity>
  <Lines>43</Lines>
  <Paragraphs>12</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6108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Hélène</dc:creator>
  <cp:lastModifiedBy>Hélène</cp:lastModifiedBy>
  <cp:revision>21</cp:revision>
  <dcterms:created xsi:type="dcterms:W3CDTF">2013-11-04T12:00:00Z</dcterms:created>
  <dcterms:modified xsi:type="dcterms:W3CDTF">2013-11-17T17:30:00Z</dcterms:modified>
</cp:coreProperties>
</file>