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D1B" w:rsidRPr="007F7A76" w:rsidRDefault="00457146" w:rsidP="0031468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Times New Roman"/>
          <w:b/>
        </w:rPr>
      </w:pPr>
      <w:r>
        <w:rPr>
          <w:rFonts w:ascii="Book Antiqua" w:hAnsi="Book Antiqua" w:cs="Times New Roman"/>
          <w:b/>
        </w:rPr>
        <w:t>Week 10</w:t>
      </w:r>
    </w:p>
    <w:p w:rsidR="007F7A76" w:rsidRPr="007F7A76" w:rsidRDefault="006A3D1B" w:rsidP="007F7A7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Times New Roman"/>
          <w:b/>
          <w:sz w:val="28"/>
        </w:rPr>
      </w:pPr>
      <w:r w:rsidRPr="007F7A76">
        <w:rPr>
          <w:rFonts w:ascii="Book Antiqua" w:hAnsi="Book Antiqua" w:cs="Times New Roman"/>
          <w:b/>
          <w:sz w:val="28"/>
        </w:rPr>
        <w:t>Chandra Talpade Mohanty</w:t>
      </w:r>
      <w:r w:rsidR="007F7A76" w:rsidRPr="007F7A76">
        <w:rPr>
          <w:rFonts w:ascii="Book Antiqua" w:hAnsi="Book Antiqua" w:cs="Times New Roman"/>
          <w:b/>
          <w:sz w:val="28"/>
        </w:rPr>
        <w:t>: Feminism Without Borders</w:t>
      </w:r>
    </w:p>
    <w:p w:rsidR="007F7A76" w:rsidRDefault="007F7A76" w:rsidP="007F7A7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Times New Roman"/>
          <w:b/>
        </w:rPr>
      </w:pPr>
    </w:p>
    <w:p w:rsidR="007F7A76" w:rsidRPr="007F7A76" w:rsidRDefault="007F7A76" w:rsidP="007F7A76">
      <w:pPr>
        <w:tabs>
          <w:tab w:val="left" w:pos="284"/>
        </w:tabs>
        <w:jc w:val="center"/>
        <w:rPr>
          <w:rFonts w:ascii="Book Antiqua" w:hAnsi="Book Antiqua"/>
          <w:b/>
        </w:rPr>
      </w:pPr>
      <w:r w:rsidRPr="007F7A76">
        <w:rPr>
          <w:rFonts w:ascii="Book Antiqua" w:hAnsi="Book Antiqua" w:cs="Times New Roman"/>
          <w:b/>
          <w:noProof/>
          <w:lang w:eastAsia="en-GB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-185420</wp:posOffset>
            </wp:positionH>
            <wp:positionV relativeFrom="paragraph">
              <wp:posOffset>454660</wp:posOffset>
            </wp:positionV>
            <wp:extent cx="2154555" cy="2277110"/>
            <wp:effectExtent l="19050" t="0" r="0" b="0"/>
            <wp:wrapTight wrapText="bothSides">
              <wp:wrapPolygon edited="0">
                <wp:start x="-191" y="0"/>
                <wp:lineTo x="-191" y="21504"/>
                <wp:lineTo x="21581" y="21504"/>
                <wp:lineTo x="21581" y="0"/>
                <wp:lineTo x="-191" y="0"/>
              </wp:wrapPolygon>
            </wp:wrapTight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4555" cy="2277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F7A76">
        <w:rPr>
          <w:rFonts w:ascii="Book Antiqua" w:hAnsi="Book Antiqua" w:cs="Times New Roman"/>
          <w:b/>
        </w:rPr>
        <w:t>‘It is only by understanding the contradictions inherent in women's location within various structures that effective political action and challenges can be devised.’</w:t>
      </w:r>
    </w:p>
    <w:p w:rsidR="006C1A9D" w:rsidRPr="007F7A76" w:rsidRDefault="007F7A76" w:rsidP="007F7A76">
      <w:pPr>
        <w:tabs>
          <w:tab w:val="left" w:pos="284"/>
        </w:tabs>
        <w:jc w:val="both"/>
        <w:rPr>
          <w:rFonts w:ascii="Book Antiqua" w:hAnsi="Book Antiqua" w:cs="Times New Roman"/>
          <w:b/>
        </w:rPr>
      </w:pPr>
      <w:r>
        <w:rPr>
          <w:rFonts w:ascii="Book Antiqua" w:hAnsi="Book Antiqua"/>
        </w:rPr>
        <w:t xml:space="preserve">In her essay </w:t>
      </w:r>
      <w:r w:rsidR="00314687" w:rsidRPr="00314687">
        <w:rPr>
          <w:rFonts w:ascii="Book Antiqua" w:hAnsi="Book Antiqua"/>
        </w:rPr>
        <w:t xml:space="preserve">Mohanty argues that </w:t>
      </w:r>
      <w:r w:rsidR="00314687">
        <w:rPr>
          <w:rFonts w:ascii="Book Antiqua" w:hAnsi="Book Antiqua" w:cs="Times New Roman"/>
        </w:rPr>
        <w:t xml:space="preserve">western feminist theory has </w:t>
      </w:r>
      <w:r w:rsidR="00314687" w:rsidRPr="00314687">
        <w:rPr>
          <w:rFonts w:ascii="Book Antiqua" w:hAnsi="Book Antiqua" w:cs="Times New Roman"/>
        </w:rPr>
        <w:t xml:space="preserve">a tendency to </w:t>
      </w:r>
      <w:r w:rsidR="00314687">
        <w:rPr>
          <w:rFonts w:ascii="Book Antiqua" w:hAnsi="Book Antiqua" w:cs="Times New Roman"/>
        </w:rPr>
        <w:t xml:space="preserve">describe </w:t>
      </w:r>
      <w:r w:rsidR="00314687" w:rsidRPr="00314687">
        <w:rPr>
          <w:rFonts w:ascii="Book Antiqua" w:hAnsi="Book Antiqua" w:cs="Times New Roman"/>
        </w:rPr>
        <w:t xml:space="preserve">Third World women as a homogenous group of victims living under a </w:t>
      </w:r>
      <w:r w:rsidR="00314687">
        <w:rPr>
          <w:rFonts w:ascii="Book Antiqua" w:hAnsi="Book Antiqua" w:cs="Times New Roman"/>
        </w:rPr>
        <w:t xml:space="preserve">dominant patriarchy. </w:t>
      </w:r>
      <w:r w:rsidR="00CB08B4" w:rsidRPr="00314687">
        <w:rPr>
          <w:rFonts w:ascii="Book Antiqua" w:hAnsi="Book Antiqua" w:cs="Times New Roman"/>
        </w:rPr>
        <w:t>This, she claims, is the continuation of the colonising mindset, or a kind of wolf in sheep’s clothing, where the wolf is colonial ideology and the clothing western feminisms.</w:t>
      </w:r>
      <w:r w:rsidR="00CB08B4" w:rsidRPr="00314687">
        <w:rPr>
          <w:rFonts w:ascii="Book Antiqua" w:hAnsi="Book Antiqua" w:cs="Times New Roman"/>
          <w:b/>
        </w:rPr>
        <w:t xml:space="preserve"> </w:t>
      </w:r>
      <w:r w:rsidRPr="007F7A76">
        <w:rPr>
          <w:rFonts w:ascii="Book Antiqua" w:hAnsi="Book Antiqua" w:cs="Times New Roman"/>
        </w:rPr>
        <w:t>W</w:t>
      </w:r>
      <w:r w:rsidR="006C1A9D" w:rsidRPr="006C1A9D">
        <w:rPr>
          <w:rFonts w:ascii="Book Antiqua" w:hAnsi="Book Antiqua" w:cs="Times New Roman"/>
        </w:rPr>
        <w:t xml:space="preserve">hat is problematical about </w:t>
      </w:r>
      <w:r w:rsidR="006C1A9D">
        <w:rPr>
          <w:rFonts w:ascii="Book Antiqua" w:hAnsi="Book Antiqua" w:cs="Times New Roman"/>
        </w:rPr>
        <w:t xml:space="preserve">the </w:t>
      </w:r>
      <w:r>
        <w:rPr>
          <w:rFonts w:ascii="Book Antiqua" w:hAnsi="Book Antiqua" w:cs="Times New Roman"/>
        </w:rPr>
        <w:t xml:space="preserve">collective </w:t>
      </w:r>
      <w:r w:rsidR="006C1A9D">
        <w:rPr>
          <w:rFonts w:ascii="Book Antiqua" w:hAnsi="Book Antiqua" w:cs="Times New Roman"/>
        </w:rPr>
        <w:t xml:space="preserve">term </w:t>
      </w:r>
      <w:r w:rsidR="006C1A9D" w:rsidRPr="006C1A9D">
        <w:rPr>
          <w:rFonts w:ascii="Book Antiqua" w:hAnsi="Book Antiqua" w:cs="Times New Roman"/>
        </w:rPr>
        <w:t xml:space="preserve">"women" as a group, as a stable category of analysis, is that it assumes an ahistorical, universal unity between </w:t>
      </w:r>
      <w:r w:rsidR="006C1A9D">
        <w:rPr>
          <w:rFonts w:ascii="Book Antiqua" w:hAnsi="Book Antiqua" w:cs="Times New Roman"/>
        </w:rPr>
        <w:t>women based on</w:t>
      </w:r>
      <w:r w:rsidR="006C1A9D" w:rsidRPr="006C1A9D">
        <w:rPr>
          <w:rFonts w:ascii="Book Antiqua" w:hAnsi="Book Antiqua" w:cs="Times New Roman"/>
        </w:rPr>
        <w:t xml:space="preserve"> </w:t>
      </w:r>
      <w:r w:rsidR="006C1A9D">
        <w:rPr>
          <w:rFonts w:ascii="Book Antiqua" w:hAnsi="Book Antiqua" w:cs="Times New Roman"/>
        </w:rPr>
        <w:t>Western generalisations about their subordination and represents a kind of critical cul-de-sac where all discussion</w:t>
      </w:r>
      <w:r w:rsidR="0044616A">
        <w:rPr>
          <w:rFonts w:ascii="Book Antiqua" w:hAnsi="Book Antiqua" w:cs="Times New Roman"/>
        </w:rPr>
        <w:t>s</w:t>
      </w:r>
      <w:r w:rsidR="006C1A9D">
        <w:rPr>
          <w:rFonts w:ascii="Book Antiqua" w:hAnsi="Book Antiqua" w:cs="Times New Roman"/>
        </w:rPr>
        <w:t xml:space="preserve"> head down the same road.</w:t>
      </w:r>
    </w:p>
    <w:p w:rsidR="006C1A9D" w:rsidRDefault="006C1A9D" w:rsidP="006C1A9D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6C1A9D" w:rsidRPr="006C1A9D" w:rsidRDefault="006C1A9D" w:rsidP="006C1A9D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6C1A9D">
        <w:rPr>
          <w:rFonts w:ascii="Book Antiqua" w:hAnsi="Book Antiqua" w:cs="Times New Roman"/>
        </w:rPr>
        <w:t xml:space="preserve">Instead of analytically demonstrating the production of women as socioeconomic political groups within particular local contexts, this </w:t>
      </w:r>
      <w:r>
        <w:rPr>
          <w:rFonts w:ascii="Book Antiqua" w:hAnsi="Book Antiqua" w:cs="Times New Roman"/>
        </w:rPr>
        <w:t>view</w:t>
      </w:r>
      <w:r w:rsidRPr="006C1A9D">
        <w:rPr>
          <w:rFonts w:ascii="Book Antiqua" w:hAnsi="Book Antiqua" w:cs="Times New Roman"/>
        </w:rPr>
        <w:t xml:space="preserve"> limits the definition of the female subject to gender identity, bypassing social class and eth</w:t>
      </w:r>
      <w:r>
        <w:rPr>
          <w:rFonts w:ascii="Book Antiqua" w:hAnsi="Book Antiqua" w:cs="Times New Roman"/>
        </w:rPr>
        <w:t>nic identities. What characteris</w:t>
      </w:r>
      <w:r w:rsidRPr="006C1A9D">
        <w:rPr>
          <w:rFonts w:ascii="Book Antiqua" w:hAnsi="Book Antiqua" w:cs="Times New Roman"/>
        </w:rPr>
        <w:t xml:space="preserve">es women as a group is their gender (sociologically, not necessarily biologically, defined) over and above everything else, indicating a monolithic notion of sexual difference. Because women are thus constituted as a coherent group, sexual difference becomes </w:t>
      </w:r>
      <w:r>
        <w:rPr>
          <w:rFonts w:ascii="Book Antiqua" w:hAnsi="Book Antiqua" w:cs="Times New Roman"/>
        </w:rPr>
        <w:t>synonymous</w:t>
      </w:r>
      <w:r w:rsidRPr="006C1A9D">
        <w:rPr>
          <w:rFonts w:ascii="Book Antiqua" w:hAnsi="Book Antiqua" w:cs="Times New Roman"/>
        </w:rPr>
        <w:t xml:space="preserve"> with female subordination and power is automatically defined in binary terms: </w:t>
      </w:r>
      <w:r>
        <w:rPr>
          <w:rFonts w:ascii="Book Antiqua" w:hAnsi="Book Antiqua" w:cs="Times New Roman"/>
        </w:rPr>
        <w:t xml:space="preserve">men have power and women don’t. </w:t>
      </w:r>
      <w:r w:rsidRPr="006C1A9D">
        <w:rPr>
          <w:rFonts w:ascii="Book Antiqua" w:hAnsi="Book Antiqua" w:cs="Times New Roman"/>
        </w:rPr>
        <w:t>Men exploit, women are exploited. Such simplistic formulations are historically reductive; they are also ineffectual in designing strategies to combat oppressions. All they do is reinforce binary divisions between men and women.</w:t>
      </w:r>
    </w:p>
    <w:p w:rsidR="00314687" w:rsidRDefault="00314687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A09E0" w:rsidRDefault="006C1A9D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>Mohanty presses the need to</w:t>
      </w:r>
      <w:r w:rsidR="00CB08B4">
        <w:rPr>
          <w:rFonts w:ascii="Book Antiqua" w:hAnsi="Book Antiqua" w:cs="Times New Roman"/>
        </w:rPr>
        <w:t xml:space="preserve"> deconstruct the notion of Third World women as a single victimised entity. </w:t>
      </w:r>
      <w:r>
        <w:rPr>
          <w:rFonts w:ascii="Book Antiqua" w:hAnsi="Book Antiqua" w:cs="Times New Roman"/>
        </w:rPr>
        <w:t xml:space="preserve">She </w:t>
      </w:r>
      <w:r w:rsidR="00BA09E0">
        <w:rPr>
          <w:rFonts w:ascii="Book Antiqua" w:hAnsi="Book Antiqua" w:cs="Times New Roman"/>
        </w:rPr>
        <w:t xml:space="preserve">attempts to unpick the relationship between </w:t>
      </w:r>
      <w:r>
        <w:rPr>
          <w:rFonts w:ascii="Book Antiqua" w:hAnsi="Book Antiqua" w:cs="Times New Roman"/>
        </w:rPr>
        <w:t xml:space="preserve">the term </w:t>
      </w:r>
      <w:r w:rsidR="00BA09E0">
        <w:rPr>
          <w:rFonts w:ascii="Book Antiqua" w:hAnsi="Book Antiqua" w:cs="Times New Roman"/>
        </w:rPr>
        <w:t>‘woman’ as a ‘</w:t>
      </w:r>
      <w:r w:rsidR="00B15AEE" w:rsidRPr="00314687">
        <w:rPr>
          <w:rFonts w:ascii="Book Antiqua" w:hAnsi="Book Antiqua" w:cs="Times New Roman"/>
        </w:rPr>
        <w:t>cultural and ideological composite other constructed through diverse representational discourses--scientific, literary, juridi</w:t>
      </w:r>
      <w:r w:rsidR="00BA09E0">
        <w:rPr>
          <w:rFonts w:ascii="Book Antiqua" w:hAnsi="Book Antiqua" w:cs="Times New Roman"/>
        </w:rPr>
        <w:t>cal, linguistic, cinematic, etc’ and ‘women’ which she defines as ‘</w:t>
      </w:r>
      <w:r w:rsidR="00B15AEE" w:rsidRPr="00314687">
        <w:rPr>
          <w:rFonts w:ascii="Book Antiqua" w:hAnsi="Book Antiqua" w:cs="Times New Roman"/>
        </w:rPr>
        <w:t>real, material subjects of their collective histories</w:t>
      </w:r>
      <w:r w:rsidR="00BA09E0">
        <w:rPr>
          <w:rFonts w:ascii="Book Antiqua" w:hAnsi="Book Antiqua" w:cs="Times New Roman"/>
        </w:rPr>
        <w:t>’. She goes on to explain that</w:t>
      </w:r>
    </w:p>
    <w:p w:rsidR="00BA09E0" w:rsidRDefault="006C1A9D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  <w:noProof/>
          <w:lang w:eastAsia="en-GB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4957445</wp:posOffset>
            </wp:positionH>
            <wp:positionV relativeFrom="paragraph">
              <wp:posOffset>34290</wp:posOffset>
            </wp:positionV>
            <wp:extent cx="1721485" cy="2363470"/>
            <wp:effectExtent l="19050" t="0" r="0" b="0"/>
            <wp:wrapTight wrapText="bothSides">
              <wp:wrapPolygon edited="0">
                <wp:start x="-239" y="0"/>
                <wp:lineTo x="-239" y="21414"/>
                <wp:lineTo x="21512" y="21414"/>
                <wp:lineTo x="21512" y="0"/>
                <wp:lineTo x="-239" y="0"/>
              </wp:wrapPolygon>
            </wp:wrapTight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1485" cy="2363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15AEE" w:rsidRPr="00314687" w:rsidRDefault="00B15AEE" w:rsidP="00BA09E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Book Antiqua" w:hAnsi="Book Antiqua" w:cs="Times New Roman"/>
        </w:rPr>
      </w:pPr>
      <w:r w:rsidRPr="00BA09E0">
        <w:rPr>
          <w:rFonts w:ascii="Book Antiqua" w:hAnsi="Book Antiqua" w:cs="Times New Roman"/>
          <w:sz w:val="20"/>
        </w:rPr>
        <w:t xml:space="preserve">This connection between </w:t>
      </w:r>
      <w:r w:rsidRPr="00BA09E0">
        <w:rPr>
          <w:rFonts w:ascii="Book Antiqua" w:hAnsi="Book Antiqua" w:cs="Times New Roman"/>
          <w:sz w:val="20"/>
          <w:u w:val="single"/>
        </w:rPr>
        <w:t>women</w:t>
      </w:r>
      <w:r w:rsidRPr="00BA09E0">
        <w:rPr>
          <w:rFonts w:ascii="Book Antiqua" w:hAnsi="Book Antiqua" w:cs="Times New Roman"/>
          <w:sz w:val="20"/>
        </w:rPr>
        <w:t xml:space="preserve"> as historical subjects and the representation of </w:t>
      </w:r>
      <w:r w:rsidRPr="00BA09E0">
        <w:rPr>
          <w:rFonts w:ascii="Book Antiqua" w:hAnsi="Book Antiqua" w:cs="Times New Roman"/>
          <w:sz w:val="20"/>
          <w:u w:val="single"/>
        </w:rPr>
        <w:t>Woman</w:t>
      </w:r>
      <w:r w:rsidRPr="00BA09E0">
        <w:rPr>
          <w:rFonts w:ascii="Book Antiqua" w:hAnsi="Book Antiqua" w:cs="Times New Roman"/>
          <w:sz w:val="20"/>
        </w:rPr>
        <w:t xml:space="preserve"> produced by hegemonic discourses is not a relation of direct identity or a relation of correspondence </w:t>
      </w:r>
      <w:r w:rsidR="00BA09E0" w:rsidRPr="00BA09E0">
        <w:rPr>
          <w:rFonts w:ascii="Book Antiqua" w:hAnsi="Book Antiqua" w:cs="Times New Roman"/>
          <w:sz w:val="20"/>
        </w:rPr>
        <w:t>or simple implication.</w:t>
      </w:r>
      <w:r w:rsidRPr="00BA09E0">
        <w:rPr>
          <w:rFonts w:ascii="Book Antiqua" w:hAnsi="Book Antiqua" w:cs="Times New Roman"/>
          <w:sz w:val="20"/>
        </w:rPr>
        <w:t xml:space="preserve"> </w:t>
      </w:r>
      <w:r w:rsidR="00BA09E0">
        <w:rPr>
          <w:rFonts w:ascii="Book Antiqua" w:hAnsi="Book Antiqua" w:cs="Times New Roman"/>
          <w:sz w:val="20"/>
        </w:rPr>
        <w:t>Rather i</w:t>
      </w:r>
      <w:r w:rsidRPr="00BA09E0">
        <w:rPr>
          <w:rFonts w:ascii="Book Antiqua" w:hAnsi="Book Antiqua" w:cs="Times New Roman"/>
          <w:sz w:val="20"/>
        </w:rPr>
        <w:t>t is an arbitrary relation set up by particular cultures.</w:t>
      </w:r>
    </w:p>
    <w:p w:rsidR="00B15AEE" w:rsidRPr="00314687" w:rsidRDefault="00B15AEE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27D16" w:rsidRDefault="00BA09E0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In simple terms, Mohanty accuses </w:t>
      </w:r>
      <w:r w:rsidR="007F7A76">
        <w:rPr>
          <w:rFonts w:ascii="Book Antiqua" w:hAnsi="Book Antiqua" w:cs="Times New Roman"/>
        </w:rPr>
        <w:t>W</w:t>
      </w:r>
      <w:r>
        <w:rPr>
          <w:rFonts w:ascii="Book Antiqua" w:hAnsi="Book Antiqua" w:cs="Times New Roman"/>
        </w:rPr>
        <w:t>estern feminism of over simplifying Third World feminism and viewing the debate through a lens of victimry, oppression, hegemonic patriarchy and violence</w:t>
      </w:r>
      <w:r w:rsidR="007F7A76">
        <w:rPr>
          <w:rFonts w:ascii="Book Antiqua" w:hAnsi="Book Antiqua" w:cs="Times New Roman"/>
        </w:rPr>
        <w:t xml:space="preserve">. This view </w:t>
      </w:r>
      <w:r>
        <w:rPr>
          <w:rFonts w:ascii="Book Antiqua" w:hAnsi="Book Antiqua" w:cs="Times New Roman"/>
        </w:rPr>
        <w:t>suffocate</w:t>
      </w:r>
      <w:r w:rsidR="007F7A76">
        <w:rPr>
          <w:rFonts w:ascii="Book Antiqua" w:hAnsi="Book Antiqua" w:cs="Times New Roman"/>
        </w:rPr>
        <w:t>s</w:t>
      </w:r>
      <w:r>
        <w:rPr>
          <w:rFonts w:ascii="Book Antiqua" w:hAnsi="Book Antiqua" w:cs="Times New Roman"/>
        </w:rPr>
        <w:t xml:space="preserve"> a more differentiated debate. Critics need to examine these issues by situating them within the proper local and historical context rather than trying to use a one-size-fits-all approach which tends to </w:t>
      </w:r>
      <w:r w:rsidR="00F465B6">
        <w:rPr>
          <w:rFonts w:ascii="Book Antiqua" w:hAnsi="Book Antiqua" w:cs="Times New Roman"/>
        </w:rPr>
        <w:t xml:space="preserve">resemble a </w:t>
      </w:r>
      <w:r>
        <w:rPr>
          <w:rFonts w:ascii="Book Antiqua" w:hAnsi="Book Antiqua" w:cs="Times New Roman"/>
        </w:rPr>
        <w:t>colonial and Orientalist view of the Third World</w:t>
      </w:r>
      <w:r w:rsidR="00B27D16">
        <w:rPr>
          <w:rFonts w:ascii="Book Antiqua" w:hAnsi="Book Antiqua" w:cs="Times New Roman"/>
        </w:rPr>
        <w:t xml:space="preserve"> and appropriates and colonises the ‘</w:t>
      </w:r>
      <w:r w:rsidR="00B27D16" w:rsidRPr="00314687">
        <w:rPr>
          <w:rFonts w:ascii="Book Antiqua" w:hAnsi="Book Antiqua" w:cs="Times New Roman"/>
        </w:rPr>
        <w:t>constitutive complexities that characterize</w:t>
      </w:r>
      <w:r w:rsidR="00B27D16">
        <w:rPr>
          <w:rFonts w:ascii="Book Antiqua" w:hAnsi="Book Antiqua" w:cs="Times New Roman"/>
        </w:rPr>
        <w:t xml:space="preserve"> </w:t>
      </w:r>
      <w:r w:rsidR="00B27D16" w:rsidRPr="00314687">
        <w:rPr>
          <w:rFonts w:ascii="Book Antiqua" w:hAnsi="Book Antiqua" w:cs="Times New Roman"/>
        </w:rPr>
        <w:t>the lives</w:t>
      </w:r>
      <w:r w:rsidR="00B27D16">
        <w:rPr>
          <w:rFonts w:ascii="Book Antiqua" w:hAnsi="Book Antiqua" w:cs="Times New Roman"/>
        </w:rPr>
        <w:t xml:space="preserve"> of women in these countries’</w:t>
      </w:r>
      <w:r>
        <w:rPr>
          <w:rFonts w:ascii="Book Antiqua" w:hAnsi="Book Antiqua" w:cs="Times New Roman"/>
        </w:rPr>
        <w:t xml:space="preserve">. </w:t>
      </w:r>
    </w:p>
    <w:p w:rsidR="007F7A76" w:rsidRDefault="007F7A7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15AEE" w:rsidRDefault="00B27D1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Mohanty uses a quote from </w:t>
      </w:r>
      <w:proofErr w:type="spellStart"/>
      <w:r w:rsidRPr="00314687">
        <w:rPr>
          <w:rFonts w:ascii="Book Antiqua" w:hAnsi="Book Antiqua" w:cs="Times New Roman"/>
        </w:rPr>
        <w:t>Ahdel-Maleic</w:t>
      </w:r>
      <w:proofErr w:type="spellEnd"/>
      <w:r>
        <w:rPr>
          <w:rFonts w:ascii="Book Antiqua" w:hAnsi="Book Antiqua" w:cs="Times New Roman"/>
        </w:rPr>
        <w:t xml:space="preserve"> to outline the ideological foundation supporting Western feminisms: </w:t>
      </w:r>
    </w:p>
    <w:p w:rsidR="00B27D16" w:rsidRDefault="00B27D1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27D16" w:rsidRDefault="00B15AEE" w:rsidP="00B27D16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Book Antiqua" w:hAnsi="Book Antiqua" w:cs="Times New Roman"/>
        </w:rPr>
      </w:pPr>
      <w:r w:rsidRPr="00B27D16">
        <w:rPr>
          <w:rFonts w:ascii="Book Antiqua" w:hAnsi="Book Antiqua" w:cs="Times New Roman"/>
          <w:sz w:val="20"/>
        </w:rPr>
        <w:t>Contemporary imperialism is, in a real sense, a hegemonic</w:t>
      </w:r>
      <w:r w:rsidR="00B27D16" w:rsidRPr="00B27D16">
        <w:rPr>
          <w:rFonts w:ascii="Book Antiqua" w:hAnsi="Book Antiqua" w:cs="Times New Roman"/>
          <w:sz w:val="20"/>
        </w:rPr>
        <w:t xml:space="preserve"> </w:t>
      </w:r>
      <w:r w:rsidRPr="00B27D16">
        <w:rPr>
          <w:rFonts w:ascii="Book Antiqua" w:hAnsi="Book Antiqua" w:cs="Times New Roman"/>
          <w:sz w:val="20"/>
        </w:rPr>
        <w:t>exercising to a maximum degree a rationalized violence taken to a higher</w:t>
      </w:r>
      <w:r w:rsidR="00B27D16" w:rsidRPr="00B27D16">
        <w:rPr>
          <w:rFonts w:ascii="Book Antiqua" w:hAnsi="Book Antiqua" w:cs="Times New Roman"/>
          <w:sz w:val="20"/>
        </w:rPr>
        <w:t xml:space="preserve"> </w:t>
      </w:r>
      <w:r w:rsidRPr="00B27D16">
        <w:rPr>
          <w:rFonts w:ascii="Book Antiqua" w:hAnsi="Book Antiqua" w:cs="Times New Roman"/>
          <w:sz w:val="20"/>
        </w:rPr>
        <w:t>level than ever before—through fire and sword, but also through the attempt</w:t>
      </w:r>
      <w:r w:rsidR="00B27D16" w:rsidRPr="00B27D16">
        <w:rPr>
          <w:rFonts w:ascii="Book Antiqua" w:hAnsi="Book Antiqua" w:cs="Times New Roman"/>
          <w:sz w:val="20"/>
        </w:rPr>
        <w:t xml:space="preserve"> </w:t>
      </w:r>
      <w:r w:rsidRPr="00B27D16">
        <w:rPr>
          <w:rFonts w:ascii="Book Antiqua" w:hAnsi="Book Antiqua" w:cs="Times New Roman"/>
          <w:sz w:val="20"/>
        </w:rPr>
        <w:t>to control hearts and minds. For its content is defined by the combined</w:t>
      </w:r>
      <w:r w:rsidR="00B27D16" w:rsidRPr="00B27D16">
        <w:rPr>
          <w:rFonts w:ascii="Book Antiqua" w:hAnsi="Book Antiqua" w:cs="Times New Roman"/>
          <w:sz w:val="20"/>
        </w:rPr>
        <w:t xml:space="preserve"> </w:t>
      </w:r>
      <w:r w:rsidRPr="00B27D16">
        <w:rPr>
          <w:rFonts w:ascii="Book Antiqua" w:hAnsi="Book Antiqua" w:cs="Times New Roman"/>
          <w:sz w:val="20"/>
        </w:rPr>
        <w:t>action of the military-industrial complex and the hegemonic cultural</w:t>
      </w:r>
      <w:r w:rsidR="00B27D16" w:rsidRPr="00B27D16">
        <w:rPr>
          <w:rFonts w:ascii="Book Antiqua" w:hAnsi="Book Antiqua" w:cs="Times New Roman"/>
          <w:sz w:val="20"/>
        </w:rPr>
        <w:t xml:space="preserve"> centres</w:t>
      </w:r>
      <w:r w:rsidRPr="00B27D16">
        <w:rPr>
          <w:rFonts w:ascii="Book Antiqua" w:hAnsi="Book Antiqua" w:cs="Times New Roman"/>
          <w:sz w:val="20"/>
        </w:rPr>
        <w:t xml:space="preserve"> of the West, all of them founded on the advanced levels of development</w:t>
      </w:r>
      <w:r w:rsidR="00B27D16" w:rsidRPr="00B27D16">
        <w:rPr>
          <w:rFonts w:ascii="Book Antiqua" w:hAnsi="Book Antiqua" w:cs="Times New Roman"/>
          <w:sz w:val="20"/>
        </w:rPr>
        <w:t xml:space="preserve"> </w:t>
      </w:r>
      <w:r w:rsidRPr="00B27D16">
        <w:rPr>
          <w:rFonts w:ascii="Book Antiqua" w:hAnsi="Book Antiqua" w:cs="Times New Roman"/>
          <w:sz w:val="20"/>
        </w:rPr>
        <w:t>attained by monopoly and finance capital, and supported by the</w:t>
      </w:r>
      <w:r w:rsidR="00B27D16">
        <w:rPr>
          <w:rFonts w:ascii="Book Antiqua" w:hAnsi="Book Antiqua" w:cs="Times New Roman"/>
          <w:sz w:val="20"/>
        </w:rPr>
        <w:t xml:space="preserve"> </w:t>
      </w:r>
      <w:r w:rsidRPr="00B27D16">
        <w:rPr>
          <w:rFonts w:ascii="Book Antiqua" w:hAnsi="Book Antiqua" w:cs="Times New Roman"/>
          <w:sz w:val="20"/>
        </w:rPr>
        <w:t xml:space="preserve">benefits of both the scientific and technological revolution and the second </w:t>
      </w:r>
      <w:r w:rsidR="00B27D16" w:rsidRPr="00B27D16">
        <w:rPr>
          <w:rFonts w:ascii="Book Antiqua" w:hAnsi="Book Antiqua" w:cs="Times New Roman"/>
          <w:sz w:val="20"/>
        </w:rPr>
        <w:t xml:space="preserve">industrial revolution itself. (145-46). </w:t>
      </w:r>
    </w:p>
    <w:p w:rsidR="00B27D16" w:rsidRDefault="00B27D16" w:rsidP="00B27D16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27D16" w:rsidRDefault="00B27D1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lastRenderedPageBreak/>
        <w:t xml:space="preserve">Using </w:t>
      </w:r>
      <w:r w:rsidR="007F7A76">
        <w:rPr>
          <w:rFonts w:ascii="Book Antiqua" w:hAnsi="Book Antiqua" w:cs="Times New Roman"/>
        </w:rPr>
        <w:t>this</w:t>
      </w:r>
      <w:r>
        <w:rPr>
          <w:rFonts w:ascii="Book Antiqua" w:hAnsi="Book Antiqua" w:cs="Times New Roman"/>
        </w:rPr>
        <w:t xml:space="preserve"> model, Mohanty argues that </w:t>
      </w:r>
      <w:r w:rsidR="00915AEE" w:rsidRPr="00314687">
        <w:rPr>
          <w:rFonts w:ascii="Book Antiqua" w:hAnsi="Book Antiqua" w:cs="Times New Roman"/>
        </w:rPr>
        <w:t xml:space="preserve">Western feminist scholarship cannot avoid the </w:t>
      </w:r>
      <w:r>
        <w:rPr>
          <w:rFonts w:ascii="Book Antiqua" w:hAnsi="Book Antiqua" w:cs="Times New Roman"/>
        </w:rPr>
        <w:t>‘</w:t>
      </w:r>
      <w:r w:rsidR="00915AEE" w:rsidRPr="00314687">
        <w:rPr>
          <w:rFonts w:ascii="Book Antiqua" w:hAnsi="Book Antiqua" w:cs="Times New Roman"/>
        </w:rPr>
        <w:t>challenge of situating itself</w:t>
      </w:r>
      <w:r>
        <w:rPr>
          <w:rFonts w:ascii="Book Antiqua" w:hAnsi="Book Antiqua" w:cs="Times New Roman"/>
        </w:rPr>
        <w:t xml:space="preserve"> </w:t>
      </w:r>
      <w:r w:rsidR="00915AEE" w:rsidRPr="00314687">
        <w:rPr>
          <w:rFonts w:ascii="Book Antiqua" w:hAnsi="Book Antiqua" w:cs="Times New Roman"/>
        </w:rPr>
        <w:t>and examining its role in such a global e</w:t>
      </w:r>
      <w:r>
        <w:rPr>
          <w:rFonts w:ascii="Book Antiqua" w:hAnsi="Book Antiqua" w:cs="Times New Roman"/>
        </w:rPr>
        <w:t>conomic and political framework’ and that ‘</w:t>
      </w:r>
      <w:r w:rsidR="00915AEE" w:rsidRPr="00314687">
        <w:rPr>
          <w:rFonts w:ascii="Book Antiqua" w:hAnsi="Book Antiqua" w:cs="Times New Roman"/>
        </w:rPr>
        <w:t>Western feminist writing on women in the Third World must be considered</w:t>
      </w:r>
      <w:r w:rsidR="007F7A76">
        <w:rPr>
          <w:rFonts w:ascii="Book Antiqua" w:hAnsi="Book Antiqua" w:cs="Times New Roman"/>
        </w:rPr>
        <w:t xml:space="preserve"> </w:t>
      </w:r>
      <w:r w:rsidR="00915AEE" w:rsidRPr="00314687">
        <w:rPr>
          <w:rFonts w:ascii="Book Antiqua" w:hAnsi="Book Antiqua" w:cs="Times New Roman"/>
        </w:rPr>
        <w:t>in the context of the global hegemony of Western scholarship —that</w:t>
      </w:r>
      <w:r>
        <w:rPr>
          <w:rFonts w:ascii="Book Antiqua" w:hAnsi="Book Antiqua" w:cs="Times New Roman"/>
        </w:rPr>
        <w:t xml:space="preserve"> </w:t>
      </w:r>
      <w:r w:rsidR="00915AEE" w:rsidRPr="00314687">
        <w:rPr>
          <w:rFonts w:ascii="Book Antiqua" w:hAnsi="Book Antiqua" w:cs="Times New Roman"/>
        </w:rPr>
        <w:t>is, the production, publication, distribution, and consumption of information</w:t>
      </w:r>
      <w:r>
        <w:rPr>
          <w:rFonts w:ascii="Book Antiqua" w:hAnsi="Book Antiqua" w:cs="Times New Roman"/>
        </w:rPr>
        <w:t xml:space="preserve"> and ideas.’ </w:t>
      </w:r>
      <w:r w:rsidR="007F7A76">
        <w:rPr>
          <w:rFonts w:ascii="Book Antiqua" w:hAnsi="Book Antiqua" w:cs="Times New Roman"/>
        </w:rPr>
        <w:t xml:space="preserve">In response to this  </w:t>
      </w:r>
      <w:r>
        <w:rPr>
          <w:rFonts w:ascii="Book Antiqua" w:hAnsi="Book Antiqua" w:cs="Times New Roman"/>
        </w:rPr>
        <w:t>Mohanty raises several key criticisms of Western feminism regarding Third World women:</w:t>
      </w:r>
    </w:p>
    <w:p w:rsidR="00B27D16" w:rsidRDefault="00B27D1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27D16" w:rsidRPr="001F641F" w:rsidRDefault="00B27D16" w:rsidP="001F641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1F641F">
        <w:rPr>
          <w:rFonts w:ascii="Book Antiqua" w:hAnsi="Book Antiqua" w:cs="Times New Roman"/>
        </w:rPr>
        <w:t xml:space="preserve">Western feminism operates on the </w:t>
      </w:r>
      <w:r w:rsidR="00915AEE" w:rsidRPr="001F641F">
        <w:rPr>
          <w:rFonts w:ascii="Book Antiqua" w:hAnsi="Book Antiqua" w:cs="Times New Roman"/>
        </w:rPr>
        <w:t>assumption</w:t>
      </w:r>
      <w:r w:rsidRPr="001F641F">
        <w:rPr>
          <w:rFonts w:ascii="Book Antiqua" w:hAnsi="Book Antiqua" w:cs="Times New Roman"/>
        </w:rPr>
        <w:t xml:space="preserve"> </w:t>
      </w:r>
      <w:r w:rsidR="00915AEE" w:rsidRPr="001F641F">
        <w:rPr>
          <w:rFonts w:ascii="Book Antiqua" w:hAnsi="Book Antiqua" w:cs="Times New Roman"/>
        </w:rPr>
        <w:t>of women as an already constituted, coherent group with identical interests</w:t>
      </w:r>
      <w:r w:rsidRPr="001F641F">
        <w:rPr>
          <w:rFonts w:ascii="Book Antiqua" w:hAnsi="Book Antiqua" w:cs="Times New Roman"/>
        </w:rPr>
        <w:t xml:space="preserve"> </w:t>
      </w:r>
      <w:r w:rsidR="00915AEE" w:rsidRPr="001F641F">
        <w:rPr>
          <w:rFonts w:ascii="Book Antiqua" w:hAnsi="Book Antiqua" w:cs="Times New Roman"/>
        </w:rPr>
        <w:t>and desires, regardless of class, ethnic, or rac</w:t>
      </w:r>
      <w:r w:rsidRPr="001F641F">
        <w:rPr>
          <w:rFonts w:ascii="Book Antiqua" w:hAnsi="Book Antiqua" w:cs="Times New Roman"/>
        </w:rPr>
        <w:t xml:space="preserve">ial location, or contradictions.  </w:t>
      </w:r>
      <w:r w:rsidR="001F641F" w:rsidRPr="001F641F">
        <w:rPr>
          <w:rFonts w:ascii="Book Antiqua" w:hAnsi="Book Antiqua" w:cs="Times New Roman"/>
        </w:rPr>
        <w:t xml:space="preserve">This view </w:t>
      </w:r>
      <w:r w:rsidR="006C1A9D">
        <w:rPr>
          <w:rFonts w:ascii="Book Antiqua" w:hAnsi="Book Antiqua" w:cs="Times New Roman"/>
        </w:rPr>
        <w:t xml:space="preserve">suggests that all </w:t>
      </w:r>
      <w:r w:rsidR="001F641F" w:rsidRPr="001F641F">
        <w:rPr>
          <w:rFonts w:ascii="Book Antiqua" w:hAnsi="Book Antiqua" w:cs="Times New Roman"/>
        </w:rPr>
        <w:t xml:space="preserve">men are bound together via a sociological notion of the "sameness" of their oppression. </w:t>
      </w:r>
      <w:r w:rsidRPr="001F641F">
        <w:rPr>
          <w:rFonts w:ascii="Book Antiqua" w:hAnsi="Book Antiqua" w:cs="Times New Roman"/>
        </w:rPr>
        <w:t xml:space="preserve">This is presented as a universal condition. </w:t>
      </w:r>
      <w:r w:rsidR="006F5CBE" w:rsidRPr="001F641F">
        <w:rPr>
          <w:rFonts w:ascii="Book Antiqua" w:hAnsi="Book Antiqua" w:cs="Times New Roman"/>
        </w:rPr>
        <w:t xml:space="preserve">Evidence for this universal view lacks critical analysis and makes unfounded assumptions. </w:t>
      </w:r>
    </w:p>
    <w:p w:rsidR="00B27D16" w:rsidRDefault="00B27D1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60A89" w:rsidRPr="00B60A89" w:rsidRDefault="006F5CBE" w:rsidP="00B60A8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B60A89">
        <w:rPr>
          <w:rFonts w:ascii="Book Antiqua" w:hAnsi="Book Antiqua" w:cs="Times New Roman"/>
        </w:rPr>
        <w:t xml:space="preserve">Western feminism assumes a </w:t>
      </w:r>
      <w:r w:rsidR="00915AEE" w:rsidRPr="00B60A89">
        <w:rPr>
          <w:rFonts w:ascii="Book Antiqua" w:hAnsi="Book Antiqua" w:cs="Times New Roman"/>
        </w:rPr>
        <w:t>homogeneous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notion of the oppression of women as a group which</w:t>
      </w:r>
      <w:r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produces the image of an "average Third World woman." This average Third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World woman leads an essentially truncated life based on her feminine gender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(read: sexually constrained) and her being "Third World" (read: ignorant,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poor, uneducated, tradition-bound, domestic, family-oriented, victimized,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 xml:space="preserve">etc.). </w:t>
      </w:r>
      <w:r w:rsidRPr="00B60A89">
        <w:rPr>
          <w:rFonts w:ascii="Book Antiqua" w:hAnsi="Book Antiqua" w:cs="Times New Roman"/>
        </w:rPr>
        <w:t>Mohanty</w:t>
      </w:r>
      <w:r w:rsidR="00915AEE" w:rsidRPr="00B60A89">
        <w:rPr>
          <w:rFonts w:ascii="Book Antiqua" w:hAnsi="Book Antiqua" w:cs="Times New Roman"/>
        </w:rPr>
        <w:t xml:space="preserve"> suggest</w:t>
      </w:r>
      <w:r w:rsidRPr="00B60A89">
        <w:rPr>
          <w:rFonts w:ascii="Book Antiqua" w:hAnsi="Book Antiqua" w:cs="Times New Roman"/>
        </w:rPr>
        <w:t xml:space="preserve">s that this assumption stands in stark </w:t>
      </w:r>
      <w:r w:rsidR="00915AEE" w:rsidRPr="00B60A89">
        <w:rPr>
          <w:rFonts w:ascii="Book Antiqua" w:hAnsi="Book Antiqua" w:cs="Times New Roman"/>
        </w:rPr>
        <w:t>contrast to the (implicit) self-representation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of Western women as educated, as modern, as having control over their own</w:t>
      </w:r>
      <w:r w:rsidR="00B27D16" w:rsidRPr="00B60A89">
        <w:rPr>
          <w:rFonts w:ascii="Book Antiqua" w:hAnsi="Book Antiqua" w:cs="Times New Roman"/>
        </w:rPr>
        <w:t xml:space="preserve"> </w:t>
      </w:r>
      <w:r w:rsidR="00915AEE" w:rsidRPr="00B60A89">
        <w:rPr>
          <w:rFonts w:ascii="Book Antiqua" w:hAnsi="Book Antiqua" w:cs="Times New Roman"/>
        </w:rPr>
        <w:t>bodies and sexualities and the freedom to make their own decisions.</w:t>
      </w:r>
      <w:r w:rsidR="00B60A89" w:rsidRPr="00B60A89">
        <w:rPr>
          <w:rFonts w:ascii="Book Antiqua" w:hAnsi="Book Antiqua" w:cs="Times New Roman"/>
        </w:rPr>
        <w:t xml:space="preserve"> </w:t>
      </w:r>
    </w:p>
    <w:p w:rsidR="00B60A89" w:rsidRDefault="00B60A89" w:rsidP="00B60A89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27D16" w:rsidRPr="00B60A89" w:rsidRDefault="00B60A89" w:rsidP="00B60A8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B60A89">
        <w:rPr>
          <w:rFonts w:ascii="Book Antiqua" w:hAnsi="Book Antiqua" w:cs="Times New Roman"/>
        </w:rPr>
        <w:t>Defining women as archetypal victims freezes them into "objects-who-defend-themselves," men into "subjects-who-perpetrate violence," and (every) society into powerless (read: women) and powerful</w:t>
      </w:r>
      <w:r>
        <w:rPr>
          <w:rFonts w:ascii="Book Antiqua" w:hAnsi="Book Antiqua" w:cs="Times New Roman"/>
        </w:rPr>
        <w:t xml:space="preserve"> </w:t>
      </w:r>
      <w:r w:rsidRPr="00B60A89">
        <w:rPr>
          <w:rFonts w:ascii="Book Antiqua" w:hAnsi="Book Antiqua" w:cs="Times New Roman"/>
        </w:rPr>
        <w:t xml:space="preserve">(read: men) groups of people. Male violence must be theorized and interpreted within specific societies in order </w:t>
      </w:r>
      <w:r w:rsidR="00384073">
        <w:rPr>
          <w:rFonts w:ascii="Book Antiqua" w:hAnsi="Book Antiqua" w:cs="Times New Roman"/>
        </w:rPr>
        <w:t xml:space="preserve">for </w:t>
      </w:r>
      <w:r w:rsidRPr="00B60A89">
        <w:rPr>
          <w:rFonts w:ascii="Book Antiqua" w:hAnsi="Book Antiqua" w:cs="Times New Roman"/>
        </w:rPr>
        <w:t>both to understand it better and to organize effectively to change</w:t>
      </w:r>
      <w:r w:rsidR="00384073">
        <w:rPr>
          <w:rFonts w:ascii="Book Antiqua" w:hAnsi="Book Antiqua" w:cs="Times New Roman"/>
        </w:rPr>
        <w:t>,</w:t>
      </w:r>
      <w:r w:rsidRPr="00B60A89">
        <w:rPr>
          <w:rFonts w:ascii="Book Antiqua" w:hAnsi="Book Antiqua" w:cs="Times New Roman"/>
        </w:rPr>
        <w:t xml:space="preserve"> its Sisterhood cannot be assumed on the basis of gender; it must be forged in concrete historical and political practice and analysis.</w:t>
      </w:r>
    </w:p>
    <w:p w:rsidR="00B60A89" w:rsidRPr="00314687" w:rsidRDefault="00B60A89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B60A89" w:rsidRDefault="00B60A89" w:rsidP="00B60A89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>Mohanty writes that ‘t</w:t>
      </w:r>
      <w:r w:rsidR="005110DF" w:rsidRPr="00314687">
        <w:rPr>
          <w:rFonts w:ascii="Book Antiqua" w:hAnsi="Book Antiqua" w:cs="Times New Roman"/>
        </w:rPr>
        <w:t>he problem with this analytic strategy is that it assumes men and women</w:t>
      </w:r>
      <w:r w:rsidR="006C1A9D">
        <w:rPr>
          <w:rFonts w:ascii="Book Antiqua" w:hAnsi="Book Antiqua" w:cs="Times New Roman"/>
        </w:rPr>
        <w:t xml:space="preserve"> </w:t>
      </w:r>
      <w:r w:rsidR="005110DF" w:rsidRPr="00314687">
        <w:rPr>
          <w:rFonts w:ascii="Book Antiqua" w:hAnsi="Book Antiqua" w:cs="Times New Roman"/>
        </w:rPr>
        <w:t>are already constituted as sexual-political subjects prior to their entry into the</w:t>
      </w:r>
      <w:r>
        <w:rPr>
          <w:rFonts w:ascii="Book Antiqua" w:hAnsi="Book Antiqua" w:cs="Times New Roman"/>
        </w:rPr>
        <w:t xml:space="preserve"> </w:t>
      </w:r>
      <w:r w:rsidR="005110DF" w:rsidRPr="00314687">
        <w:rPr>
          <w:rFonts w:ascii="Book Antiqua" w:hAnsi="Book Antiqua" w:cs="Times New Roman"/>
        </w:rPr>
        <w:t>arena of social relations.</w:t>
      </w:r>
      <w:r>
        <w:rPr>
          <w:rFonts w:ascii="Book Antiqua" w:hAnsi="Book Antiqua" w:cs="Times New Roman"/>
        </w:rPr>
        <w:t>’ She uses examples of women from African and Arabic cultures where the Western view is that of a homogenous oppressed group. This view fails to consider ‘</w:t>
      </w:r>
      <w:r w:rsidR="005110DF" w:rsidRPr="00314687">
        <w:rPr>
          <w:rFonts w:ascii="Book Antiqua" w:hAnsi="Book Antiqua" w:cs="Times New Roman"/>
        </w:rPr>
        <w:t>specific practices within the family that constitute women as mothers, wives,</w:t>
      </w:r>
      <w:r>
        <w:rPr>
          <w:rFonts w:ascii="Book Antiqua" w:hAnsi="Book Antiqua" w:cs="Times New Roman"/>
        </w:rPr>
        <w:t xml:space="preserve"> </w:t>
      </w:r>
      <w:r w:rsidR="005110DF" w:rsidRPr="00314687">
        <w:rPr>
          <w:rFonts w:ascii="Book Antiqua" w:hAnsi="Book Antiqua" w:cs="Times New Roman"/>
        </w:rPr>
        <w:t>sisters, and so on.</w:t>
      </w:r>
      <w:r>
        <w:rPr>
          <w:rFonts w:ascii="Book Antiqua" w:hAnsi="Book Antiqua" w:cs="Times New Roman"/>
        </w:rPr>
        <w:t>’ Such a view automatically assumes that ‘</w:t>
      </w:r>
      <w:r w:rsidR="005110DF" w:rsidRPr="00B60A89">
        <w:rPr>
          <w:rFonts w:ascii="Book Antiqua" w:hAnsi="Book Antiqua" w:cs="Times New Roman"/>
          <w:sz w:val="20"/>
        </w:rPr>
        <w:t>Arabs and Muslims, it appears, don't change at all. Their</w:t>
      </w:r>
      <w:r w:rsidRPr="00B60A89">
        <w:rPr>
          <w:rFonts w:ascii="Book Antiqua" w:hAnsi="Book Antiqua" w:cs="Times New Roman"/>
          <w:sz w:val="20"/>
        </w:rPr>
        <w:t xml:space="preserve"> </w:t>
      </w:r>
      <w:r w:rsidR="005110DF" w:rsidRPr="00B60A89">
        <w:rPr>
          <w:rFonts w:ascii="Book Antiqua" w:hAnsi="Book Antiqua" w:cs="Times New Roman"/>
          <w:sz w:val="20"/>
        </w:rPr>
        <w:t>patriarchal family is carried over from the times of the prophet Muhammad.</w:t>
      </w:r>
      <w:r w:rsidRPr="00B60A89">
        <w:rPr>
          <w:rFonts w:ascii="Book Antiqua" w:hAnsi="Book Antiqua" w:cs="Times New Roman"/>
          <w:sz w:val="20"/>
        </w:rPr>
        <w:t xml:space="preserve"> </w:t>
      </w:r>
      <w:r w:rsidR="005110DF" w:rsidRPr="00B60A89">
        <w:rPr>
          <w:rFonts w:ascii="Book Antiqua" w:hAnsi="Book Antiqua" w:cs="Times New Roman"/>
          <w:sz w:val="20"/>
        </w:rPr>
        <w:t>They exist, as it were, outside history.</w:t>
      </w:r>
      <w:r>
        <w:rPr>
          <w:rFonts w:ascii="Book Antiqua" w:hAnsi="Book Antiqua" w:cs="Times New Roman"/>
          <w:sz w:val="20"/>
        </w:rPr>
        <w:t xml:space="preserve">’ </w:t>
      </w:r>
    </w:p>
    <w:p w:rsidR="00B60A89" w:rsidRDefault="00B60A89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A7279D" w:rsidRDefault="00A7279D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  <w:b/>
        </w:rPr>
      </w:pPr>
      <w:r w:rsidRPr="00314687">
        <w:rPr>
          <w:rFonts w:ascii="Book Antiqua" w:hAnsi="Book Antiqua" w:cs="Times New Roman"/>
          <w:b/>
        </w:rPr>
        <w:t>What would am alternative reading look like?</w:t>
      </w:r>
    </w:p>
    <w:p w:rsidR="007F7A76" w:rsidRPr="00314687" w:rsidRDefault="007F7A7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  <w:b/>
        </w:rPr>
      </w:pPr>
    </w:p>
    <w:p w:rsidR="00A7279D" w:rsidRPr="00314687" w:rsidRDefault="007F7A76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Mohanty envisions a theoretical approach </w:t>
      </w:r>
      <w:r w:rsidR="006C1A9D">
        <w:rPr>
          <w:rFonts w:ascii="Book Antiqua" w:hAnsi="Book Antiqua" w:cs="Times New Roman"/>
        </w:rPr>
        <w:t xml:space="preserve">that </w:t>
      </w:r>
      <w:r>
        <w:rPr>
          <w:rFonts w:ascii="Book Antiqua" w:hAnsi="Book Antiqua" w:cs="Times New Roman"/>
        </w:rPr>
        <w:t>would consider</w:t>
      </w:r>
      <w:r w:rsidR="006C1A9D">
        <w:rPr>
          <w:rFonts w:ascii="Book Antiqua" w:hAnsi="Book Antiqua" w:cs="Times New Roman"/>
        </w:rPr>
        <w:t xml:space="preserve"> how </w:t>
      </w:r>
      <w:r w:rsidR="00A7279D" w:rsidRPr="00314687">
        <w:rPr>
          <w:rFonts w:ascii="Book Antiqua" w:hAnsi="Book Antiqua" w:cs="Times New Roman"/>
        </w:rPr>
        <w:t xml:space="preserve">the </w:t>
      </w:r>
      <w:r w:rsidR="006C1A9D">
        <w:rPr>
          <w:rFonts w:ascii="Book Antiqua" w:hAnsi="Book Antiqua" w:cs="Times New Roman"/>
        </w:rPr>
        <w:t>‘</w:t>
      </w:r>
      <w:r w:rsidR="00A7279D" w:rsidRPr="00314687">
        <w:rPr>
          <w:rFonts w:ascii="Book Antiqua" w:hAnsi="Book Antiqua" w:cs="Times New Roman"/>
        </w:rPr>
        <w:t>category of women is constructed</w:t>
      </w:r>
      <w:r w:rsidR="00B60A89"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in a variety of political contexts that often exist simultaneously and</w:t>
      </w:r>
      <w:r w:rsidR="00B60A89"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overlaid on top of one another.</w:t>
      </w:r>
      <w:r w:rsidR="006C1A9D">
        <w:rPr>
          <w:rFonts w:ascii="Book Antiqua" w:hAnsi="Book Antiqua" w:cs="Times New Roman"/>
        </w:rPr>
        <w:t xml:space="preserve">’ </w:t>
      </w:r>
      <w:r>
        <w:rPr>
          <w:rFonts w:ascii="Book Antiqua" w:hAnsi="Book Antiqua" w:cs="Times New Roman"/>
        </w:rPr>
        <w:t xml:space="preserve">Such a theory would do away with </w:t>
      </w:r>
      <w:r w:rsidR="006C1A9D">
        <w:rPr>
          <w:rFonts w:ascii="Book Antiqua" w:hAnsi="Book Antiqua" w:cs="Times New Roman"/>
        </w:rPr>
        <w:t>‘</w:t>
      </w:r>
      <w:r w:rsidR="00A7279D" w:rsidRPr="00314687">
        <w:rPr>
          <w:rFonts w:ascii="Book Antiqua" w:hAnsi="Book Antiqua" w:cs="Times New Roman"/>
        </w:rPr>
        <w:t xml:space="preserve">easy </w:t>
      </w:r>
      <w:r w:rsidRPr="00314687">
        <w:rPr>
          <w:rFonts w:ascii="Book Antiqua" w:hAnsi="Book Antiqua" w:cs="Times New Roman"/>
        </w:rPr>
        <w:t>generalization</w:t>
      </w:r>
      <w:r>
        <w:rPr>
          <w:rFonts w:ascii="Book Antiqua" w:hAnsi="Book Antiqua" w:cs="Times New Roman"/>
        </w:rPr>
        <w:t xml:space="preserve">’ </w:t>
      </w:r>
      <w:r w:rsidRPr="00314687">
        <w:rPr>
          <w:rFonts w:ascii="Book Antiqua" w:hAnsi="Book Antiqua" w:cs="Times New Roman"/>
        </w:rPr>
        <w:t>that</w:t>
      </w:r>
      <w:r>
        <w:rPr>
          <w:rFonts w:ascii="Book Antiqua" w:hAnsi="Book Antiqua" w:cs="Times New Roman"/>
        </w:rPr>
        <w:t xml:space="preserve"> regards</w:t>
      </w:r>
      <w:r w:rsidR="006C1A9D">
        <w:rPr>
          <w:rFonts w:ascii="Book Antiqua" w:hAnsi="Book Antiqua" w:cs="Times New Roman"/>
        </w:rPr>
        <w:t xml:space="preserve"> women in the Third World</w:t>
      </w:r>
      <w:r>
        <w:rPr>
          <w:rFonts w:ascii="Book Antiqua" w:hAnsi="Book Antiqua" w:cs="Times New Roman"/>
        </w:rPr>
        <w:t xml:space="preserve"> as victims bound together through a shared oppression</w:t>
      </w:r>
      <w:r w:rsidR="006C1A9D">
        <w:rPr>
          <w:rFonts w:ascii="Book Antiqua" w:hAnsi="Book Antiqua" w:cs="Times New Roman"/>
        </w:rPr>
        <w:t xml:space="preserve">. </w:t>
      </w:r>
      <w:r>
        <w:rPr>
          <w:rFonts w:ascii="Book Antiqua" w:hAnsi="Book Antiqua" w:cs="Times New Roman"/>
        </w:rPr>
        <w:t xml:space="preserve">Rather than generalising, this approach would consider </w:t>
      </w:r>
      <w:r w:rsidR="00A7279D" w:rsidRPr="00314687">
        <w:rPr>
          <w:rFonts w:ascii="Book Antiqua" w:hAnsi="Book Antiqua" w:cs="Times New Roman"/>
        </w:rPr>
        <w:t>local, political</w:t>
      </w:r>
      <w:r w:rsidR="00B60A89"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analysis, which generates theoretical categories from within the situation</w:t>
      </w:r>
      <w:r w:rsidR="00B60A89"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and context being analy</w:t>
      </w:r>
      <w:r>
        <w:rPr>
          <w:rFonts w:ascii="Book Antiqua" w:hAnsi="Book Antiqua" w:cs="Times New Roman"/>
        </w:rPr>
        <w:t>s</w:t>
      </w:r>
      <w:r w:rsidR="00A7279D" w:rsidRPr="00314687">
        <w:rPr>
          <w:rFonts w:ascii="Book Antiqua" w:hAnsi="Book Antiqua" w:cs="Times New Roman"/>
        </w:rPr>
        <w:t>ed, suggest</w:t>
      </w:r>
      <w:r w:rsidR="006C1A9D">
        <w:rPr>
          <w:rFonts w:ascii="Book Antiqua" w:hAnsi="Book Antiqua" w:cs="Times New Roman"/>
        </w:rPr>
        <w:t>ing</w:t>
      </w:r>
      <w:r w:rsidR="00A7279D" w:rsidRPr="00314687">
        <w:rPr>
          <w:rFonts w:ascii="Book Antiqua" w:hAnsi="Book Antiqua" w:cs="Times New Roman"/>
        </w:rPr>
        <w:t xml:space="preserve"> strategies</w:t>
      </w:r>
      <w:r w:rsidR="00B60A89">
        <w:rPr>
          <w:rFonts w:ascii="Book Antiqua" w:hAnsi="Book Antiqua" w:cs="Times New Roman"/>
        </w:rPr>
        <w:t xml:space="preserve"> </w:t>
      </w:r>
      <w:r>
        <w:rPr>
          <w:rFonts w:ascii="Book Antiqua" w:hAnsi="Book Antiqua" w:cs="Times New Roman"/>
        </w:rPr>
        <w:t>for organis</w:t>
      </w:r>
      <w:r w:rsidR="006C1A9D">
        <w:rPr>
          <w:rFonts w:ascii="Book Antiqua" w:hAnsi="Book Antiqua" w:cs="Times New Roman"/>
        </w:rPr>
        <w:t xml:space="preserve">ing against exploitation. </w:t>
      </w:r>
      <w:r>
        <w:rPr>
          <w:rFonts w:ascii="Book Antiqua" w:hAnsi="Book Antiqua" w:cs="Times New Roman"/>
        </w:rPr>
        <w:t>She concludes by stating that ‘i</w:t>
      </w:r>
      <w:r w:rsidR="00A7279D" w:rsidRPr="00314687">
        <w:rPr>
          <w:rFonts w:ascii="Book Antiqua" w:hAnsi="Book Antiqua" w:cs="Times New Roman"/>
        </w:rPr>
        <w:t>t is only by understanding the contradictions inherent in women's location</w:t>
      </w:r>
      <w:r w:rsidR="006C1A9D"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within</w:t>
      </w:r>
      <w:r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various structures that effective political action and challenges can</w:t>
      </w:r>
      <w:r w:rsidR="006C1A9D">
        <w:rPr>
          <w:rFonts w:ascii="Book Antiqua" w:hAnsi="Book Antiqua" w:cs="Times New Roman"/>
        </w:rPr>
        <w:t xml:space="preserve"> </w:t>
      </w:r>
      <w:r w:rsidR="00A7279D" w:rsidRPr="00314687">
        <w:rPr>
          <w:rFonts w:ascii="Book Antiqua" w:hAnsi="Book Antiqua" w:cs="Times New Roman"/>
        </w:rPr>
        <w:t>be devised.</w:t>
      </w:r>
      <w:r w:rsidR="00A50904">
        <w:rPr>
          <w:rFonts w:ascii="Book Antiqua" w:hAnsi="Book Antiqua" w:cs="Times New Roman"/>
        </w:rPr>
        <w:t>’</w:t>
      </w:r>
    </w:p>
    <w:p w:rsidR="00A7279D" w:rsidRDefault="00A7279D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48274C" w:rsidRPr="008E40FE" w:rsidRDefault="008E40FE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  <w:b/>
        </w:rPr>
      </w:pPr>
      <w:r>
        <w:rPr>
          <w:rFonts w:ascii="Book Antiqua" w:hAnsi="Book Antiqua" w:cs="Times New Roman"/>
          <w:b/>
        </w:rPr>
        <w:t xml:space="preserve">Theory </w:t>
      </w:r>
      <w:r w:rsidR="0048274C" w:rsidRPr="008E40FE">
        <w:rPr>
          <w:rFonts w:ascii="Book Antiqua" w:hAnsi="Book Antiqua" w:cs="Times New Roman"/>
          <w:b/>
        </w:rPr>
        <w:t>Questions:</w:t>
      </w:r>
    </w:p>
    <w:p w:rsidR="0048274C" w:rsidRDefault="0048274C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E25C78" w:rsidRDefault="00E25C78" w:rsidP="008E40F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When you think about Third World women, what images and ideas come to mind? </w:t>
      </w:r>
    </w:p>
    <w:p w:rsidR="00E25C78" w:rsidRDefault="00E25C78" w:rsidP="00E25C78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8E40FE" w:rsidRPr="008E40FE" w:rsidRDefault="008E40FE" w:rsidP="008E40F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8E40FE">
        <w:rPr>
          <w:rFonts w:ascii="Book Antiqua" w:hAnsi="Book Antiqua" w:cs="Times New Roman"/>
        </w:rPr>
        <w:t>How and why is it problematic</w:t>
      </w:r>
      <w:r w:rsidR="00A50904">
        <w:rPr>
          <w:rFonts w:ascii="Book Antiqua" w:hAnsi="Book Antiqua" w:cs="Times New Roman"/>
        </w:rPr>
        <w:t xml:space="preserve"> to</w:t>
      </w:r>
      <w:r w:rsidRPr="008E40FE">
        <w:rPr>
          <w:rFonts w:ascii="Book Antiqua" w:hAnsi="Book Antiqua" w:cs="Times New Roman"/>
        </w:rPr>
        <w:t xml:space="preserve"> view women as a single homogenous group? Why might this also be a particularly useful approach? </w:t>
      </w:r>
    </w:p>
    <w:p w:rsidR="008E40FE" w:rsidRDefault="008E40FE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8E40FE" w:rsidRPr="008E40FE" w:rsidRDefault="008E40FE" w:rsidP="008E40F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8E40FE">
        <w:rPr>
          <w:rFonts w:ascii="Book Antiqua" w:hAnsi="Book Antiqua" w:cs="Times New Roman"/>
        </w:rPr>
        <w:t xml:space="preserve">Is Mohanty undermining the notion of universal women’s suffrage? </w:t>
      </w:r>
    </w:p>
    <w:p w:rsidR="008E40FE" w:rsidRDefault="008E40FE" w:rsidP="00314687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8E40FE" w:rsidRDefault="008E40FE" w:rsidP="008E40F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8E40FE">
        <w:rPr>
          <w:rFonts w:ascii="Book Antiqua" w:hAnsi="Book Antiqua" w:cs="Times New Roman"/>
        </w:rPr>
        <w:t>What problems arise when a local cultural practice is seen as oppressive by one culture and part of a system of core beliefs by another?</w:t>
      </w:r>
    </w:p>
    <w:p w:rsidR="008E40FE" w:rsidRPr="008E40FE" w:rsidRDefault="008E40FE" w:rsidP="008E40FE">
      <w:pPr>
        <w:pStyle w:val="ListParagraph"/>
        <w:rPr>
          <w:rFonts w:ascii="Book Antiqua" w:hAnsi="Book Antiqua" w:cs="Times New Roman"/>
        </w:rPr>
      </w:pPr>
    </w:p>
    <w:p w:rsidR="008E40FE" w:rsidRDefault="008E40FE" w:rsidP="008E40FE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E25C78" w:rsidRPr="00926F19" w:rsidRDefault="00926F19" w:rsidP="008E40FE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  <w:b/>
        </w:rPr>
      </w:pPr>
      <w:r w:rsidRPr="00926F19">
        <w:rPr>
          <w:rFonts w:ascii="Book Antiqua" w:hAnsi="Book Antiqua" w:cs="Times New Roman"/>
          <w:b/>
        </w:rPr>
        <w:t>Text Questions:</w:t>
      </w:r>
    </w:p>
    <w:p w:rsidR="00926F19" w:rsidRDefault="00926F19" w:rsidP="008E40FE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926F19" w:rsidRPr="00926F19" w:rsidRDefault="00926F19" w:rsidP="00926F19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E25C78" w:rsidRPr="00926F19" w:rsidRDefault="00926F19" w:rsidP="00926F1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926F19">
        <w:rPr>
          <w:rFonts w:ascii="Book Antiqua" w:hAnsi="Book Antiqua" w:cs="Times New Roman"/>
        </w:rPr>
        <w:t xml:space="preserve">Think about how the Third World and Third World women are portrayed and represented in popular media. Is there a hegemonic view of the Third World and Third World women as a homogenous group of helpless, passive victims? </w:t>
      </w:r>
    </w:p>
    <w:p w:rsidR="00926F19" w:rsidRDefault="00926F19" w:rsidP="00926F19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</w:p>
    <w:p w:rsidR="00926F19" w:rsidRDefault="00926F19" w:rsidP="00926F1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To what extent do female characters in </w:t>
      </w:r>
      <w:r>
        <w:rPr>
          <w:rFonts w:ascii="Book Antiqua" w:hAnsi="Book Antiqua" w:cs="Times New Roman"/>
          <w:i/>
        </w:rPr>
        <w:t>The Buddha of Suburbia</w:t>
      </w:r>
      <w:r>
        <w:rPr>
          <w:rFonts w:ascii="Book Antiqua" w:hAnsi="Book Antiqua" w:cs="Times New Roman"/>
        </w:rPr>
        <w:t xml:space="preserve"> challenge, resist or conform to a hegemonic view of the Third World and Third World women?</w:t>
      </w:r>
    </w:p>
    <w:p w:rsidR="00926F19" w:rsidRPr="00926F19" w:rsidRDefault="00926F19" w:rsidP="00926F19">
      <w:pPr>
        <w:pStyle w:val="ListParagraph"/>
        <w:rPr>
          <w:rFonts w:ascii="Book Antiqua" w:hAnsi="Book Antiqua" w:cs="Times New Roman"/>
        </w:rPr>
      </w:pPr>
    </w:p>
    <w:p w:rsidR="00926F19" w:rsidRDefault="00926F19" w:rsidP="00926F1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Does Kureishi’s focus on the localised, everyday lives and events experienced by characters </w:t>
      </w:r>
      <w:r w:rsidR="00384CA2">
        <w:rPr>
          <w:rFonts w:ascii="Book Antiqua" w:hAnsi="Book Antiqua" w:cs="Times New Roman"/>
        </w:rPr>
        <w:t xml:space="preserve">who </w:t>
      </w:r>
      <w:r>
        <w:rPr>
          <w:rFonts w:ascii="Book Antiqua" w:hAnsi="Book Antiqua" w:cs="Times New Roman"/>
        </w:rPr>
        <w:t>work against generalised views and assumptions about race, class and gender?</w:t>
      </w:r>
    </w:p>
    <w:p w:rsidR="00926F19" w:rsidRPr="00926F19" w:rsidRDefault="00926F19" w:rsidP="00926F19">
      <w:pPr>
        <w:pStyle w:val="ListParagraph"/>
        <w:rPr>
          <w:rFonts w:ascii="Book Antiqua" w:hAnsi="Book Antiqua" w:cs="Times New Roman"/>
        </w:rPr>
      </w:pPr>
    </w:p>
    <w:p w:rsidR="00E25C78" w:rsidRPr="00926F19" w:rsidRDefault="00926F19" w:rsidP="008E40FE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Times New Roman"/>
        </w:rPr>
      </w:pPr>
      <w:r w:rsidRPr="00926F19">
        <w:rPr>
          <w:rFonts w:ascii="Book Antiqua" w:hAnsi="Book Antiqua" w:cs="Times New Roman"/>
        </w:rPr>
        <w:t xml:space="preserve">Can we read the novel as a Marxist critique of gender and race through the lens </w:t>
      </w:r>
      <w:r w:rsidR="00384CA2">
        <w:rPr>
          <w:rFonts w:ascii="Book Antiqua" w:hAnsi="Book Antiqua" w:cs="Times New Roman"/>
        </w:rPr>
        <w:t xml:space="preserve">of </w:t>
      </w:r>
      <w:r w:rsidRPr="00926F19">
        <w:rPr>
          <w:rFonts w:ascii="Book Antiqua" w:hAnsi="Book Antiqua" w:cs="Times New Roman"/>
        </w:rPr>
        <w:t xml:space="preserve">class and hegemony? </w:t>
      </w:r>
    </w:p>
    <w:p w:rsidR="00E25C78" w:rsidRPr="00E25C78" w:rsidRDefault="00E25C78" w:rsidP="00E25C78">
      <w:pPr>
        <w:rPr>
          <w:rFonts w:ascii="Book Antiqua" w:hAnsi="Book Antiqua" w:cs="Times New Roman"/>
        </w:rPr>
      </w:pPr>
    </w:p>
    <w:p w:rsidR="00E25C78" w:rsidRPr="00E25C78" w:rsidRDefault="0074796F" w:rsidP="00E25C78">
      <w:pPr>
        <w:rPr>
          <w:rFonts w:ascii="Book Antiqua" w:hAnsi="Book Antiqua" w:cs="Times New Roman"/>
        </w:rPr>
      </w:pPr>
      <w:r>
        <w:rPr>
          <w:rFonts w:ascii="Book Antiqua" w:hAnsi="Book Antiqua" w:cs="Times New Roman"/>
          <w:noProof/>
          <w:lang w:eastAsia="en-GB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1945640</wp:posOffset>
            </wp:positionH>
            <wp:positionV relativeFrom="paragraph">
              <wp:posOffset>304800</wp:posOffset>
            </wp:positionV>
            <wp:extent cx="2277110" cy="2524760"/>
            <wp:effectExtent l="19050" t="0" r="8890" b="0"/>
            <wp:wrapTight wrapText="bothSides">
              <wp:wrapPolygon edited="0">
                <wp:start x="-181" y="0"/>
                <wp:lineTo x="-181" y="21513"/>
                <wp:lineTo x="21684" y="21513"/>
                <wp:lineTo x="21684" y="0"/>
                <wp:lineTo x="-181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7110" cy="2524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 Antiqua" w:hAnsi="Book Antiqua" w:cs="Times New Roman"/>
          <w:noProof/>
          <w:lang w:eastAsia="en-GB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-125095</wp:posOffset>
            </wp:positionH>
            <wp:positionV relativeFrom="paragraph">
              <wp:posOffset>304800</wp:posOffset>
            </wp:positionV>
            <wp:extent cx="1977390" cy="2527300"/>
            <wp:effectExtent l="19050" t="0" r="3810" b="0"/>
            <wp:wrapTight wrapText="bothSides">
              <wp:wrapPolygon edited="0">
                <wp:start x="-208" y="0"/>
                <wp:lineTo x="-208" y="21491"/>
                <wp:lineTo x="21642" y="21491"/>
                <wp:lineTo x="21642" y="0"/>
                <wp:lineTo x="-208" y="0"/>
              </wp:wrapPolygon>
            </wp:wrapTight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7390" cy="252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26F19">
        <w:rPr>
          <w:rFonts w:ascii="Book Antiqua" w:hAnsi="Book Antiqua" w:cs="Times New Roman"/>
          <w:noProof/>
          <w:lang w:eastAsia="en-GB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4274820</wp:posOffset>
            </wp:positionH>
            <wp:positionV relativeFrom="paragraph">
              <wp:posOffset>304800</wp:posOffset>
            </wp:positionV>
            <wp:extent cx="2449830" cy="2526030"/>
            <wp:effectExtent l="19050" t="0" r="7620" b="0"/>
            <wp:wrapTight wrapText="bothSides">
              <wp:wrapPolygon edited="0">
                <wp:start x="-168" y="0"/>
                <wp:lineTo x="-168" y="21502"/>
                <wp:lineTo x="21667" y="21502"/>
                <wp:lineTo x="21667" y="0"/>
                <wp:lineTo x="-168" y="0"/>
              </wp:wrapPolygon>
            </wp:wrapTight>
            <wp:docPr id="1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830" cy="2526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25C78" w:rsidRDefault="00E25C78" w:rsidP="00E25C78">
      <w:pPr>
        <w:rPr>
          <w:rFonts w:ascii="Book Antiqua" w:hAnsi="Book Antiqua" w:cs="Times New Roman"/>
          <w:noProof/>
          <w:lang w:eastAsia="en-GB"/>
        </w:rPr>
      </w:pPr>
    </w:p>
    <w:p w:rsidR="00BF78F3" w:rsidRPr="00BF78F3" w:rsidRDefault="00BF78F3" w:rsidP="00E25C78">
      <w:pPr>
        <w:rPr>
          <w:rFonts w:ascii="Book Antiqua" w:hAnsi="Book Antiqua" w:cs="Times New Roman"/>
          <w:b/>
          <w:noProof/>
          <w:lang w:eastAsia="en-GB"/>
        </w:rPr>
      </w:pPr>
      <w:r w:rsidRPr="00BF78F3">
        <w:rPr>
          <w:rFonts w:ascii="Book Antiqua" w:hAnsi="Book Antiqua" w:cs="Times New Roman"/>
          <w:b/>
          <w:noProof/>
          <w:lang w:eastAsia="en-GB"/>
        </w:rPr>
        <w:t>Notes:</w:t>
      </w:r>
    </w:p>
    <w:p w:rsidR="00BF78F3" w:rsidRPr="00E25C78" w:rsidRDefault="00BF78F3" w:rsidP="00E25C78">
      <w:pPr>
        <w:rPr>
          <w:rFonts w:ascii="Book Antiqua" w:hAnsi="Book Antiqua" w:cs="Times New Roman"/>
        </w:rPr>
      </w:pPr>
    </w:p>
    <w:sectPr w:rsidR="00BF78F3" w:rsidRPr="00E25C78" w:rsidSect="007F7A76">
      <w:pgSz w:w="11906" w:h="16838"/>
      <w:pgMar w:top="426" w:right="849" w:bottom="28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24DFF"/>
    <w:multiLevelType w:val="hybridMultilevel"/>
    <w:tmpl w:val="E8CC62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7668C"/>
    <w:multiLevelType w:val="hybridMultilevel"/>
    <w:tmpl w:val="C40822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BD52CC"/>
    <w:multiLevelType w:val="hybridMultilevel"/>
    <w:tmpl w:val="CBF64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7E671A"/>
    <w:multiLevelType w:val="hybridMultilevel"/>
    <w:tmpl w:val="32369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6A3D1B"/>
    <w:rsid w:val="001F641F"/>
    <w:rsid w:val="00314687"/>
    <w:rsid w:val="00384073"/>
    <w:rsid w:val="00384CA2"/>
    <w:rsid w:val="00435802"/>
    <w:rsid w:val="0044616A"/>
    <w:rsid w:val="00457146"/>
    <w:rsid w:val="0048274C"/>
    <w:rsid w:val="005110DF"/>
    <w:rsid w:val="005A1502"/>
    <w:rsid w:val="005B595D"/>
    <w:rsid w:val="006A3D1B"/>
    <w:rsid w:val="006C1A9D"/>
    <w:rsid w:val="006F5CBE"/>
    <w:rsid w:val="0074796F"/>
    <w:rsid w:val="007F7A76"/>
    <w:rsid w:val="00877DF9"/>
    <w:rsid w:val="008B69F9"/>
    <w:rsid w:val="008E40FE"/>
    <w:rsid w:val="00915AEE"/>
    <w:rsid w:val="00926F19"/>
    <w:rsid w:val="00956CE8"/>
    <w:rsid w:val="0097396C"/>
    <w:rsid w:val="009E4016"/>
    <w:rsid w:val="00A50904"/>
    <w:rsid w:val="00A7279D"/>
    <w:rsid w:val="00A761FC"/>
    <w:rsid w:val="00B15AEE"/>
    <w:rsid w:val="00B27D16"/>
    <w:rsid w:val="00B60A89"/>
    <w:rsid w:val="00BA09E0"/>
    <w:rsid w:val="00BF78F3"/>
    <w:rsid w:val="00C444A5"/>
    <w:rsid w:val="00CB08B4"/>
    <w:rsid w:val="00E25C78"/>
    <w:rsid w:val="00EE31B3"/>
    <w:rsid w:val="00F465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95D"/>
  </w:style>
  <w:style w:type="paragraph" w:styleId="Heading2">
    <w:name w:val="heading 2"/>
    <w:basedOn w:val="Normal"/>
    <w:link w:val="Heading2Char"/>
    <w:uiPriority w:val="9"/>
    <w:qFormat/>
    <w:rsid w:val="0074796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A3D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6A3D1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6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CE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7D16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4796F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Strong">
    <w:name w:val="Strong"/>
    <w:basedOn w:val="DefaultParagraphFont"/>
    <w:uiPriority w:val="22"/>
    <w:qFormat/>
    <w:rsid w:val="0074796F"/>
    <w:rPr>
      <w:b/>
      <w:bCs/>
    </w:rPr>
  </w:style>
  <w:style w:type="character" w:customStyle="1" w:styleId="big">
    <w:name w:val="big"/>
    <w:basedOn w:val="DefaultParagraphFont"/>
    <w:rsid w:val="0074796F"/>
  </w:style>
  <w:style w:type="character" w:styleId="FollowedHyperlink">
    <w:name w:val="FollowedHyperlink"/>
    <w:basedOn w:val="DefaultParagraphFont"/>
    <w:uiPriority w:val="99"/>
    <w:semiHidden/>
    <w:unhideWhenUsed/>
    <w:rsid w:val="0074796F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903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1281</Words>
  <Characters>7304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Roxanne</cp:lastModifiedBy>
  <cp:revision>7</cp:revision>
  <cp:lastPrinted>2013-12-01T11:16:00Z</cp:lastPrinted>
  <dcterms:created xsi:type="dcterms:W3CDTF">2013-12-01T10:07:00Z</dcterms:created>
  <dcterms:modified xsi:type="dcterms:W3CDTF">2013-12-01T11:56:00Z</dcterms:modified>
</cp:coreProperties>
</file>