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725" w:rsidRDefault="00122F97">
      <w:pPr>
        <w:ind w:firstLine="0"/>
      </w:pPr>
      <w:r>
        <w:rPr>
          <w:b/>
        </w:rPr>
        <w:t>Lecture Time</w:t>
      </w:r>
    </w:p>
    <w:p w:rsidR="00F33725" w:rsidRDefault="00122F97">
      <w:pPr>
        <w:ind w:firstLine="0"/>
      </w:pPr>
      <w:r>
        <w:t>Thursday, 10-11am, Woods-Scawen Room, Arts Centre</w:t>
      </w:r>
    </w:p>
    <w:p w:rsidR="00F33725" w:rsidRDefault="00122F97">
      <w:pPr>
        <w:ind w:firstLine="0"/>
      </w:pPr>
      <w:r>
        <w:rPr>
          <w:b/>
        </w:rPr>
        <w:t>Seminar Times</w:t>
      </w:r>
    </w:p>
    <w:p w:rsidR="00F33725" w:rsidRDefault="00122F97">
      <w:pPr>
        <w:spacing w:line="240" w:lineRule="auto"/>
        <w:ind w:firstLine="0"/>
      </w:pPr>
      <w:r>
        <w:t xml:space="preserve">Thursday, 1-2 pm, H538 </w:t>
      </w:r>
    </w:p>
    <w:p w:rsidR="00F33725" w:rsidRDefault="00122F97">
      <w:pPr>
        <w:spacing w:line="240" w:lineRule="auto"/>
        <w:ind w:firstLine="0"/>
      </w:pPr>
      <w:r>
        <w:t>Thursday, 2-3 pm, H538</w:t>
      </w:r>
    </w:p>
    <w:p w:rsidR="00F33725" w:rsidRDefault="00F33725">
      <w:pPr>
        <w:spacing w:line="240" w:lineRule="auto"/>
        <w:ind w:firstLine="0"/>
      </w:pPr>
    </w:p>
    <w:p w:rsidR="00F33725" w:rsidRDefault="00122F97">
      <w:pPr>
        <w:ind w:firstLine="0"/>
      </w:pPr>
      <w:r>
        <w:rPr>
          <w:b/>
        </w:rPr>
        <w:t>Contact Details</w:t>
      </w:r>
    </w:p>
    <w:p w:rsidR="00F33725" w:rsidRDefault="00122F97">
      <w:pPr>
        <w:spacing w:line="240" w:lineRule="auto"/>
        <w:ind w:firstLine="0"/>
      </w:pPr>
      <w:r>
        <w:t>Office Hour: Thursday 11 am-12 noon, H531 (T1), H520 (T2)</w:t>
      </w:r>
    </w:p>
    <w:p w:rsidR="00F33725" w:rsidRDefault="00122F97">
      <w:pPr>
        <w:spacing w:line="240" w:lineRule="auto"/>
        <w:ind w:firstLine="0"/>
      </w:pPr>
      <w:r>
        <w:t>n.j.s.collins@warwick.ac.uk</w:t>
      </w:r>
    </w:p>
    <w:p w:rsidR="00F33725" w:rsidRDefault="00122F97">
      <w:pPr>
        <w:spacing w:line="240" w:lineRule="auto"/>
        <w:ind w:firstLine="0"/>
      </w:pPr>
      <w:r>
        <w:t>http://go.warwick.ac.uk/njscollins</w:t>
      </w:r>
    </w:p>
    <w:p w:rsidR="00F33725" w:rsidRDefault="00F33725">
      <w:pPr>
        <w:spacing w:line="240" w:lineRule="auto"/>
        <w:ind w:firstLine="0"/>
      </w:pPr>
    </w:p>
    <w:p w:rsidR="00F33725" w:rsidRDefault="00122F97">
      <w:pPr>
        <w:ind w:firstLine="0"/>
      </w:pPr>
      <w:r>
        <w:rPr>
          <w:b/>
        </w:rPr>
        <w:t>Module Schedule 2012/2013</w:t>
      </w:r>
    </w:p>
    <w:p w:rsidR="00F33725" w:rsidRDefault="00122F97">
      <w:pPr>
        <w:ind w:firstLine="0"/>
      </w:pPr>
      <w:r>
        <w:t>Term One:</w:t>
      </w:r>
    </w:p>
    <w:p w:rsidR="00F33725" w:rsidRDefault="00122F97">
      <w:pPr>
        <w:numPr>
          <w:ilvl w:val="0"/>
          <w:numId w:val="4"/>
        </w:numPr>
        <w:spacing w:after="0" w:line="240" w:lineRule="auto"/>
        <w:ind w:left="426" w:hanging="359"/>
        <w:contextualSpacing/>
      </w:pPr>
      <w:r>
        <w:rPr>
          <w:b/>
        </w:rPr>
        <w:t>Week Two:</w:t>
      </w:r>
      <w:r>
        <w:t xml:space="preserve"> Introduction to Modes of Reading and </w:t>
      </w:r>
      <w:r>
        <w:t xml:space="preserve">Sam Selvon’s </w:t>
      </w:r>
      <w:r>
        <w:rPr>
          <w:i/>
        </w:rPr>
        <w:t xml:space="preserve">The Lonely Londoners </w:t>
      </w:r>
      <w:r>
        <w:t>(1956).</w:t>
      </w:r>
    </w:p>
    <w:p w:rsidR="00F33725" w:rsidRDefault="00122F97">
      <w:pPr>
        <w:numPr>
          <w:ilvl w:val="0"/>
          <w:numId w:val="4"/>
        </w:numPr>
        <w:spacing w:after="0" w:line="240" w:lineRule="auto"/>
        <w:ind w:left="426" w:hanging="359"/>
        <w:contextualSpacing/>
      </w:pPr>
      <w:r>
        <w:rPr>
          <w:b/>
        </w:rPr>
        <w:t xml:space="preserve">Week Three: </w:t>
      </w:r>
      <w:r>
        <w:t xml:space="preserve">Theory for </w:t>
      </w:r>
      <w:r>
        <w:t>Selvon</w:t>
      </w:r>
      <w:r>
        <w:t xml:space="preserve">: </w:t>
      </w:r>
      <w:r>
        <w:t>Fredric Jameson (Lodge 33).</w:t>
      </w:r>
    </w:p>
    <w:p w:rsidR="00F33725" w:rsidRDefault="00122F97">
      <w:pPr>
        <w:numPr>
          <w:ilvl w:val="0"/>
          <w:numId w:val="4"/>
        </w:numPr>
        <w:spacing w:after="0" w:line="240" w:lineRule="auto"/>
        <w:ind w:left="426" w:hanging="359"/>
        <w:contextualSpacing/>
      </w:pPr>
      <w:r>
        <w:rPr>
          <w:b/>
        </w:rPr>
        <w:t>Week Four:</w:t>
      </w:r>
      <w:r>
        <w:t xml:space="preserve"> Theory for </w:t>
      </w:r>
      <w:r>
        <w:t>Selvon</w:t>
      </w:r>
      <w:r>
        <w:t xml:space="preserve">: </w:t>
      </w:r>
      <w:r>
        <w:t>Raymon</w:t>
      </w:r>
      <w:r>
        <w:t>d Williams (Lodge 18).</w:t>
      </w:r>
    </w:p>
    <w:p w:rsidR="00F33725" w:rsidRDefault="00122F97">
      <w:pPr>
        <w:numPr>
          <w:ilvl w:val="0"/>
          <w:numId w:val="4"/>
        </w:numPr>
        <w:spacing w:after="0" w:line="240" w:lineRule="auto"/>
        <w:ind w:left="426" w:hanging="359"/>
        <w:contextualSpacing/>
      </w:pPr>
      <w:r>
        <w:rPr>
          <w:b/>
        </w:rPr>
        <w:t>Week Five:</w:t>
      </w:r>
      <w:r>
        <w:t xml:space="preserve"> </w:t>
      </w:r>
      <w:r>
        <w:rPr>
          <w:i/>
        </w:rPr>
        <w:t xml:space="preserve">First unassessed essay due. </w:t>
      </w:r>
      <w:r>
        <w:t xml:space="preserve">Theory for </w:t>
      </w:r>
      <w:r>
        <w:t>Selvon</w:t>
      </w:r>
      <w:r>
        <w:t xml:space="preserve">: </w:t>
      </w:r>
      <w:r>
        <w:t>Frantz Fanon (Lodge 7).</w:t>
      </w:r>
    </w:p>
    <w:p w:rsidR="00F33725" w:rsidRDefault="00122F97">
      <w:pPr>
        <w:numPr>
          <w:ilvl w:val="0"/>
          <w:numId w:val="4"/>
        </w:numPr>
        <w:spacing w:after="0" w:line="240" w:lineRule="auto"/>
        <w:ind w:left="426" w:hanging="359"/>
        <w:contextualSpacing/>
      </w:pPr>
      <w:r>
        <w:rPr>
          <w:b/>
        </w:rPr>
        <w:t>Week Six:</w:t>
      </w:r>
      <w:r>
        <w:t xml:space="preserve"> Reading Week.  No lecture; no seminar.</w:t>
      </w:r>
    </w:p>
    <w:p w:rsidR="00F33725" w:rsidRDefault="00122F97">
      <w:pPr>
        <w:numPr>
          <w:ilvl w:val="0"/>
          <w:numId w:val="4"/>
        </w:numPr>
        <w:spacing w:after="0" w:line="240" w:lineRule="auto"/>
        <w:ind w:left="426" w:hanging="359"/>
        <w:contextualSpacing/>
      </w:pPr>
      <w:r>
        <w:rPr>
          <w:b/>
        </w:rPr>
        <w:t>Week Seven:</w:t>
      </w:r>
      <w:r>
        <w:t xml:space="preserve"> </w:t>
      </w:r>
      <w:r>
        <w:t xml:space="preserve">Hanif Kureishi’s </w:t>
      </w:r>
      <w:r>
        <w:rPr>
          <w:i/>
        </w:rPr>
        <w:t>The Buddha of Suburbia</w:t>
      </w:r>
      <w:r>
        <w:t xml:space="preserve"> (1990).</w:t>
      </w:r>
    </w:p>
    <w:p w:rsidR="00F33725" w:rsidRDefault="00122F97">
      <w:pPr>
        <w:numPr>
          <w:ilvl w:val="0"/>
          <w:numId w:val="4"/>
        </w:numPr>
        <w:spacing w:after="0" w:line="240" w:lineRule="auto"/>
        <w:ind w:left="426" w:hanging="359"/>
        <w:contextualSpacing/>
      </w:pPr>
      <w:r>
        <w:rPr>
          <w:b/>
        </w:rPr>
        <w:t>Week Eight:</w:t>
      </w:r>
      <w:r>
        <w:t xml:space="preserve"> </w:t>
      </w:r>
      <w:r>
        <w:rPr>
          <w:i/>
        </w:rPr>
        <w:t xml:space="preserve">Second unassessed essay due. </w:t>
      </w:r>
      <w:r>
        <w:t xml:space="preserve"> </w:t>
      </w:r>
      <w:r>
        <w:t xml:space="preserve">Theory for </w:t>
      </w:r>
      <w:r>
        <w:t>Kureishi</w:t>
      </w:r>
      <w:r>
        <w:t xml:space="preserve">: </w:t>
      </w:r>
      <w:r>
        <w:t>Edward Said (Lodge 21).</w:t>
      </w:r>
    </w:p>
    <w:p w:rsidR="00F33725" w:rsidRDefault="00122F97">
      <w:pPr>
        <w:numPr>
          <w:ilvl w:val="0"/>
          <w:numId w:val="4"/>
        </w:numPr>
        <w:spacing w:after="0" w:line="240" w:lineRule="auto"/>
        <w:ind w:left="426" w:hanging="359"/>
        <w:contextualSpacing/>
      </w:pPr>
      <w:r>
        <w:rPr>
          <w:b/>
        </w:rPr>
        <w:t>Week Nine:</w:t>
      </w:r>
      <w:r>
        <w:t xml:space="preserve"> Theory for </w:t>
      </w:r>
      <w:r>
        <w:t>Kureishi</w:t>
      </w:r>
      <w:r>
        <w:t xml:space="preserve">: </w:t>
      </w:r>
      <w:r>
        <w:t>Stuart Hall (Lodge 36) and Judith Butler (Lodge 38)</w:t>
      </w:r>
      <w:r>
        <w:t>.</w:t>
      </w:r>
    </w:p>
    <w:p w:rsidR="00F33725" w:rsidRDefault="00122F97">
      <w:pPr>
        <w:numPr>
          <w:ilvl w:val="0"/>
          <w:numId w:val="4"/>
        </w:numPr>
        <w:spacing w:line="240" w:lineRule="auto"/>
        <w:ind w:left="426" w:hanging="359"/>
        <w:contextualSpacing/>
      </w:pPr>
      <w:r>
        <w:rPr>
          <w:b/>
        </w:rPr>
        <w:t>Week Ten:</w:t>
      </w:r>
      <w:r>
        <w:t xml:space="preserve"> Theory for </w:t>
      </w:r>
      <w:r>
        <w:t>Kureishi</w:t>
      </w:r>
      <w:r>
        <w:t xml:space="preserve">: </w:t>
      </w:r>
      <w:r>
        <w:t>Gayatri Chakravorty Spivak (Lodge 37).</w:t>
      </w:r>
    </w:p>
    <w:p w:rsidR="0075434A" w:rsidRDefault="0075434A">
      <w:pPr>
        <w:spacing w:line="240" w:lineRule="auto"/>
        <w:ind w:firstLine="0"/>
      </w:pPr>
    </w:p>
    <w:p w:rsidR="00F33725" w:rsidRDefault="00122F97">
      <w:pPr>
        <w:spacing w:line="240" w:lineRule="auto"/>
        <w:ind w:firstLine="0"/>
      </w:pPr>
      <w:r>
        <w:t>Term Two:</w:t>
      </w:r>
    </w:p>
    <w:p w:rsidR="00F33725" w:rsidRDefault="00122F97">
      <w:pPr>
        <w:numPr>
          <w:ilvl w:val="0"/>
          <w:numId w:val="3"/>
        </w:numPr>
        <w:spacing w:after="0" w:line="240" w:lineRule="auto"/>
        <w:ind w:left="426" w:hanging="359"/>
        <w:contextualSpacing/>
      </w:pPr>
      <w:r>
        <w:rPr>
          <w:b/>
        </w:rPr>
        <w:t xml:space="preserve">Week One: </w:t>
      </w:r>
      <w:r>
        <w:t xml:space="preserve">Angela Carter’s </w:t>
      </w:r>
      <w:r>
        <w:rPr>
          <w:i/>
        </w:rPr>
        <w:t xml:space="preserve">The Magic Toyshop </w:t>
      </w:r>
      <w:r>
        <w:t>(1967</w:t>
      </w:r>
      <w:r>
        <w:t>).</w:t>
      </w:r>
    </w:p>
    <w:p w:rsidR="00F33725" w:rsidRDefault="00122F97">
      <w:pPr>
        <w:numPr>
          <w:ilvl w:val="0"/>
          <w:numId w:val="3"/>
        </w:numPr>
        <w:spacing w:after="0" w:line="240" w:lineRule="auto"/>
        <w:ind w:left="426" w:hanging="359"/>
        <w:contextualSpacing/>
      </w:pPr>
      <w:r>
        <w:rPr>
          <w:b/>
        </w:rPr>
        <w:t>Week Two:</w:t>
      </w:r>
      <w:r>
        <w:t xml:space="preserve"> Theory for </w:t>
      </w:r>
      <w:r>
        <w:t>Carter: Virginia Woolf (Lodge 5) and Simone de Beauvoir (Lodge 6).</w:t>
      </w:r>
    </w:p>
    <w:p w:rsidR="00F33725" w:rsidRDefault="00122F97" w:rsidP="0075434A">
      <w:pPr>
        <w:numPr>
          <w:ilvl w:val="0"/>
          <w:numId w:val="3"/>
        </w:numPr>
        <w:spacing w:after="0" w:line="240" w:lineRule="auto"/>
        <w:ind w:left="426" w:hanging="359"/>
        <w:contextualSpacing/>
      </w:pPr>
      <w:r>
        <w:rPr>
          <w:b/>
        </w:rPr>
        <w:t>Week Three:</w:t>
      </w:r>
      <w:r>
        <w:t xml:space="preserve"> Theory for </w:t>
      </w:r>
      <w:r>
        <w:t>Carter</w:t>
      </w:r>
      <w:r>
        <w:t xml:space="preserve">: </w:t>
      </w:r>
      <w:r w:rsidR="0075434A">
        <w:t>H</w:t>
      </w:r>
      <w:r w:rsidR="0075434A">
        <w:rPr>
          <w:rFonts w:ascii="Times New Roman" w:hAnsi="Times New Roman" w:cs="Times New Roman"/>
        </w:rPr>
        <w:t>élène</w:t>
      </w:r>
      <w:bookmarkStart w:id="0" w:name="_GoBack"/>
      <w:bookmarkEnd w:id="0"/>
      <w:r>
        <w:t xml:space="preserve"> Cixous (Lodge 20) and Luce Irigaray (Lodge 32).</w:t>
      </w:r>
    </w:p>
    <w:p w:rsidR="00F33725" w:rsidRDefault="00122F97">
      <w:pPr>
        <w:numPr>
          <w:ilvl w:val="0"/>
          <w:numId w:val="3"/>
        </w:numPr>
        <w:spacing w:after="0" w:line="240" w:lineRule="auto"/>
        <w:ind w:left="426" w:hanging="359"/>
        <w:contextualSpacing/>
      </w:pPr>
      <w:r>
        <w:rPr>
          <w:b/>
        </w:rPr>
        <w:t>Week Four:</w:t>
      </w:r>
      <w:r>
        <w:t xml:space="preserve"> Theory for </w:t>
      </w:r>
      <w:r>
        <w:t>Carter: Eve Sedgwick (Lodge 31) and Judith Butler (L</w:t>
      </w:r>
      <w:r>
        <w:t>odge 38).</w:t>
      </w:r>
    </w:p>
    <w:p w:rsidR="00F33725" w:rsidRDefault="00122F97">
      <w:pPr>
        <w:numPr>
          <w:ilvl w:val="0"/>
          <w:numId w:val="3"/>
        </w:numPr>
        <w:spacing w:after="0" w:line="240" w:lineRule="auto"/>
        <w:ind w:left="426" w:hanging="359"/>
        <w:contextualSpacing/>
      </w:pPr>
      <w:r>
        <w:rPr>
          <w:b/>
        </w:rPr>
        <w:lastRenderedPageBreak/>
        <w:t xml:space="preserve">Week Five: </w:t>
      </w:r>
      <w:r>
        <w:t>Background theory: Sigmund Freud (Lodge 3) and Jacques Derrida (Lodge 11).</w:t>
      </w:r>
    </w:p>
    <w:p w:rsidR="00F33725" w:rsidRDefault="00122F97">
      <w:pPr>
        <w:numPr>
          <w:ilvl w:val="0"/>
          <w:numId w:val="3"/>
        </w:numPr>
        <w:spacing w:after="0" w:line="240" w:lineRule="auto"/>
        <w:ind w:left="426" w:hanging="359"/>
        <w:contextualSpacing/>
      </w:pPr>
      <w:r>
        <w:rPr>
          <w:b/>
        </w:rPr>
        <w:t>Week Six:</w:t>
      </w:r>
      <w:r>
        <w:t xml:space="preserve"> Reading Week.  No lecture; no seminar.</w:t>
      </w:r>
    </w:p>
    <w:p w:rsidR="00F33725" w:rsidRDefault="00122F97">
      <w:pPr>
        <w:numPr>
          <w:ilvl w:val="0"/>
          <w:numId w:val="3"/>
        </w:numPr>
        <w:spacing w:after="0" w:line="240" w:lineRule="auto"/>
        <w:ind w:left="426" w:hanging="359"/>
        <w:contextualSpacing/>
      </w:pPr>
      <w:bookmarkStart w:id="1" w:name="h.gjdgxs" w:colFirst="0" w:colLast="0"/>
      <w:bookmarkEnd w:id="1"/>
      <w:r>
        <w:rPr>
          <w:b/>
        </w:rPr>
        <w:t>Week Seven:</w:t>
      </w:r>
      <w:r>
        <w:t xml:space="preserve"> </w:t>
      </w:r>
      <w:r>
        <w:t>Allen Ginsberg’s ‘Howl’ (1956).</w:t>
      </w:r>
    </w:p>
    <w:p w:rsidR="00F33725" w:rsidRDefault="00122F97">
      <w:pPr>
        <w:numPr>
          <w:ilvl w:val="0"/>
          <w:numId w:val="3"/>
        </w:numPr>
        <w:spacing w:after="0" w:line="240" w:lineRule="auto"/>
        <w:ind w:left="426" w:hanging="359"/>
        <w:contextualSpacing/>
      </w:pPr>
      <w:r>
        <w:rPr>
          <w:b/>
        </w:rPr>
        <w:t>Week Eight:</w:t>
      </w:r>
      <w:r>
        <w:t xml:space="preserve"> Theory for </w:t>
      </w:r>
      <w:r>
        <w:t>Ginsberg: Karl Marx and Friedrich Engels (Lo</w:t>
      </w:r>
      <w:r>
        <w:t>dge 1).</w:t>
      </w:r>
    </w:p>
    <w:p w:rsidR="00F33725" w:rsidRDefault="00122F97">
      <w:pPr>
        <w:numPr>
          <w:ilvl w:val="0"/>
          <w:numId w:val="3"/>
        </w:numPr>
        <w:spacing w:after="0" w:line="240" w:lineRule="auto"/>
        <w:ind w:left="426" w:hanging="359"/>
        <w:contextualSpacing/>
      </w:pPr>
      <w:r>
        <w:rPr>
          <w:b/>
        </w:rPr>
        <w:t>Week Nine:</w:t>
      </w:r>
      <w:r>
        <w:t xml:space="preserve"> Theory for </w:t>
      </w:r>
      <w:r>
        <w:t>Ginsberg: Viktor Shklovsky’s ‘Art as Technique’ (download from module website).</w:t>
      </w:r>
    </w:p>
    <w:p w:rsidR="00F33725" w:rsidRDefault="00122F97">
      <w:pPr>
        <w:numPr>
          <w:ilvl w:val="0"/>
          <w:numId w:val="3"/>
        </w:numPr>
        <w:spacing w:line="240" w:lineRule="auto"/>
        <w:ind w:left="426" w:hanging="359"/>
        <w:contextualSpacing/>
      </w:pPr>
      <w:r>
        <w:rPr>
          <w:b/>
        </w:rPr>
        <w:t>Week Ten:</w:t>
      </w:r>
      <w:r>
        <w:t xml:space="preserve"> </w:t>
      </w:r>
      <w:r>
        <w:t>Theory for Ginsberg: Roland Barthes (Lodge 17) and Michel Foucault (Lodge 15).</w:t>
      </w:r>
    </w:p>
    <w:p w:rsidR="0075434A" w:rsidRDefault="0075434A">
      <w:pPr>
        <w:spacing w:line="240" w:lineRule="auto"/>
        <w:ind w:firstLine="0"/>
        <w:rPr>
          <w:b/>
        </w:rPr>
      </w:pPr>
    </w:p>
    <w:p w:rsidR="00F33725" w:rsidRDefault="00122F97">
      <w:pPr>
        <w:spacing w:line="240" w:lineRule="auto"/>
        <w:ind w:firstLine="0"/>
      </w:pPr>
      <w:r>
        <w:rPr>
          <w:b/>
        </w:rPr>
        <w:t>Syllabus</w:t>
      </w:r>
    </w:p>
    <w:p w:rsidR="00F33725" w:rsidRDefault="00122F97">
      <w:pPr>
        <w:spacing w:after="80" w:line="240" w:lineRule="auto"/>
        <w:ind w:left="720" w:hanging="719"/>
      </w:pPr>
      <w:r>
        <w:t xml:space="preserve">Carter, Angela. 1967.  </w:t>
      </w:r>
      <w:r>
        <w:rPr>
          <w:i/>
        </w:rPr>
        <w:t>The Magic Toyshop</w:t>
      </w:r>
    </w:p>
    <w:p w:rsidR="00F33725" w:rsidRDefault="00122F97">
      <w:pPr>
        <w:spacing w:after="80" w:line="240" w:lineRule="auto"/>
        <w:ind w:left="720" w:hanging="719"/>
      </w:pPr>
      <w:r>
        <w:t>Cuddon,</w:t>
      </w:r>
      <w:r>
        <w:t xml:space="preserve"> J. A.  1998.  </w:t>
      </w:r>
      <w:r>
        <w:rPr>
          <w:i/>
        </w:rPr>
        <w:t>The Penguin Dictionary of Literary Terms and Literary Theory</w:t>
      </w:r>
      <w:r>
        <w:t>, revd by C. E. Preston, 4th edn (London: Blackwell)</w:t>
      </w:r>
    </w:p>
    <w:p w:rsidR="00F33725" w:rsidRDefault="00122F97">
      <w:pPr>
        <w:spacing w:after="80" w:line="240" w:lineRule="auto"/>
        <w:ind w:left="720" w:hanging="719"/>
      </w:pPr>
      <w:r>
        <w:t xml:space="preserve">Ginsberg, Allen. 1956.  </w:t>
      </w:r>
      <w:r>
        <w:rPr>
          <w:i/>
        </w:rPr>
        <w:t>Howl</w:t>
      </w:r>
    </w:p>
    <w:p w:rsidR="00F33725" w:rsidRDefault="00122F97">
      <w:pPr>
        <w:spacing w:after="80" w:line="240" w:lineRule="auto"/>
        <w:ind w:left="720" w:hanging="719"/>
      </w:pPr>
      <w:r>
        <w:t xml:space="preserve">Kureishi, Hanif. 1990.  </w:t>
      </w:r>
      <w:r>
        <w:rPr>
          <w:i/>
        </w:rPr>
        <w:t>The Buddha of Suburb</w:t>
      </w:r>
      <w:r>
        <w:rPr>
          <w:i/>
        </w:rPr>
        <w:t>ia</w:t>
      </w:r>
    </w:p>
    <w:p w:rsidR="00F33725" w:rsidRDefault="00122F97">
      <w:pPr>
        <w:spacing w:after="80" w:line="240" w:lineRule="auto"/>
        <w:ind w:left="720" w:hanging="719"/>
      </w:pPr>
      <w:r>
        <w:t xml:space="preserve">Lodge, David and Nigel Wood (eds).  2008.  </w:t>
      </w:r>
      <w:r>
        <w:rPr>
          <w:i/>
        </w:rPr>
        <w:t>Modern Th</w:t>
      </w:r>
      <w:r>
        <w:rPr>
          <w:i/>
        </w:rPr>
        <w:t>eory and Criticism: A Reader</w:t>
      </w:r>
      <w:r>
        <w:t>, 3rd edn (Harlow: Pearson Education)</w:t>
      </w:r>
    </w:p>
    <w:p w:rsidR="00F33725" w:rsidRDefault="00122F97">
      <w:pPr>
        <w:spacing w:after="80" w:line="240" w:lineRule="auto"/>
        <w:ind w:left="720" w:hanging="719"/>
      </w:pPr>
      <w:r>
        <w:t xml:space="preserve">Selvon, Sam.  1956.  </w:t>
      </w:r>
      <w:r>
        <w:rPr>
          <w:i/>
        </w:rPr>
        <w:t>The Lonely Londoners</w:t>
      </w:r>
    </w:p>
    <w:p w:rsidR="00F33725" w:rsidRDefault="00F33725">
      <w:pPr>
        <w:spacing w:after="80" w:line="240" w:lineRule="auto"/>
        <w:ind w:left="720" w:hanging="719"/>
      </w:pPr>
    </w:p>
    <w:p w:rsidR="00F33725" w:rsidRDefault="00122F97">
      <w:pPr>
        <w:ind w:firstLine="0"/>
      </w:pPr>
      <w:r>
        <w:rPr>
          <w:b/>
        </w:rPr>
        <w:t>Essays</w:t>
      </w:r>
    </w:p>
    <w:p w:rsidR="00F33725" w:rsidRDefault="00122F97">
      <w:pPr>
        <w:numPr>
          <w:ilvl w:val="0"/>
          <w:numId w:val="2"/>
        </w:numPr>
        <w:spacing w:after="0" w:line="240" w:lineRule="auto"/>
        <w:ind w:left="426" w:hanging="359"/>
        <w:contextualSpacing/>
      </w:pPr>
      <w:r>
        <w:t xml:space="preserve">Unassessed essays are 2,000 words (+/- 10%) and are due in T1, Ws 5 and 8.  </w:t>
      </w:r>
      <w:r>
        <w:rPr>
          <w:i/>
        </w:rPr>
        <w:t>To be handed in during the weekly seminar.</w:t>
      </w:r>
    </w:p>
    <w:p w:rsidR="00F33725" w:rsidRDefault="00122F97">
      <w:pPr>
        <w:numPr>
          <w:ilvl w:val="0"/>
          <w:numId w:val="2"/>
        </w:numPr>
        <w:ind w:left="426" w:hanging="359"/>
        <w:contextualSpacing/>
      </w:pPr>
      <w:r>
        <w:t>Assessed essays are 3,500 words (+/- 10%).  T</w:t>
      </w:r>
      <w:r>
        <w:rPr>
          <w:i/>
        </w:rPr>
        <w:t>o be handed into office.</w:t>
      </w:r>
    </w:p>
    <w:p w:rsidR="00F33725" w:rsidRDefault="00122F97">
      <w:pPr>
        <w:ind w:firstLine="0"/>
      </w:pPr>
      <w:r>
        <w:rPr>
          <w:b/>
        </w:rPr>
        <w:t>Presentations</w:t>
      </w:r>
    </w:p>
    <w:p w:rsidR="00F33725" w:rsidRDefault="00122F97">
      <w:pPr>
        <w:spacing w:line="240" w:lineRule="auto"/>
        <w:ind w:firstLine="0"/>
      </w:pPr>
      <w:r>
        <w:t>Each student to undertake two presentations over the course of the module: one per term.  Presentations will be on the theoretical material.  They should be three-five minu</w:t>
      </w:r>
      <w:r>
        <w:t>tes in length, and should end by posing two questions on how, (a) the theory helps to explain a difficult aspect of the primary text, and (b) the theory problematises an aspect of the primary text.</w:t>
      </w:r>
    </w:p>
    <w:p w:rsidR="00F33725" w:rsidRDefault="00122F97">
      <w:pPr>
        <w:spacing w:line="240" w:lineRule="auto"/>
        <w:ind w:firstLine="0"/>
      </w:pPr>
      <w:r>
        <w:t>The presentation may include a handout.  If it does, plea</w:t>
      </w:r>
      <w:r>
        <w:t>se make sure to include your name, module number and which term and week number.  If in doubt, just look up at the top of this handout.</w:t>
      </w:r>
    </w:p>
    <w:p w:rsidR="00F33725" w:rsidRDefault="00122F97">
      <w:pPr>
        <w:spacing w:line="240" w:lineRule="auto"/>
        <w:ind w:firstLine="0"/>
      </w:pPr>
      <w:r>
        <w:t>If you print quotations on the handout, make sure to reference from which page of the text you’ve cited.  This should b</w:t>
      </w:r>
      <w:r>
        <w:t>e clear and consistent.  If in doubt, check out the department’s style-guide advice in the UG Handbook and on the department website.</w:t>
      </w:r>
    </w:p>
    <w:p w:rsidR="00F33725" w:rsidRDefault="00122F97">
      <w:pPr>
        <w:spacing w:line="240" w:lineRule="auto"/>
        <w:ind w:firstLine="0"/>
      </w:pPr>
      <w:r>
        <w:t>At the bottom of the handout, make sure to list all texts from which you’ve quoted during the presentation (even if it’s only one text).  This is especially important if we’re using different editions, as page numbers will differ.  If unsure, either use th</w:t>
      </w:r>
      <w:r>
        <w:t>e system I’ve used above (look at, in particular, the Lodge and Wood and the Cuddon examples), or check out the UG Handbook style-guide.</w:t>
      </w:r>
    </w:p>
    <w:p w:rsidR="00F33725" w:rsidRDefault="00F33725">
      <w:pPr>
        <w:spacing w:line="240" w:lineRule="auto"/>
        <w:ind w:firstLine="0"/>
      </w:pPr>
    </w:p>
    <w:p w:rsidR="00F33725" w:rsidRDefault="00122F97">
      <w:pPr>
        <w:spacing w:line="240" w:lineRule="auto"/>
        <w:ind w:firstLine="0"/>
      </w:pPr>
      <w:r>
        <w:rPr>
          <w:i/>
        </w:rPr>
        <w:t>All presentations -- whether with handout or not -- must be sent to me by 6pm on Wednesday night.</w:t>
      </w:r>
    </w:p>
    <w:p w:rsidR="00F33725" w:rsidRDefault="00122F97">
      <w:pPr>
        <w:spacing w:line="240" w:lineRule="auto"/>
        <w:ind w:firstLine="0"/>
      </w:pPr>
      <w:r>
        <w:rPr>
          <w:b/>
        </w:rPr>
        <w:t>Seminars</w:t>
      </w:r>
    </w:p>
    <w:p w:rsidR="00F33725" w:rsidRDefault="00122F97">
      <w:pPr>
        <w:spacing w:line="240" w:lineRule="auto"/>
        <w:ind w:firstLine="0"/>
      </w:pPr>
      <w:r>
        <w:t>Each stude</w:t>
      </w:r>
      <w:r>
        <w:t xml:space="preserve">nt must read the set texts each week.  Attendance at seminars is mandatory and if you know you’re going to be absent, please email me as soon as you know.  Absence doesn’t forgo your completing any essay.  </w:t>
      </w:r>
    </w:p>
    <w:p w:rsidR="00F33725" w:rsidRDefault="00122F97">
      <w:pPr>
        <w:spacing w:line="240" w:lineRule="auto"/>
        <w:ind w:firstLine="0"/>
      </w:pPr>
      <w:r>
        <w:rPr>
          <w:b/>
        </w:rPr>
        <w:t>Other stuff</w:t>
      </w:r>
    </w:p>
    <w:p w:rsidR="00F33725" w:rsidRDefault="00122F97">
      <w:pPr>
        <w:numPr>
          <w:ilvl w:val="0"/>
          <w:numId w:val="1"/>
        </w:numPr>
        <w:spacing w:after="0" w:line="240" w:lineRule="auto"/>
        <w:ind w:left="426" w:hanging="359"/>
        <w:contextualSpacing/>
      </w:pPr>
      <w:r>
        <w:t xml:space="preserve">Please make sure mobile phones are </w:t>
      </w:r>
      <w:r>
        <w:t>off or on silent (vibrate doesn’t count) during seminars.</w:t>
      </w:r>
    </w:p>
    <w:p w:rsidR="00F33725" w:rsidRDefault="00122F97">
      <w:pPr>
        <w:numPr>
          <w:ilvl w:val="0"/>
          <w:numId w:val="1"/>
        </w:numPr>
        <w:spacing w:after="0" w:line="240" w:lineRule="auto"/>
        <w:ind w:left="426" w:hanging="359"/>
        <w:contextualSpacing/>
      </w:pPr>
      <w:r>
        <w:t>I will, from time-to-time, upload extra information, or further reading lists on to my ePortfolio (address under contact details, above).  I’ll alert you by email if I add anything that you ought to</w:t>
      </w:r>
      <w:r>
        <w:t xml:space="preserve"> see, but please get into a habit of checking it regularly.  Just as you should …</w:t>
      </w:r>
    </w:p>
    <w:p w:rsidR="00F33725" w:rsidRDefault="00122F97">
      <w:pPr>
        <w:numPr>
          <w:ilvl w:val="0"/>
          <w:numId w:val="1"/>
        </w:numPr>
        <w:spacing w:line="240" w:lineRule="auto"/>
        <w:ind w:left="426" w:hanging="359"/>
        <w:contextualSpacing/>
      </w:pPr>
      <w:r>
        <w:t>… check your email regularly.  That means daily.</w:t>
      </w:r>
    </w:p>
    <w:sectPr w:rsidR="00F33725">
      <w:headerReference w:type="default" r:id="rId8"/>
      <w:footerReference w:type="default" r:id="rId9"/>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2F97">
      <w:pPr>
        <w:spacing w:after="0" w:line="240" w:lineRule="auto"/>
      </w:pPr>
      <w:r>
        <w:separator/>
      </w:r>
    </w:p>
  </w:endnote>
  <w:endnote w:type="continuationSeparator" w:id="0">
    <w:p w:rsidR="00000000" w:rsidRDefault="0012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25" w:rsidRDefault="00122F97">
    <w:pPr>
      <w:tabs>
        <w:tab w:val="center" w:pos="4320"/>
        <w:tab w:val="right" w:pos="8640"/>
      </w:tabs>
      <w:spacing w:after="0" w:line="240" w:lineRule="auto"/>
      <w:ind w:firstLine="0"/>
    </w:pPr>
    <w:r>
      <w:fldChar w:fldCharType="begin"/>
    </w:r>
    <w:r>
      <w:instrText>PAGE</w:instrText>
    </w:r>
    <w:r>
      <w:fldChar w:fldCharType="separate"/>
    </w:r>
    <w:r>
      <w:rPr>
        <w:noProof/>
      </w:rPr>
      <w:t>3</w:t>
    </w:r>
    <w:r>
      <w:fldChar w:fldCharType="end"/>
    </w:r>
  </w:p>
  <w:p w:rsidR="00F33725" w:rsidRDefault="00F33725">
    <w:pPr>
      <w:tabs>
        <w:tab w:val="center" w:pos="4320"/>
        <w:tab w:val="right" w:pos="8640"/>
      </w:tabs>
      <w:spacing w:after="0"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2F97">
      <w:pPr>
        <w:spacing w:after="0" w:line="240" w:lineRule="auto"/>
      </w:pPr>
      <w:r>
        <w:separator/>
      </w:r>
    </w:p>
  </w:footnote>
  <w:footnote w:type="continuationSeparator" w:id="0">
    <w:p w:rsidR="00000000" w:rsidRDefault="00122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25" w:rsidRDefault="00122F97">
    <w:pPr>
      <w:tabs>
        <w:tab w:val="center" w:pos="4320"/>
        <w:tab w:val="right" w:pos="8640"/>
      </w:tabs>
      <w:spacing w:after="0" w:line="240" w:lineRule="auto"/>
      <w:ind w:firstLine="0"/>
    </w:pPr>
    <w:r>
      <w:t>EN122 Modes of Reading</w:t>
    </w:r>
    <w:r>
      <w:tab/>
    </w:r>
    <w:r>
      <w:tab/>
      <w:t>1.2 Seminar</w:t>
    </w:r>
  </w:p>
  <w:p w:rsidR="00F33725" w:rsidRDefault="00122F97">
    <w:pPr>
      <w:tabs>
        <w:tab w:val="center" w:pos="4320"/>
        <w:tab w:val="right" w:pos="8640"/>
      </w:tabs>
      <w:spacing w:after="0" w:line="240" w:lineRule="auto"/>
      <w:ind w:firstLine="0"/>
    </w:pPr>
    <w:r>
      <w:t>Nick Collins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4BB"/>
    <w:multiLevelType w:val="multilevel"/>
    <w:tmpl w:val="58F056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A33B5D"/>
    <w:multiLevelType w:val="multilevel"/>
    <w:tmpl w:val="59C41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5F1004B"/>
    <w:multiLevelType w:val="multilevel"/>
    <w:tmpl w:val="DB8659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8B6033E"/>
    <w:multiLevelType w:val="multilevel"/>
    <w:tmpl w:val="35C4E7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3725"/>
    <w:rsid w:val="00122F97"/>
    <w:rsid w:val="0075434A"/>
    <w:rsid w:val="00F33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60" w:lineRule="auto"/>
      <w:ind w:firstLine="720"/>
    </w:pPr>
    <w:rPr>
      <w:rFonts w:ascii="Helvetica Neue" w:eastAsia="Helvetica Neue" w:hAnsi="Helvetica Neue" w:cs="Helvetica Neue"/>
      <w:color w:val="000000"/>
      <w:sz w:val="24"/>
    </w:rPr>
  </w:style>
  <w:style w:type="paragraph" w:styleId="Heading1">
    <w:name w:val="heading 1"/>
    <w:basedOn w:val="Normal"/>
    <w:next w:val="Normal"/>
    <w:pPr>
      <w:spacing w:before="480" w:after="0"/>
      <w:outlineLvl w:val="0"/>
    </w:pPr>
    <w:rPr>
      <w:rFonts w:ascii="Calibri" w:eastAsia="Calibri" w:hAnsi="Calibri" w:cs="Calibri"/>
      <w:b/>
      <w:color w:val="345A8A"/>
      <w:sz w:val="32"/>
    </w:rPr>
  </w:style>
  <w:style w:type="paragraph" w:styleId="Heading2">
    <w:name w:val="heading 2"/>
    <w:basedOn w:val="Normal"/>
    <w:next w:val="Normal"/>
    <w:pPr>
      <w:outlineLvl w:val="1"/>
    </w:pPr>
    <w:rPr>
      <w:rFonts w:ascii="Calibri" w:eastAsia="Calibri" w:hAnsi="Calibri" w:cs="Calibri"/>
      <w:b/>
    </w:rPr>
  </w:style>
  <w:style w:type="paragraph" w:styleId="Heading3">
    <w:name w:val="heading 3"/>
    <w:basedOn w:val="Normal"/>
    <w:next w:val="Normal"/>
    <w:pPr>
      <w:spacing w:before="200" w:after="0"/>
      <w:outlineLvl w:val="2"/>
    </w:pPr>
    <w:rPr>
      <w:rFonts w:ascii="Calibri" w:eastAsia="Calibri" w:hAnsi="Calibri" w:cs="Calibri"/>
      <w:b/>
      <w:i/>
    </w:rPr>
  </w:style>
  <w:style w:type="paragraph" w:styleId="Heading4">
    <w:name w:val="heading 4"/>
    <w:basedOn w:val="Normal"/>
    <w:next w:val="Normal"/>
    <w:pPr>
      <w:spacing w:before="200" w:after="0"/>
      <w:outlineLvl w:val="3"/>
    </w:pPr>
    <w:rPr>
      <w:rFonts w:ascii="Calibri" w:eastAsia="Calibri" w:hAnsi="Calibri" w:cs="Calibri"/>
      <w:b/>
      <w:i/>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60" w:lineRule="auto"/>
      <w:ind w:firstLine="720"/>
    </w:pPr>
    <w:rPr>
      <w:rFonts w:ascii="Helvetica Neue" w:eastAsia="Helvetica Neue" w:hAnsi="Helvetica Neue" w:cs="Helvetica Neue"/>
      <w:color w:val="000000"/>
      <w:sz w:val="24"/>
    </w:rPr>
  </w:style>
  <w:style w:type="paragraph" w:styleId="Heading1">
    <w:name w:val="heading 1"/>
    <w:basedOn w:val="Normal"/>
    <w:next w:val="Normal"/>
    <w:pPr>
      <w:spacing w:before="480" w:after="0"/>
      <w:outlineLvl w:val="0"/>
    </w:pPr>
    <w:rPr>
      <w:rFonts w:ascii="Calibri" w:eastAsia="Calibri" w:hAnsi="Calibri" w:cs="Calibri"/>
      <w:b/>
      <w:color w:val="345A8A"/>
      <w:sz w:val="32"/>
    </w:rPr>
  </w:style>
  <w:style w:type="paragraph" w:styleId="Heading2">
    <w:name w:val="heading 2"/>
    <w:basedOn w:val="Normal"/>
    <w:next w:val="Normal"/>
    <w:pPr>
      <w:outlineLvl w:val="1"/>
    </w:pPr>
    <w:rPr>
      <w:rFonts w:ascii="Calibri" w:eastAsia="Calibri" w:hAnsi="Calibri" w:cs="Calibri"/>
      <w:b/>
    </w:rPr>
  </w:style>
  <w:style w:type="paragraph" w:styleId="Heading3">
    <w:name w:val="heading 3"/>
    <w:basedOn w:val="Normal"/>
    <w:next w:val="Normal"/>
    <w:pPr>
      <w:spacing w:before="200" w:after="0"/>
      <w:outlineLvl w:val="2"/>
    </w:pPr>
    <w:rPr>
      <w:rFonts w:ascii="Calibri" w:eastAsia="Calibri" w:hAnsi="Calibri" w:cs="Calibri"/>
      <w:b/>
      <w:i/>
    </w:rPr>
  </w:style>
  <w:style w:type="paragraph" w:styleId="Heading4">
    <w:name w:val="heading 4"/>
    <w:basedOn w:val="Normal"/>
    <w:next w:val="Normal"/>
    <w:pPr>
      <w:spacing w:before="200" w:after="0"/>
      <w:outlineLvl w:val="3"/>
    </w:pPr>
    <w:rPr>
      <w:rFonts w:ascii="Calibri" w:eastAsia="Calibri" w:hAnsi="Calibri" w:cs="Calibri"/>
      <w:b/>
      <w:i/>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6677F652</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EN122 Modes Intro Handout 2013-14.docx</vt:lpstr>
    </vt:vector>
  </TitlesOfParts>
  <Company>University of Warwick</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EN122 Modes Intro Handout 2013-14.docx</dc:title>
  <dc:creator>Collins, Nicholas</dc:creator>
  <cp:lastModifiedBy>Administrator</cp:lastModifiedBy>
  <cp:revision>2</cp:revision>
  <dcterms:created xsi:type="dcterms:W3CDTF">2013-10-03T14:08:00Z</dcterms:created>
  <dcterms:modified xsi:type="dcterms:W3CDTF">2013-10-03T14:08:00Z</dcterms:modified>
</cp:coreProperties>
</file>