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7326" w:rsidRPr="00F42E10" w:rsidRDefault="00277326" w:rsidP="00C7239C">
      <w:pPr>
        <w:autoSpaceDE w:val="0"/>
        <w:autoSpaceDN w:val="0"/>
        <w:adjustRightInd w:val="0"/>
        <w:spacing w:after="0" w:line="240" w:lineRule="auto"/>
        <w:rPr>
          <w:b/>
        </w:rPr>
      </w:pPr>
    </w:p>
    <w:p w:rsidR="00277326" w:rsidRPr="00F42E10" w:rsidRDefault="00277326" w:rsidP="00277326">
      <w:pPr>
        <w:autoSpaceDE w:val="0"/>
        <w:autoSpaceDN w:val="0"/>
        <w:adjustRightInd w:val="0"/>
        <w:spacing w:after="0" w:line="240" w:lineRule="auto"/>
        <w:jc w:val="center"/>
        <w:rPr>
          <w:b/>
        </w:rPr>
      </w:pPr>
      <w:r w:rsidRPr="00F42E10">
        <w:rPr>
          <w:b/>
        </w:rPr>
        <w:t>Ethnicity, Health and Clinical T</w:t>
      </w:r>
      <w:r w:rsidR="00E74B3F" w:rsidRPr="00F42E10">
        <w:rPr>
          <w:b/>
        </w:rPr>
        <w:t xml:space="preserve">rials: </w:t>
      </w:r>
    </w:p>
    <w:p w:rsidR="00E74B3F" w:rsidRPr="00F42E10" w:rsidRDefault="00E74B3F" w:rsidP="00277326">
      <w:pPr>
        <w:autoSpaceDE w:val="0"/>
        <w:autoSpaceDN w:val="0"/>
        <w:adjustRightInd w:val="0"/>
        <w:spacing w:after="0" w:line="240" w:lineRule="auto"/>
        <w:jc w:val="center"/>
        <w:rPr>
          <w:b/>
        </w:rPr>
      </w:pPr>
      <w:r w:rsidRPr="00F42E10">
        <w:rPr>
          <w:b/>
        </w:rPr>
        <w:t>Problems of Rationale, Recruitment, Participation and Reporting</w:t>
      </w:r>
    </w:p>
    <w:p w:rsidR="00E74B3F" w:rsidRPr="00F42E10" w:rsidRDefault="00E74B3F" w:rsidP="00C7239C">
      <w:pPr>
        <w:autoSpaceDE w:val="0"/>
        <w:autoSpaceDN w:val="0"/>
        <w:adjustRightInd w:val="0"/>
        <w:spacing w:after="0" w:line="240" w:lineRule="auto"/>
      </w:pPr>
    </w:p>
    <w:p w:rsidR="00277326" w:rsidRPr="00F42E10" w:rsidRDefault="00277326" w:rsidP="00C7239C">
      <w:pPr>
        <w:autoSpaceDE w:val="0"/>
        <w:autoSpaceDN w:val="0"/>
        <w:adjustRightInd w:val="0"/>
        <w:spacing w:after="0" w:line="240" w:lineRule="auto"/>
      </w:pPr>
    </w:p>
    <w:p w:rsidR="00960667" w:rsidRPr="00F42E10" w:rsidRDefault="00277326" w:rsidP="00C7239C">
      <w:pPr>
        <w:autoSpaceDE w:val="0"/>
        <w:autoSpaceDN w:val="0"/>
        <w:adjustRightInd w:val="0"/>
        <w:spacing w:after="0" w:line="240" w:lineRule="auto"/>
      </w:pPr>
      <w:r w:rsidRPr="00F42E10">
        <w:rPr>
          <w:u w:val="single"/>
        </w:rPr>
        <w:t>Summary of an idiosyncratic cross-disciplinary survey of the periodical literature</w:t>
      </w:r>
      <w:r w:rsidRPr="00F42E10">
        <w:t xml:space="preserve"> </w:t>
      </w:r>
      <w:r w:rsidR="00960667" w:rsidRPr="00F42E10">
        <w:rPr>
          <w:rStyle w:val="FootnoteReference"/>
        </w:rPr>
        <w:footnoteReference w:id="1"/>
      </w:r>
    </w:p>
    <w:p w:rsidR="00960667" w:rsidRPr="00F42E10" w:rsidRDefault="00960667" w:rsidP="00C7239C">
      <w:pPr>
        <w:autoSpaceDE w:val="0"/>
        <w:autoSpaceDN w:val="0"/>
        <w:adjustRightInd w:val="0"/>
        <w:spacing w:after="0" w:line="240" w:lineRule="auto"/>
      </w:pPr>
    </w:p>
    <w:p w:rsidR="00960667" w:rsidRPr="00F42E10" w:rsidRDefault="00960667" w:rsidP="00E74B3F">
      <w:pPr>
        <w:autoSpaceDE w:val="0"/>
        <w:autoSpaceDN w:val="0"/>
        <w:adjustRightInd w:val="0"/>
        <w:spacing w:after="0" w:line="240" w:lineRule="auto"/>
        <w:ind w:firstLine="720"/>
      </w:pPr>
      <w:r w:rsidRPr="00F42E10">
        <w:t xml:space="preserve">In 1993, the US passed a law requiring that all clinical trials funded by the NIH were required to include representative samples of the entire US population; other federal funding bodies (and many private/charitable ones) rapidly followed suit. Gender, ethnicity and race were explicitly designated as the key areas of representation to be assessed (notably, class/socioeconomic status seems not to have been considered, for reasons more closely associated with US history than to any clinical indicators). </w:t>
      </w:r>
    </w:p>
    <w:p w:rsidR="00960667" w:rsidRPr="00F42E10" w:rsidRDefault="00960667" w:rsidP="00C7239C">
      <w:pPr>
        <w:autoSpaceDE w:val="0"/>
        <w:autoSpaceDN w:val="0"/>
        <w:adjustRightInd w:val="0"/>
        <w:spacing w:after="0" w:line="240" w:lineRule="auto"/>
      </w:pPr>
    </w:p>
    <w:p w:rsidR="00960667" w:rsidRPr="00F42E10" w:rsidRDefault="00960667" w:rsidP="00E74B3F">
      <w:pPr>
        <w:autoSpaceDE w:val="0"/>
        <w:autoSpaceDN w:val="0"/>
        <w:adjustRightInd w:val="0"/>
        <w:spacing w:after="0" w:line="240" w:lineRule="auto"/>
        <w:ind w:firstLine="720"/>
      </w:pPr>
      <w:r w:rsidRPr="00F42E10">
        <w:t>In the UK, by contrast, while the Department of Health issued a 2001 Research Governance Framework establishing that clinical researchers had a duty to ensure that minority ethnic groups were suitably represented in clinical trials, no legislation supported the Framework’s call. By 2003, less than 1% of RCTs on the NHS National Research register referred to minority ethnic or non-English language speaking group.</w:t>
      </w:r>
      <w:r w:rsidRPr="00F42E10">
        <w:rPr>
          <w:rStyle w:val="FootnoteReference"/>
        </w:rPr>
        <w:footnoteReference w:id="2"/>
      </w:r>
      <w:r w:rsidRPr="00F42E10">
        <w:t xml:space="preserve">  A 2005 revision of this Framework diluted its call for full representation of all population groups in clinical trials, by modifying it with ‘when relevant’. It also exchanged the 2001 language of  ‘ethnicity, gender, disability, age and sexual orientation’ for ‘age, disability, gender, sexual orientation, race, culture and religion’, thus apparently redefining ‘ethnicity’ as  ‘race, culture and religion’.</w:t>
      </w:r>
    </w:p>
    <w:p w:rsidR="00960667" w:rsidRPr="00F42E10" w:rsidRDefault="00960667" w:rsidP="00C7239C">
      <w:pPr>
        <w:autoSpaceDE w:val="0"/>
        <w:autoSpaceDN w:val="0"/>
        <w:adjustRightInd w:val="0"/>
        <w:spacing w:after="0" w:line="240" w:lineRule="auto"/>
      </w:pPr>
    </w:p>
    <w:p w:rsidR="00960667" w:rsidRPr="00F42E10" w:rsidRDefault="00960667" w:rsidP="009C5EE0">
      <w:pPr>
        <w:ind w:firstLine="720"/>
      </w:pPr>
      <w:r w:rsidRPr="00F42E10">
        <w:t>In 2004 and 2011, researchers from two centres interested in gender assessed the impact of the 1993 regulation on representation in clinical trials in the USA. Their results showed the intransigence of the problem even to a legislative approach. By 2011, they wrote of their sample of 86 suitable clinical trials:</w:t>
      </w:r>
    </w:p>
    <w:p w:rsidR="00960667" w:rsidRPr="00F42E10" w:rsidRDefault="00960667" w:rsidP="009C5EE0">
      <w:pPr>
        <w:ind w:left="426" w:right="379"/>
      </w:pPr>
      <w:r w:rsidRPr="00F42E10">
        <w:t xml:space="preserve">Thirty studies were sex specific. The median </w:t>
      </w:r>
      <w:proofErr w:type="spellStart"/>
      <w:r w:rsidRPr="00F42E10">
        <w:t>enrollment</w:t>
      </w:r>
      <w:proofErr w:type="spellEnd"/>
      <w:r w:rsidRPr="00F42E10">
        <w:t xml:space="preserve"> of women in the 56 studies that included both men and women was 37%. Seventy-five percent of the studies did not report any outcomes by sex, including 9 studies reporting &lt;20% women enrolled. Among all 86 studies, 21% did not report sample sizes by racial and ethnic groups, and 64% did not provide any analysis by racial or ethnic groups. Only 3 studies indicated that the </w:t>
      </w:r>
      <w:proofErr w:type="spellStart"/>
      <w:r w:rsidRPr="00F42E10">
        <w:t>generalizability</w:t>
      </w:r>
      <w:proofErr w:type="spellEnd"/>
      <w:r w:rsidRPr="00F42E10">
        <w:t xml:space="preserve"> of their results may be [sic] limited by lack of diversity among those studied. There were no statistically significant changes in inclusion or reporting of sex or race/ethnicity when compared with 2004.’ </w:t>
      </w:r>
    </w:p>
    <w:p w:rsidR="00960667" w:rsidRPr="00F42E10" w:rsidRDefault="00960667" w:rsidP="00441713">
      <w:pPr>
        <w:ind w:right="-46"/>
        <w:rPr>
          <w:b/>
        </w:rPr>
      </w:pPr>
      <w:proofErr w:type="gramStart"/>
      <w:r w:rsidRPr="00F42E10">
        <w:t xml:space="preserve">As the authors noted in their conclusion: </w:t>
      </w:r>
      <w:r w:rsidRPr="00F42E10">
        <w:rPr>
          <w:b/>
        </w:rPr>
        <w:t>‘Ensuring enhanced inclusion, analysis, and reporting of sex and race/ethnicity entails the efforts of NIH, journal editors, and the researchers themselves.’</w:t>
      </w:r>
      <w:proofErr w:type="gramEnd"/>
      <w:r w:rsidRPr="00F42E10">
        <w:rPr>
          <w:vertAlign w:val="superscript"/>
        </w:rPr>
        <w:footnoteReference w:id="3"/>
      </w:r>
      <w:r w:rsidRPr="00F42E10">
        <w:rPr>
          <w:b/>
        </w:rPr>
        <w:t xml:space="preserve"> </w:t>
      </w:r>
    </w:p>
    <w:p w:rsidR="00960667" w:rsidRPr="00F42E10" w:rsidRDefault="00960667" w:rsidP="009C5EE0">
      <w:pPr>
        <w:ind w:firstLine="360"/>
      </w:pPr>
      <w:r w:rsidRPr="00F42E10">
        <w:lastRenderedPageBreak/>
        <w:t>The broadly interdisciplinary literature that I surveyed – anthropological, epidemiological, historical, medical and sociological -- as well as the specific readings proposed by Foundation Members (see annotated bibliography), suggest that two principal rationales underpin efforts to improve the participation of minority ethnic groups in clinical trials. First, there is suggestive (but not conclusive) evidence that participation in clinical trials is associated with better health outcomes, whether because participants received better clinical care, or because the care they receive is more closely tied to a clear protocol, or for other social reasons.</w:t>
      </w:r>
      <w:r w:rsidRPr="00F42E10">
        <w:rPr>
          <w:rStyle w:val="FootnoteReference"/>
        </w:rPr>
        <w:footnoteReference w:id="4"/>
      </w:r>
      <w:r w:rsidRPr="00F42E10">
        <w:t xml:space="preserve"> In this case, </w:t>
      </w:r>
      <w:r w:rsidRPr="00F42E10">
        <w:rPr>
          <w:b/>
        </w:rPr>
        <w:t>if ethnic minority groups have reduced access to and rates of participation in clinical trials, then they are also not sharing equally in the medical benefits such trials produce</w:t>
      </w:r>
      <w:r w:rsidRPr="00F42E10">
        <w:t xml:space="preserve">. This rationale for improving accrual rates of poorly represented populations is relatively uncontroversial , at least by comparison with the second rationale often used to promote the same end: that such </w:t>
      </w:r>
      <w:r w:rsidRPr="00F42E10">
        <w:rPr>
          <w:b/>
        </w:rPr>
        <w:t>representative participation would allow the construction of population subgroups within which to assess ‘racial’ or ‘ethnic’ distinctiveness in responses to therapies and/or interventions</w:t>
      </w:r>
      <w:r w:rsidRPr="00F42E10">
        <w:t>. While this might constitute appropriate and necessary research in relation to e.g. educational interventions or styles of clinical encounter, many researchers from a range of fields have expressed significant concern about the idea of studies ‘prospecting’ for difference in surgical, biochemical, pharmaceutical, and/or nutritional interventions on the grounds that this might reify racial categories, rather than explore the relationships between efficacy and e.g. socioeconomics and environment.</w:t>
      </w:r>
    </w:p>
    <w:p w:rsidR="00960667" w:rsidRPr="00F42E10" w:rsidRDefault="00960667" w:rsidP="009C5EE0">
      <w:pPr>
        <w:ind w:firstLine="360"/>
      </w:pPr>
    </w:p>
    <w:p w:rsidR="00960667" w:rsidRPr="00F42E10" w:rsidRDefault="00960667" w:rsidP="009C5EE0">
      <w:pPr>
        <w:ind w:firstLine="360"/>
      </w:pPr>
      <w:r w:rsidRPr="00F42E10">
        <w:t xml:space="preserve">Thus researchers looking at ethnicity and health from a range of perspectives today face a complex set of shared problems: </w:t>
      </w:r>
    </w:p>
    <w:p w:rsidR="00960667" w:rsidRPr="00F42E10" w:rsidRDefault="00960667" w:rsidP="00A96371">
      <w:pPr>
        <w:pStyle w:val="ListParagraph"/>
        <w:numPr>
          <w:ilvl w:val="0"/>
          <w:numId w:val="3"/>
        </w:numPr>
      </w:pPr>
      <w:r w:rsidRPr="00F42E10">
        <w:rPr>
          <w:b/>
        </w:rPr>
        <w:t>‘Ethnicity’ as a term carries a host of meanings and connotations which differ over time, between disciplines, and by user-groups</w:t>
      </w:r>
      <w:r w:rsidRPr="00F42E10">
        <w:t>; it can refer to specific combinations of physical and cultural traits; to shared cultural/religious practices seen as definitive of distinctive communities; to linguistic and cultural commonalities; to common patterns of nativity, language and culture; and to virtually any combination of the above characteristics. Majority and minority communities can, of course, be defined in terms of ethnicity, but in practice, the latter are normally the objects of ‘ethnicity and health’ research.</w:t>
      </w:r>
    </w:p>
    <w:p w:rsidR="00960667" w:rsidRPr="00F42E10" w:rsidRDefault="00960667" w:rsidP="00A96371">
      <w:pPr>
        <w:pStyle w:val="ListParagraph"/>
        <w:numPr>
          <w:ilvl w:val="0"/>
          <w:numId w:val="3"/>
        </w:numPr>
      </w:pPr>
      <w:r w:rsidRPr="00F42E10">
        <w:rPr>
          <w:b/>
        </w:rPr>
        <w:t>There is little agreement about how to define and identify different ‘ethnic groups’, and how to differentiate between ‘racial’ and ‘ethnic’ categories</w:t>
      </w:r>
      <w:r w:rsidRPr="00F42E10">
        <w:t xml:space="preserve"> in the terminology used in local, regional and national reporting, large-scale clinical trials, and other important public and proprietary sources of routine data. Moreover, like the term ‘ethnicity’ itself, the labels attached to or chosen by particular groups are highly fluid, culturally specific, and subject to sharp changes in connotation and denotation over time and between generations. ‘Black’, for example, denotes different populations in the UK and US, and in the 1970s as opposed to the present.</w:t>
      </w:r>
    </w:p>
    <w:p w:rsidR="00960667" w:rsidRPr="00F42E10" w:rsidRDefault="00960667" w:rsidP="00A96371">
      <w:pPr>
        <w:pStyle w:val="ListParagraph"/>
        <w:numPr>
          <w:ilvl w:val="0"/>
          <w:numId w:val="3"/>
        </w:numPr>
      </w:pPr>
      <w:r w:rsidRPr="00F42E10">
        <w:rPr>
          <w:b/>
        </w:rPr>
        <w:lastRenderedPageBreak/>
        <w:t>Few reliable epidemiological datasets exist either for rates of mortality and morbidity in specific conditions for specific minority ethnic populations; or for specific kinds of medical or educational interventions</w:t>
      </w:r>
      <w:r w:rsidRPr="00F42E10">
        <w:t xml:space="preserve"> (in part for the reasons above).</w:t>
      </w:r>
    </w:p>
    <w:p w:rsidR="00960667" w:rsidRPr="00F42E10" w:rsidRDefault="00960667" w:rsidP="00A96371">
      <w:pPr>
        <w:pStyle w:val="ListParagraph"/>
        <w:numPr>
          <w:ilvl w:val="0"/>
          <w:numId w:val="3"/>
        </w:numPr>
      </w:pPr>
      <w:r w:rsidRPr="00F42E10">
        <w:rPr>
          <w:b/>
        </w:rPr>
        <w:t>On the other hand, ‘ethnicity’ serves well as a proxy</w:t>
      </w:r>
      <w:r w:rsidRPr="00F42E10">
        <w:t xml:space="preserve"> for the complex and ill-defined co-factors of socioeconomic and environmental deprivation, whether these run alongside linguistic barriers and distinctive cultural preferences and behaviours or not. This makes it a tempting variable for analysis and a correspondingly tempting category for targeted policy interventions aimed at reducing health disparities. However, the possibility that ‘ethnicity’ is valuable </w:t>
      </w:r>
      <w:r w:rsidRPr="00F42E10">
        <w:rPr>
          <w:u w:val="single"/>
        </w:rPr>
        <w:t>only</w:t>
      </w:r>
      <w:r w:rsidRPr="00F42E10">
        <w:t xml:space="preserve"> as a proxy for the socioeconomic and environmental deprivation so closely associated with ‘ethnic’ identity, and is empty of independent significance is provoking unease amongst social scientists in particular. While the ethical mandate to ensure equal access and representative inclusion to clinical trials would remain in either case, the use of ‘ethnicity’ might serve to reify, rather than to interrogate disparities in health practices and outcomes.</w:t>
      </w:r>
      <w:r w:rsidRPr="00F42E10">
        <w:rPr>
          <w:rStyle w:val="FootnoteReference"/>
        </w:rPr>
        <w:footnoteReference w:id="5"/>
      </w:r>
    </w:p>
    <w:p w:rsidR="00960667" w:rsidRPr="00F42E10" w:rsidRDefault="00960667" w:rsidP="002A6C74">
      <w:pPr>
        <w:ind w:right="-46"/>
        <w:rPr>
          <w:b/>
        </w:rPr>
      </w:pPr>
      <w:r w:rsidRPr="00F42E10">
        <w:rPr>
          <w:b/>
        </w:rPr>
        <w:t xml:space="preserve">What I hope we will begin to do today is: </w:t>
      </w:r>
    </w:p>
    <w:p w:rsidR="00960667" w:rsidRPr="00F42E10" w:rsidRDefault="00960667" w:rsidP="002A6C74">
      <w:pPr>
        <w:pStyle w:val="ListParagraph"/>
        <w:numPr>
          <w:ilvl w:val="0"/>
          <w:numId w:val="5"/>
        </w:numPr>
        <w:ind w:right="-46"/>
        <w:rPr>
          <w:b/>
        </w:rPr>
      </w:pPr>
      <w:r w:rsidRPr="00F42E10">
        <w:rPr>
          <w:b/>
        </w:rPr>
        <w:t xml:space="preserve">to think about the ways in which we can marshal and direct such efforts, thus improving the visibility and impact of good research on ethnicity and health; </w:t>
      </w:r>
    </w:p>
    <w:p w:rsidR="00960667" w:rsidRPr="00F42E10" w:rsidRDefault="00960667" w:rsidP="002A6C74">
      <w:pPr>
        <w:pStyle w:val="ListParagraph"/>
        <w:numPr>
          <w:ilvl w:val="0"/>
          <w:numId w:val="5"/>
        </w:numPr>
        <w:ind w:right="-46"/>
        <w:rPr>
          <w:vertAlign w:val="superscript"/>
        </w:rPr>
      </w:pPr>
      <w:proofErr w:type="gramStart"/>
      <w:r w:rsidRPr="00F42E10">
        <w:rPr>
          <w:b/>
        </w:rPr>
        <w:t>to</w:t>
      </w:r>
      <w:proofErr w:type="gramEnd"/>
      <w:r w:rsidRPr="00F42E10">
        <w:rPr>
          <w:b/>
        </w:rPr>
        <w:t xml:space="preserve"> begin to map out the places where ethnicity is a useful category of analysis – as opposed to those in which it is largely or only a proxy for socioeconomic and environmental difference.</w:t>
      </w:r>
    </w:p>
    <w:p w:rsidR="00960667" w:rsidRPr="00F42E10" w:rsidRDefault="00960667" w:rsidP="00F87F1E">
      <w:pPr>
        <w:spacing w:after="0" w:line="240" w:lineRule="auto"/>
        <w:ind w:firstLine="360"/>
        <w:rPr>
          <w:rFonts w:eastAsia="Times New Roman" w:cs="Arial"/>
          <w:lang w:eastAsia="en-GB"/>
        </w:rPr>
      </w:pPr>
    </w:p>
    <w:p w:rsidR="00532AA9" w:rsidRPr="00F42E10" w:rsidRDefault="00960667" w:rsidP="00F87F1E">
      <w:pPr>
        <w:spacing w:after="0" w:line="240" w:lineRule="auto"/>
        <w:ind w:firstLine="360"/>
        <w:rPr>
          <w:rFonts w:eastAsia="Times New Roman" w:cs="Arial"/>
          <w:lang w:eastAsia="en-GB"/>
        </w:rPr>
      </w:pPr>
      <w:r w:rsidRPr="00F42E10">
        <w:rPr>
          <w:rFonts w:eastAsia="Times New Roman" w:cs="Arial"/>
          <w:lang w:eastAsia="en-GB"/>
        </w:rPr>
        <w:t xml:space="preserve">A final area we might want to think about relates to the nature of the RCT itself, particularly as it exists across private sector and collaborative public-private sector (largely pharmaceutical) research, where my quick survey suggests that it is strongly affected by the US market and regulatory mechanisms. </w:t>
      </w:r>
      <w:proofErr w:type="gramStart"/>
      <w:r w:rsidRPr="00F42E10">
        <w:rPr>
          <w:rFonts w:eastAsia="Times New Roman" w:cs="Arial"/>
          <w:lang w:eastAsia="en-GB"/>
        </w:rPr>
        <w:t>Might the ‘pragmatic clinical trial’ – ‘</w:t>
      </w:r>
      <w:r w:rsidRPr="00F42E10">
        <w:rPr>
          <w:rFonts w:eastAsia="Times New Roman" w:cs="Lucida Sans Unicode"/>
          <w:lang w:eastAsia="en-GB"/>
        </w:rPr>
        <w:t>such trials include clinically effective comparators, study patients with common co-morbid conditions and diverse demographic characteristics, and providers from community settings.</w:t>
      </w:r>
      <w:proofErr w:type="gramEnd"/>
      <w:r w:rsidRPr="00F42E10">
        <w:rPr>
          <w:rFonts w:eastAsia="Times New Roman" w:cs="Lucida Sans Unicode"/>
          <w:lang w:eastAsia="en-GB"/>
        </w:rPr>
        <w:t xml:space="preserve"> Primary and secondary outcomes are patient-</w:t>
      </w:r>
      <w:proofErr w:type="spellStart"/>
      <w:r w:rsidRPr="00F42E10">
        <w:rPr>
          <w:rFonts w:eastAsia="Times New Roman" w:cs="Lucida Sans Unicode"/>
          <w:lang w:eastAsia="en-GB"/>
        </w:rPr>
        <w:t>centered</w:t>
      </w:r>
      <w:proofErr w:type="spellEnd"/>
      <w:r w:rsidRPr="00F42E10">
        <w:rPr>
          <w:rFonts w:eastAsia="Times New Roman" w:cs="Lucida Sans Unicode"/>
          <w:lang w:eastAsia="en-GB"/>
        </w:rPr>
        <w:t>, chosen to reflect what matters most to patients and clinicians.’ -</w:t>
      </w:r>
      <w:r w:rsidRPr="00F42E10">
        <w:rPr>
          <w:rFonts w:eastAsia="Times New Roman" w:cs="Lucida Sans Unicode"/>
          <w:color w:val="403838"/>
          <w:lang w:eastAsia="en-GB"/>
        </w:rPr>
        <w:t xml:space="preserve">- </w:t>
      </w:r>
      <w:r w:rsidRPr="00F42E10">
        <w:rPr>
          <w:rFonts w:eastAsia="Times New Roman" w:cs="Arial"/>
          <w:lang w:eastAsia="en-GB"/>
        </w:rPr>
        <w:t>be a better tool, particularly for research focused on the relationships between ethnicity and health outcomes?</w:t>
      </w:r>
      <w:r w:rsidRPr="00F42E10">
        <w:rPr>
          <w:rStyle w:val="FootnoteReference"/>
          <w:rFonts w:eastAsia="Times New Roman" w:cs="Arial"/>
          <w:lang w:eastAsia="en-GB"/>
        </w:rPr>
        <w:footnoteReference w:id="6"/>
      </w:r>
      <w:r w:rsidRPr="00F42E10">
        <w:rPr>
          <w:rFonts w:eastAsia="Times New Roman" w:cs="Arial"/>
          <w:lang w:eastAsia="en-GB"/>
        </w:rPr>
        <w:t xml:space="preserve"> </w:t>
      </w:r>
      <w:r w:rsidR="00611D9C" w:rsidRPr="00F42E10">
        <w:rPr>
          <w:rFonts w:eastAsia="Times New Roman" w:cs="Arial"/>
          <w:lang w:eastAsia="en-GB"/>
        </w:rPr>
        <w:t xml:space="preserve">Or might it simply </w:t>
      </w:r>
      <w:r w:rsidR="003C4CC6" w:rsidRPr="00F42E10">
        <w:rPr>
          <w:rFonts w:eastAsia="Times New Roman" w:cs="Arial"/>
          <w:lang w:eastAsia="en-GB"/>
        </w:rPr>
        <w:t>encourage</w:t>
      </w:r>
      <w:r w:rsidR="00611D9C" w:rsidRPr="00F42E10">
        <w:rPr>
          <w:rFonts w:eastAsia="Times New Roman" w:cs="Arial"/>
          <w:lang w:eastAsia="en-GB"/>
        </w:rPr>
        <w:t xml:space="preserve"> research of lower quality</w:t>
      </w:r>
      <w:r w:rsidR="003C4CC6" w:rsidRPr="00F42E10">
        <w:rPr>
          <w:rFonts w:eastAsia="Times New Roman" w:cs="Arial"/>
          <w:lang w:eastAsia="en-GB"/>
        </w:rPr>
        <w:t>, and deepen the divide between minority and majority populations?</w:t>
      </w:r>
    </w:p>
    <w:p w:rsidR="002A6C74" w:rsidRPr="00F42E10" w:rsidRDefault="002A6C74">
      <w:pPr>
        <w:rPr>
          <w:rFonts w:cs="Arial"/>
        </w:rPr>
      </w:pPr>
      <w:r w:rsidRPr="00F42E10">
        <w:rPr>
          <w:rFonts w:cs="Arial"/>
        </w:rPr>
        <w:br w:type="page"/>
      </w:r>
    </w:p>
    <w:p w:rsidR="00F87F1E" w:rsidRPr="00F42E10" w:rsidRDefault="002A6C74" w:rsidP="00960667">
      <w:pPr>
        <w:jc w:val="center"/>
        <w:rPr>
          <w:rFonts w:cs="Arial"/>
          <w:b/>
        </w:rPr>
      </w:pPr>
      <w:r w:rsidRPr="00F42E10">
        <w:rPr>
          <w:rFonts w:cs="Arial"/>
          <w:b/>
        </w:rPr>
        <w:lastRenderedPageBreak/>
        <w:t>Bibliography of Suggested Texts (with annotations/extracts):</w:t>
      </w:r>
    </w:p>
    <w:p w:rsidR="00572EA1" w:rsidRPr="00F42E10" w:rsidRDefault="000D1328" w:rsidP="00532AA9">
      <w:pPr>
        <w:rPr>
          <w:rFonts w:cs="Arial"/>
        </w:rPr>
      </w:pPr>
      <w:r w:rsidRPr="00F42E10">
        <w:rPr>
          <w:rFonts w:cs="Arial"/>
          <w:b/>
        </w:rPr>
        <w:t xml:space="preserve">Hannah </w:t>
      </w:r>
      <w:proofErr w:type="spellStart"/>
      <w:r w:rsidRPr="00F42E10">
        <w:rPr>
          <w:rFonts w:cs="Arial"/>
          <w:b/>
        </w:rPr>
        <w:t>Bradby</w:t>
      </w:r>
      <w:proofErr w:type="spellEnd"/>
      <w:r w:rsidRPr="00F42E10">
        <w:rPr>
          <w:rFonts w:cs="Arial"/>
          <w:b/>
        </w:rPr>
        <w:t xml:space="preserve"> and James </w:t>
      </w:r>
      <w:proofErr w:type="spellStart"/>
      <w:r w:rsidRPr="00F42E10">
        <w:rPr>
          <w:rFonts w:cs="Arial"/>
          <w:b/>
        </w:rPr>
        <w:t>Nazroo</w:t>
      </w:r>
      <w:proofErr w:type="spellEnd"/>
      <w:r w:rsidRPr="00F42E10">
        <w:rPr>
          <w:rFonts w:cs="Arial"/>
          <w:b/>
        </w:rPr>
        <w:t xml:space="preserve">, ‘Health, Ethnicity and Race’ in William </w:t>
      </w:r>
      <w:proofErr w:type="spellStart"/>
      <w:r w:rsidRPr="00F42E10">
        <w:rPr>
          <w:rFonts w:cs="Arial"/>
          <w:b/>
        </w:rPr>
        <w:t>Cockerham</w:t>
      </w:r>
      <w:proofErr w:type="spellEnd"/>
      <w:r w:rsidRPr="00F42E10">
        <w:rPr>
          <w:rFonts w:cs="Arial"/>
          <w:b/>
        </w:rPr>
        <w:t xml:space="preserve">, ed., </w:t>
      </w:r>
      <w:proofErr w:type="gramStart"/>
      <w:r w:rsidRPr="00F42E10">
        <w:rPr>
          <w:rFonts w:cs="Arial"/>
          <w:b/>
        </w:rPr>
        <w:t>The</w:t>
      </w:r>
      <w:proofErr w:type="gramEnd"/>
      <w:r w:rsidRPr="00F42E10">
        <w:rPr>
          <w:rFonts w:cs="Arial"/>
          <w:b/>
        </w:rPr>
        <w:t xml:space="preserve"> New Blackwell Companion to Medical Sociology (Oxford: Wiley Blackwell, 2010): 113-129</w:t>
      </w:r>
      <w:r w:rsidR="00572EA1" w:rsidRPr="00F42E10">
        <w:rPr>
          <w:rFonts w:cs="Arial"/>
        </w:rPr>
        <w:t>. This article (an extract of which is included on p.6) in many ways challenges the use of ‘ethnicity’ as a useful category in research, drawing on and contrasting approaches across the rich tradition of sociological research into health inequalities in the UK and USA. The authors assess, in particular, the meanings of ‘race’ and ‘ethnicity’; the ways in which ethnic and racial categories are used in the collection of routine data; the evidence of health outcome stratification in the US and UK</w:t>
      </w:r>
      <w:r w:rsidR="00960667" w:rsidRPr="00F42E10">
        <w:rPr>
          <w:rFonts w:cs="Arial"/>
        </w:rPr>
        <w:t>; the influence of ‘ethnicity’ on patterns of use and experiences of the health services in each location and the historical relationship between ethnicity, migration and health work in those services. They critique crude explanations for inequalities in health – those that focus on difference alone, e.g. ‘culture’ or ‘language barriers’, or fail to account for diversity in the experiences within, as well as between ethnic groups – and explanations that do not address historical and contemporary socioeconomic deprivation [see extrac</w:t>
      </w:r>
      <w:r w:rsidR="00F42E10" w:rsidRPr="00F42E10">
        <w:rPr>
          <w:rFonts w:cs="Arial"/>
        </w:rPr>
        <w:t>t</w:t>
      </w:r>
      <w:r w:rsidR="00960667" w:rsidRPr="00F42E10">
        <w:rPr>
          <w:rFonts w:cs="Arial"/>
        </w:rPr>
        <w:t>, p.6t].</w:t>
      </w:r>
    </w:p>
    <w:p w:rsidR="00073253" w:rsidRPr="00F42E10" w:rsidRDefault="00073253" w:rsidP="00E75A99">
      <w:pPr>
        <w:spacing w:before="100" w:beforeAutospacing="1" w:after="100" w:afterAutospacing="1" w:line="240" w:lineRule="auto"/>
        <w:contextualSpacing/>
        <w:rPr>
          <w:rFonts w:cs="Arial"/>
          <w:bCs/>
        </w:rPr>
      </w:pPr>
      <w:proofErr w:type="spellStart"/>
      <w:r w:rsidRPr="00F42E10">
        <w:rPr>
          <w:rFonts w:cs="Arial"/>
          <w:b/>
          <w:bCs/>
        </w:rPr>
        <w:t>Nisha</w:t>
      </w:r>
      <w:proofErr w:type="spellEnd"/>
      <w:r w:rsidRPr="00F42E10">
        <w:rPr>
          <w:rFonts w:cs="Arial"/>
          <w:b/>
          <w:bCs/>
        </w:rPr>
        <w:t xml:space="preserve"> </w:t>
      </w:r>
      <w:proofErr w:type="spellStart"/>
      <w:r w:rsidRPr="00F42E10">
        <w:rPr>
          <w:rFonts w:cs="Arial"/>
          <w:b/>
          <w:bCs/>
        </w:rPr>
        <w:t>Dogra</w:t>
      </w:r>
      <w:proofErr w:type="spellEnd"/>
      <w:r w:rsidRPr="00F42E10">
        <w:rPr>
          <w:rFonts w:cs="Arial"/>
          <w:b/>
          <w:bCs/>
        </w:rPr>
        <w:t xml:space="preserve">, </w:t>
      </w:r>
      <w:proofErr w:type="spellStart"/>
      <w:r w:rsidRPr="00F42E10">
        <w:rPr>
          <w:rFonts w:cs="Arial"/>
          <w:b/>
          <w:bCs/>
        </w:rPr>
        <w:t>Swaran</w:t>
      </w:r>
      <w:proofErr w:type="spellEnd"/>
      <w:r w:rsidRPr="00F42E10">
        <w:rPr>
          <w:rFonts w:cs="Arial"/>
          <w:b/>
          <w:bCs/>
        </w:rPr>
        <w:t xml:space="preserve"> Singh, </w:t>
      </w:r>
      <w:proofErr w:type="spellStart"/>
      <w:r w:rsidRPr="00F42E10">
        <w:rPr>
          <w:rStyle w:val="xapple-style-span"/>
          <w:rFonts w:cs="Arial"/>
          <w:b/>
        </w:rPr>
        <w:t>Nadzeya</w:t>
      </w:r>
      <w:proofErr w:type="spellEnd"/>
      <w:r w:rsidRPr="00F42E10">
        <w:rPr>
          <w:rStyle w:val="xapple-style-span"/>
          <w:rFonts w:cs="Arial"/>
          <w:b/>
        </w:rPr>
        <w:t xml:space="preserve"> </w:t>
      </w:r>
      <w:proofErr w:type="spellStart"/>
      <w:r w:rsidRPr="00F42E10">
        <w:rPr>
          <w:rStyle w:val="xapple-style-span"/>
          <w:rFonts w:cs="Arial"/>
          <w:b/>
        </w:rPr>
        <w:t>Svirydzenka</w:t>
      </w:r>
      <w:proofErr w:type="spellEnd"/>
      <w:r w:rsidRPr="00F42E10">
        <w:rPr>
          <w:rFonts w:cs="Arial"/>
          <w:b/>
          <w:bCs/>
        </w:rPr>
        <w:t xml:space="preserve"> and </w:t>
      </w:r>
      <w:proofErr w:type="spellStart"/>
      <w:r w:rsidRPr="00F42E10">
        <w:rPr>
          <w:rFonts w:cs="Arial"/>
          <w:b/>
          <w:bCs/>
        </w:rPr>
        <w:t>Panos</w:t>
      </w:r>
      <w:proofErr w:type="spellEnd"/>
      <w:r w:rsidRPr="00F42E10">
        <w:rPr>
          <w:rFonts w:cs="Arial"/>
          <w:b/>
          <w:bCs/>
        </w:rPr>
        <w:t xml:space="preserve"> </w:t>
      </w:r>
      <w:proofErr w:type="spellStart"/>
      <w:r w:rsidRPr="00F42E10">
        <w:rPr>
          <w:rFonts w:cs="Arial"/>
          <w:b/>
          <w:bCs/>
        </w:rPr>
        <w:t>Vostanis</w:t>
      </w:r>
      <w:proofErr w:type="spellEnd"/>
      <w:r w:rsidR="002A6C74" w:rsidRPr="00F42E10">
        <w:rPr>
          <w:rFonts w:eastAsia="Times New Roman" w:cs="Arial"/>
          <w:b/>
          <w:lang w:eastAsia="en-GB"/>
        </w:rPr>
        <w:t>, ‘</w:t>
      </w:r>
      <w:r w:rsidRPr="00F42E10">
        <w:rPr>
          <w:rFonts w:cs="Arial"/>
          <w:b/>
          <w:bCs/>
        </w:rPr>
        <w:t>Prevalence of mental health problems in children and young people from ethnic minority groups: the need for targeted research</w:t>
      </w:r>
      <w:r w:rsidR="002A6C74" w:rsidRPr="00F42E10">
        <w:rPr>
          <w:rFonts w:cs="Arial"/>
          <w:b/>
          <w:bCs/>
        </w:rPr>
        <w:t>’</w:t>
      </w:r>
      <w:r w:rsidR="002A6C74" w:rsidRPr="00F42E10">
        <w:rPr>
          <w:rFonts w:cs="Arial"/>
          <w:bCs/>
        </w:rPr>
        <w:t xml:space="preserve"> Unpublished draft text.</w:t>
      </w:r>
    </w:p>
    <w:p w:rsidR="00E75A99" w:rsidRPr="00F42E10" w:rsidRDefault="00E75A99" w:rsidP="00E75A99">
      <w:pPr>
        <w:spacing w:before="100" w:beforeAutospacing="1" w:after="100" w:afterAutospacing="1" w:line="240" w:lineRule="auto"/>
        <w:contextualSpacing/>
        <w:rPr>
          <w:rFonts w:cs="Arial"/>
          <w:b/>
          <w:bCs/>
        </w:rPr>
      </w:pPr>
    </w:p>
    <w:p w:rsidR="00E75A99" w:rsidRPr="00F42E10" w:rsidRDefault="00E75A99" w:rsidP="00E75A99">
      <w:pPr>
        <w:spacing w:before="100" w:beforeAutospacing="1" w:after="100" w:afterAutospacing="1" w:line="240" w:lineRule="auto"/>
        <w:contextualSpacing/>
        <w:rPr>
          <w:rFonts w:cs="Arial"/>
          <w:b/>
          <w:bCs/>
        </w:rPr>
      </w:pPr>
      <w:proofErr w:type="spellStart"/>
      <w:r w:rsidRPr="00F42E10">
        <w:rPr>
          <w:rFonts w:cs="Arial"/>
          <w:b/>
          <w:bCs/>
        </w:rPr>
        <w:t>Kamila</w:t>
      </w:r>
      <w:proofErr w:type="spellEnd"/>
      <w:r w:rsidRPr="00F42E10">
        <w:rPr>
          <w:rFonts w:cs="Arial"/>
          <w:b/>
          <w:bCs/>
        </w:rPr>
        <w:t xml:space="preserve"> Hawthorne, Y. Robles, R. </w:t>
      </w:r>
      <w:proofErr w:type="spellStart"/>
      <w:r w:rsidRPr="00F42E10">
        <w:rPr>
          <w:rFonts w:cs="Arial"/>
          <w:b/>
          <w:bCs/>
        </w:rPr>
        <w:t>Cannings</w:t>
      </w:r>
      <w:proofErr w:type="spellEnd"/>
      <w:r w:rsidRPr="00F42E10">
        <w:rPr>
          <w:rFonts w:cs="Arial"/>
          <w:b/>
          <w:bCs/>
        </w:rPr>
        <w:t>-John and A.G.K. Edwards, ‘</w:t>
      </w:r>
      <w:proofErr w:type="gramStart"/>
      <w:r w:rsidRPr="00F42E10">
        <w:rPr>
          <w:rFonts w:cs="Arial"/>
          <w:b/>
          <w:bCs/>
        </w:rPr>
        <w:t>Culturally</w:t>
      </w:r>
      <w:proofErr w:type="gramEnd"/>
      <w:r w:rsidRPr="00F42E10">
        <w:rPr>
          <w:rFonts w:cs="Arial"/>
          <w:b/>
          <w:bCs/>
        </w:rPr>
        <w:t xml:space="preserve"> appropriate health education for Type 2 diabetes in ethnic minority groups: a systematic and narrative review of randomized controlled trials’, </w:t>
      </w:r>
      <w:r w:rsidRPr="00F42E10">
        <w:rPr>
          <w:rFonts w:cs="Arial"/>
          <w:b/>
          <w:bCs/>
          <w:i/>
        </w:rPr>
        <w:t>Diabetic Medicine</w:t>
      </w:r>
      <w:r w:rsidRPr="00F42E10">
        <w:rPr>
          <w:rFonts w:cs="Arial"/>
          <w:b/>
          <w:bCs/>
        </w:rPr>
        <w:t xml:space="preserve"> 27 (2010)613-623. [</w:t>
      </w:r>
      <w:proofErr w:type="spellStart"/>
      <w:r w:rsidRPr="00F42E10">
        <w:rPr>
          <w:rFonts w:cs="Arial"/>
          <w:b/>
          <w:bCs/>
        </w:rPr>
        <w:t>PubMed</w:t>
      </w:r>
      <w:proofErr w:type="spellEnd"/>
      <w:r w:rsidRPr="00F42E10">
        <w:rPr>
          <w:rFonts w:cs="Arial"/>
          <w:b/>
          <w:bCs/>
        </w:rPr>
        <w:t>]</w:t>
      </w:r>
    </w:p>
    <w:p w:rsidR="00E75A99" w:rsidRPr="00F42E10" w:rsidRDefault="00E75A99" w:rsidP="00E75A99">
      <w:pPr>
        <w:spacing w:before="100" w:beforeAutospacing="1" w:after="100" w:afterAutospacing="1" w:line="240" w:lineRule="auto"/>
        <w:contextualSpacing/>
        <w:rPr>
          <w:rFonts w:cs="Arial"/>
          <w:bCs/>
        </w:rPr>
      </w:pPr>
      <w:r w:rsidRPr="00F42E10">
        <w:rPr>
          <w:rFonts w:cs="Arial"/>
          <w:bCs/>
        </w:rPr>
        <w:t xml:space="preserve">The authors follow the methodology of the Cochrane Collaboration to test the hypothesis that ‘culturally appropriate health education is more effective than “usual” health education for people with diabetes from ethnic minority groups in high- to –middle income countries, and review the available clinical trials addressing this question. </w:t>
      </w:r>
      <w:r w:rsidR="002F3176" w:rsidRPr="00F42E10">
        <w:rPr>
          <w:rFonts w:cs="Arial"/>
          <w:bCs/>
        </w:rPr>
        <w:t>Key findings are</w:t>
      </w:r>
      <w:r w:rsidRPr="00F42E10">
        <w:rPr>
          <w:rFonts w:cs="Arial"/>
          <w:bCs/>
        </w:rPr>
        <w:t xml:space="preserve"> </w:t>
      </w:r>
      <w:r w:rsidR="002F3176" w:rsidRPr="00F42E10">
        <w:rPr>
          <w:rFonts w:cs="Arial"/>
          <w:bCs/>
        </w:rPr>
        <w:t xml:space="preserve">the paucity of </w:t>
      </w:r>
      <w:proofErr w:type="spellStart"/>
      <w:r w:rsidR="002F3176" w:rsidRPr="00F42E10">
        <w:rPr>
          <w:rFonts w:cs="Arial"/>
          <w:bCs/>
        </w:rPr>
        <w:t>RCTs</w:t>
      </w:r>
      <w:proofErr w:type="spellEnd"/>
      <w:r w:rsidR="002F3176" w:rsidRPr="00F42E10">
        <w:rPr>
          <w:rFonts w:cs="Arial"/>
          <w:bCs/>
        </w:rPr>
        <w:t xml:space="preserve"> in this area; and </w:t>
      </w:r>
      <w:r w:rsidRPr="00F42E10">
        <w:rPr>
          <w:rFonts w:cs="Arial"/>
          <w:bCs/>
        </w:rPr>
        <w:t>that poor standardisation hampers meta-analysis of</w:t>
      </w:r>
      <w:r w:rsidR="002F3176" w:rsidRPr="00F42E10">
        <w:rPr>
          <w:rFonts w:cs="Arial"/>
          <w:bCs/>
        </w:rPr>
        <w:t xml:space="preserve"> results;</w:t>
      </w:r>
      <w:r w:rsidRPr="00F42E10">
        <w:rPr>
          <w:rFonts w:cs="Arial"/>
          <w:bCs/>
        </w:rPr>
        <w:t xml:space="preserve"> the determination of key interventions across the range of variations (e.g. geographical, subject populations etc)</w:t>
      </w:r>
      <w:r w:rsidR="002F3176" w:rsidRPr="00F42E10">
        <w:rPr>
          <w:rFonts w:cs="Arial"/>
          <w:bCs/>
        </w:rPr>
        <w:t>;</w:t>
      </w:r>
      <w:r w:rsidR="00987532" w:rsidRPr="00F42E10">
        <w:rPr>
          <w:rFonts w:cs="Arial"/>
          <w:bCs/>
        </w:rPr>
        <w:t xml:space="preserve"> and assessment of cost-effectiveness. Within these limitations, evidence suggest</w:t>
      </w:r>
      <w:r w:rsidR="002F3176" w:rsidRPr="00F42E10">
        <w:rPr>
          <w:rFonts w:cs="Arial"/>
          <w:bCs/>
        </w:rPr>
        <w:t>s</w:t>
      </w:r>
      <w:r w:rsidR="00987532" w:rsidRPr="00F42E10">
        <w:rPr>
          <w:rFonts w:cs="Arial"/>
          <w:bCs/>
        </w:rPr>
        <w:t xml:space="preserve"> that culturally appropriate health education was preferable in the short- to medium-term. </w:t>
      </w:r>
      <w:r w:rsidR="002F3176" w:rsidRPr="00F42E10">
        <w:rPr>
          <w:rFonts w:cs="Arial"/>
          <w:bCs/>
        </w:rPr>
        <w:t>The authors indicate</w:t>
      </w:r>
      <w:r w:rsidR="00987532" w:rsidRPr="00F42E10">
        <w:rPr>
          <w:rFonts w:cs="Arial"/>
          <w:bCs/>
        </w:rPr>
        <w:t xml:space="preserve"> the methodological importance of knowledge of the target group (gained from previous experience), and note the absence of standard patient centred outcome measures. The authors conclude that their review indicates ‘that it is possible to apply rigorous scientific assessments, with reasonable recruitment and retention, to a socially deprived ethnic minority group’ seen as hard to reach – but that there remain significant challenges in study design, particularly in relation funding and to the commitments made by researchers to ensure that their research benefits the communities in question.</w:t>
      </w:r>
      <w:r w:rsidR="00620FFD" w:rsidRPr="00F42E10">
        <w:rPr>
          <w:rFonts w:cs="Arial"/>
          <w:bCs/>
        </w:rPr>
        <w:t xml:space="preserve"> They recommend: generic, but easily tailored, approaches to communities, based on published experience of effective strategies; efforts to align timescales</w:t>
      </w:r>
      <w:r w:rsidR="002F3176" w:rsidRPr="00F42E10">
        <w:rPr>
          <w:rFonts w:cs="Arial"/>
          <w:bCs/>
        </w:rPr>
        <w:t xml:space="preserve"> and datasets.</w:t>
      </w:r>
    </w:p>
    <w:p w:rsidR="00E75A99" w:rsidRPr="00F42E10" w:rsidRDefault="00E75A99" w:rsidP="00E75A99">
      <w:pPr>
        <w:spacing w:before="100" w:beforeAutospacing="1" w:after="100" w:afterAutospacing="1" w:line="240" w:lineRule="auto"/>
        <w:contextualSpacing/>
        <w:rPr>
          <w:rFonts w:cs="Arial"/>
          <w:bCs/>
        </w:rPr>
      </w:pPr>
    </w:p>
    <w:p w:rsidR="001017C4" w:rsidRPr="00F42E10" w:rsidRDefault="00B3704C" w:rsidP="002A6C74">
      <w:pPr>
        <w:spacing w:before="100" w:beforeAutospacing="1" w:after="100" w:afterAutospacing="1" w:line="240" w:lineRule="auto"/>
        <w:rPr>
          <w:rFonts w:cs="Arial"/>
          <w:bCs/>
        </w:rPr>
      </w:pPr>
      <w:proofErr w:type="spellStart"/>
      <w:r w:rsidRPr="00F42E10">
        <w:rPr>
          <w:rFonts w:cs="Arial"/>
          <w:b/>
          <w:bCs/>
        </w:rPr>
        <w:t>Mah</w:t>
      </w:r>
      <w:proofErr w:type="spellEnd"/>
      <w:r w:rsidRPr="00F42E10">
        <w:rPr>
          <w:rFonts w:cs="Arial"/>
          <w:b/>
          <w:bCs/>
        </w:rPr>
        <w:t xml:space="preserve"> </w:t>
      </w:r>
      <w:proofErr w:type="spellStart"/>
      <w:r w:rsidRPr="00F42E10">
        <w:rPr>
          <w:rFonts w:cs="Arial"/>
          <w:b/>
          <w:bCs/>
        </w:rPr>
        <w:t>Hussain</w:t>
      </w:r>
      <w:proofErr w:type="spellEnd"/>
      <w:r w:rsidRPr="00F42E10">
        <w:rPr>
          <w:rFonts w:cs="Arial"/>
          <w:b/>
          <w:bCs/>
        </w:rPr>
        <w:t xml:space="preserve">-Gambles, Karl </w:t>
      </w:r>
      <w:proofErr w:type="spellStart"/>
      <w:r w:rsidRPr="00F42E10">
        <w:rPr>
          <w:rFonts w:cs="Arial"/>
          <w:b/>
          <w:bCs/>
        </w:rPr>
        <w:t>Atkin</w:t>
      </w:r>
      <w:proofErr w:type="spellEnd"/>
      <w:r w:rsidRPr="00F42E10">
        <w:rPr>
          <w:rFonts w:cs="Arial"/>
          <w:b/>
          <w:bCs/>
        </w:rPr>
        <w:t xml:space="preserve">, Brenda </w:t>
      </w:r>
      <w:proofErr w:type="spellStart"/>
      <w:r w:rsidRPr="00F42E10">
        <w:rPr>
          <w:rFonts w:cs="Arial"/>
          <w:b/>
          <w:bCs/>
        </w:rPr>
        <w:t>Leese</w:t>
      </w:r>
      <w:proofErr w:type="spellEnd"/>
      <w:r w:rsidRPr="00F42E10">
        <w:rPr>
          <w:rFonts w:cs="Arial"/>
          <w:b/>
          <w:bCs/>
        </w:rPr>
        <w:t xml:space="preserve">, ‘South Asian participation in clinical trials: The views of lay people and health professionals’, </w:t>
      </w:r>
      <w:r w:rsidRPr="00F42E10">
        <w:rPr>
          <w:rFonts w:cs="Arial"/>
          <w:b/>
          <w:bCs/>
          <w:i/>
        </w:rPr>
        <w:t>Health Policy</w:t>
      </w:r>
      <w:r w:rsidRPr="00F42E10">
        <w:rPr>
          <w:rFonts w:cs="Arial"/>
          <w:b/>
          <w:bCs/>
        </w:rPr>
        <w:t xml:space="preserve"> 77 (2006) 149-165.</w:t>
      </w:r>
      <w:r w:rsidRPr="00F42E10">
        <w:rPr>
          <w:rFonts w:cs="Arial"/>
          <w:bCs/>
        </w:rPr>
        <w:t xml:space="preserve"> [</w:t>
      </w:r>
      <w:proofErr w:type="spellStart"/>
      <w:r w:rsidRPr="00F42E10">
        <w:rPr>
          <w:rFonts w:cs="Arial"/>
          <w:bCs/>
        </w:rPr>
        <w:t>ScienceDirect/ResearchPro</w:t>
      </w:r>
      <w:proofErr w:type="spellEnd"/>
      <w:r w:rsidRPr="00F42E10">
        <w:rPr>
          <w:rFonts w:cs="Arial"/>
          <w:bCs/>
        </w:rPr>
        <w:t>] Using interviews with 25 health professionals and 60 laypeople in Leeds and Bradford, the investigators explore attitudes towards South Asian participation in clinical trials</w:t>
      </w:r>
      <w:r w:rsidR="001017C4" w:rsidRPr="00F42E10">
        <w:rPr>
          <w:rFonts w:cs="Arial"/>
          <w:bCs/>
        </w:rPr>
        <w:t>, and particularly the commonly hypothesised negative effects of ‘cultural factors’ and ‘institutional racism’</w:t>
      </w:r>
      <w:r w:rsidRPr="00F42E10">
        <w:rPr>
          <w:rFonts w:cs="Arial"/>
          <w:bCs/>
        </w:rPr>
        <w:t xml:space="preserve">. They note that historical scandals – Tuskegee and thalidomide in particular – initially prompted UK ethics committees to exclude ‘vulnerable’ groups from </w:t>
      </w:r>
      <w:proofErr w:type="spellStart"/>
      <w:r w:rsidRPr="00F42E10">
        <w:rPr>
          <w:rFonts w:cs="Arial"/>
          <w:bCs/>
        </w:rPr>
        <w:t>RCTs</w:t>
      </w:r>
      <w:proofErr w:type="spellEnd"/>
      <w:r w:rsidRPr="00F42E10">
        <w:rPr>
          <w:rFonts w:cs="Arial"/>
          <w:bCs/>
        </w:rPr>
        <w:t>, and that only since 1993 have these decisions been revisited.</w:t>
      </w:r>
      <w:r w:rsidR="001017C4" w:rsidRPr="00F42E10">
        <w:rPr>
          <w:rFonts w:cs="Arial"/>
          <w:bCs/>
        </w:rPr>
        <w:t xml:space="preserve"> With the advent of the Race R</w:t>
      </w:r>
      <w:r w:rsidR="00F849D2" w:rsidRPr="00F42E10">
        <w:rPr>
          <w:rFonts w:cs="Arial"/>
          <w:bCs/>
        </w:rPr>
        <w:t xml:space="preserve">elations Act 2000, </w:t>
      </w:r>
      <w:r w:rsidR="001017C4" w:rsidRPr="00F42E10">
        <w:rPr>
          <w:rFonts w:cs="Arial"/>
          <w:bCs/>
        </w:rPr>
        <w:t xml:space="preserve">a lack of full representation could also constitute a breach of statutory obligations by trial organising bodies (if public). Their small qualitative study suggests that cultural differences do not act as cultural barriers </w:t>
      </w:r>
      <w:r w:rsidR="001017C4" w:rsidRPr="00F42E10">
        <w:rPr>
          <w:rFonts w:cs="Arial"/>
          <w:bCs/>
        </w:rPr>
        <w:lastRenderedPageBreak/>
        <w:t xml:space="preserve">from a lay perspective (in this section the label ‘South Asian’ is broken down into Indian, Pakistani and Bangladeshi). Drives to participate include altruism and a sense of responsibility to affected loved ones. Barriers included </w:t>
      </w:r>
      <w:r w:rsidR="00484BF6" w:rsidRPr="00F42E10">
        <w:rPr>
          <w:rFonts w:cs="Arial"/>
          <w:bCs/>
        </w:rPr>
        <w:t xml:space="preserve">lack of childcare, travel costs, time constraints, </w:t>
      </w:r>
      <w:proofErr w:type="gramStart"/>
      <w:r w:rsidR="00484BF6" w:rsidRPr="00F42E10">
        <w:rPr>
          <w:rFonts w:cs="Arial"/>
          <w:bCs/>
        </w:rPr>
        <w:t>concerns</w:t>
      </w:r>
      <w:proofErr w:type="gramEnd"/>
      <w:r w:rsidR="00484BF6" w:rsidRPr="00F42E10">
        <w:rPr>
          <w:rFonts w:cs="Arial"/>
          <w:bCs/>
        </w:rPr>
        <w:t xml:space="preserve"> about side-effects, </w:t>
      </w:r>
      <w:r w:rsidR="0030331B" w:rsidRPr="00F42E10">
        <w:rPr>
          <w:rFonts w:cs="Arial"/>
          <w:bCs/>
        </w:rPr>
        <w:t xml:space="preserve">mistrust, </w:t>
      </w:r>
      <w:r w:rsidR="00484BF6" w:rsidRPr="00F42E10">
        <w:rPr>
          <w:rFonts w:cs="Arial"/>
          <w:bCs/>
        </w:rPr>
        <w:t>language barriers and simply not being approached to participate. Only the latter two factors differ from responses among the majority population. The last may be related to a heavier than average dependence on single-handed medical practices</w:t>
      </w:r>
      <w:r w:rsidR="000773CF" w:rsidRPr="00F42E10">
        <w:rPr>
          <w:rFonts w:cs="Arial"/>
          <w:bCs/>
        </w:rPr>
        <w:t xml:space="preserve"> [partly for communication and partly for geographical reasons]</w:t>
      </w:r>
      <w:r w:rsidR="00484BF6" w:rsidRPr="00F42E10">
        <w:rPr>
          <w:rFonts w:cs="Arial"/>
          <w:bCs/>
        </w:rPr>
        <w:t xml:space="preserve">, which do not participate in clinical research. </w:t>
      </w:r>
      <w:r w:rsidR="001017C4" w:rsidRPr="00F42E10">
        <w:rPr>
          <w:rFonts w:cs="Arial"/>
          <w:bCs/>
        </w:rPr>
        <w:t xml:space="preserve">Interviews with health professionals tackle the organisational constraints and practices under which </w:t>
      </w:r>
      <w:proofErr w:type="spellStart"/>
      <w:r w:rsidR="001017C4" w:rsidRPr="00F42E10">
        <w:rPr>
          <w:rFonts w:cs="Arial"/>
          <w:bCs/>
        </w:rPr>
        <w:t>CTs</w:t>
      </w:r>
      <w:proofErr w:type="spellEnd"/>
      <w:r w:rsidR="001017C4" w:rsidRPr="00F42E10">
        <w:rPr>
          <w:rFonts w:cs="Arial"/>
          <w:bCs/>
        </w:rPr>
        <w:t xml:space="preserve"> take place in the NHS. </w:t>
      </w:r>
      <w:r w:rsidR="00484BF6" w:rsidRPr="00F42E10">
        <w:rPr>
          <w:rFonts w:cs="Arial"/>
          <w:bCs/>
        </w:rPr>
        <w:t xml:space="preserve"> Language barriers are cited heavily by these professionals, many of whom also felt that representation was less important than commissioning trails specifically for South Asians. Others suggested that only biological differences should be taken into account, and not ethnicity. </w:t>
      </w:r>
      <w:r w:rsidR="000773CF" w:rsidRPr="00F42E10">
        <w:rPr>
          <w:rFonts w:cs="Arial"/>
          <w:bCs/>
        </w:rPr>
        <w:t>Many acknowledge ‘cherry-picking’ participants who were approachable and fluent</w:t>
      </w:r>
      <w:r w:rsidR="0030331B" w:rsidRPr="00F42E10">
        <w:rPr>
          <w:rFonts w:cs="Arial"/>
          <w:bCs/>
        </w:rPr>
        <w:t>, particularly because of lack of resources to address language barriers</w:t>
      </w:r>
      <w:r w:rsidR="000773CF" w:rsidRPr="00F42E10">
        <w:rPr>
          <w:rFonts w:cs="Arial"/>
          <w:bCs/>
        </w:rPr>
        <w:t xml:space="preserve">. </w:t>
      </w:r>
      <w:r w:rsidR="0030331B" w:rsidRPr="00F42E10">
        <w:rPr>
          <w:rFonts w:cs="Arial"/>
          <w:bCs/>
        </w:rPr>
        <w:t xml:space="preserve">The desire or need to involve </w:t>
      </w:r>
      <w:proofErr w:type="spellStart"/>
      <w:r w:rsidR="0030331B" w:rsidRPr="00F42E10">
        <w:rPr>
          <w:rFonts w:cs="Arial"/>
          <w:bCs/>
        </w:rPr>
        <w:t>familiy</w:t>
      </w:r>
      <w:proofErr w:type="spellEnd"/>
      <w:r w:rsidR="0030331B" w:rsidRPr="00F42E10">
        <w:rPr>
          <w:rFonts w:cs="Arial"/>
          <w:bCs/>
        </w:rPr>
        <w:t xml:space="preserve"> members in decision-making was perceived as a problem, as was female modesty, vegetarianism and religious fasting. Evidence is presented of persistent cultural stereotypes. </w:t>
      </w:r>
      <w:r w:rsidR="00484BF6" w:rsidRPr="00F42E10">
        <w:rPr>
          <w:rFonts w:cs="Arial"/>
          <w:bCs/>
        </w:rPr>
        <w:t>The authors</w:t>
      </w:r>
      <w:r w:rsidR="001017C4" w:rsidRPr="00F42E10">
        <w:rPr>
          <w:rFonts w:cs="Arial"/>
          <w:bCs/>
        </w:rPr>
        <w:t xml:space="preserve"> suggest strategies for improve South Asian involvement in </w:t>
      </w:r>
      <w:proofErr w:type="spellStart"/>
      <w:r w:rsidR="001017C4" w:rsidRPr="00F42E10">
        <w:rPr>
          <w:rFonts w:cs="Arial"/>
          <w:bCs/>
        </w:rPr>
        <w:t>CTs</w:t>
      </w:r>
      <w:proofErr w:type="spellEnd"/>
      <w:r w:rsidR="0030331B" w:rsidRPr="00F42E10">
        <w:rPr>
          <w:rFonts w:cs="Arial"/>
          <w:bCs/>
        </w:rPr>
        <w:t>, particularly targeting them with invitations to participate, involving their GPs, and using a wider range of media to reach them – especially non-print media</w:t>
      </w:r>
      <w:r w:rsidR="001017C4" w:rsidRPr="00F42E10">
        <w:rPr>
          <w:rFonts w:cs="Arial"/>
          <w:bCs/>
        </w:rPr>
        <w:t>.</w:t>
      </w:r>
    </w:p>
    <w:p w:rsidR="002A6C74" w:rsidRPr="00F42E10" w:rsidRDefault="002A6C74" w:rsidP="002A6C74">
      <w:pPr>
        <w:spacing w:before="100" w:beforeAutospacing="1" w:after="100" w:afterAutospacing="1" w:line="240" w:lineRule="auto"/>
        <w:rPr>
          <w:rFonts w:cs="Arial"/>
          <w:bCs/>
        </w:rPr>
      </w:pPr>
      <w:r w:rsidRPr="00F42E10">
        <w:rPr>
          <w:rFonts w:cs="Arial"/>
          <w:b/>
          <w:bCs/>
        </w:rPr>
        <w:t>David S. Jones ‘Visions of a Cure: Visualizations, clinical trials and controversies in cardiac therapeutics, 1968-1998’, ISIS 91: 3 (2000) 504-541.</w:t>
      </w:r>
      <w:r w:rsidRPr="00F42E10">
        <w:rPr>
          <w:rFonts w:cs="Arial"/>
          <w:bCs/>
        </w:rPr>
        <w:t xml:space="preserve"> </w:t>
      </w:r>
      <w:r w:rsidR="00B3704C" w:rsidRPr="00F42E10">
        <w:rPr>
          <w:rFonts w:cs="Arial"/>
          <w:bCs/>
        </w:rPr>
        <w:t xml:space="preserve">[JSTOR] </w:t>
      </w:r>
      <w:r w:rsidRPr="00F42E10">
        <w:rPr>
          <w:rFonts w:cs="Arial"/>
          <w:bCs/>
        </w:rPr>
        <w:t>While this historical treatment of the contested rise of the surgical RCT is not directly linked to ethnicity or ethnic health, it does offer insight into the politics of the decision to value this specific epistemological tool over such established tools as ‘physiological logic’ and empirical success, and the contest between statistica</w:t>
      </w:r>
      <w:r w:rsidR="00B3704C" w:rsidRPr="00F42E10">
        <w:rPr>
          <w:rFonts w:cs="Arial"/>
          <w:bCs/>
        </w:rPr>
        <w:t>l</w:t>
      </w:r>
      <w:r w:rsidRPr="00F42E10">
        <w:rPr>
          <w:rFonts w:cs="Arial"/>
          <w:bCs/>
        </w:rPr>
        <w:t>l</w:t>
      </w:r>
      <w:r w:rsidR="00B3704C" w:rsidRPr="00F42E10">
        <w:rPr>
          <w:rFonts w:cs="Arial"/>
          <w:bCs/>
        </w:rPr>
        <w:t>y</w:t>
      </w:r>
      <w:r w:rsidRPr="00F42E10">
        <w:rPr>
          <w:rFonts w:cs="Arial"/>
          <w:bCs/>
        </w:rPr>
        <w:t xml:space="preserve"> and individual</w:t>
      </w:r>
      <w:r w:rsidR="00B3704C" w:rsidRPr="00F42E10">
        <w:rPr>
          <w:rFonts w:cs="Arial"/>
          <w:bCs/>
        </w:rPr>
        <w:t>ly</w:t>
      </w:r>
      <w:r w:rsidRPr="00F42E10">
        <w:rPr>
          <w:rFonts w:cs="Arial"/>
          <w:bCs/>
        </w:rPr>
        <w:t xml:space="preserve"> </w:t>
      </w:r>
      <w:r w:rsidR="00B3704C" w:rsidRPr="00F42E10">
        <w:rPr>
          <w:rFonts w:cs="Arial"/>
          <w:bCs/>
        </w:rPr>
        <w:t>gathered/validated</w:t>
      </w:r>
      <w:r w:rsidRPr="00F42E10">
        <w:rPr>
          <w:rFonts w:cs="Arial"/>
          <w:bCs/>
        </w:rPr>
        <w:t xml:space="preserve"> evidence in medicine.</w:t>
      </w:r>
      <w:r w:rsidR="00B3704C" w:rsidRPr="00F42E10">
        <w:rPr>
          <w:rFonts w:cs="Arial"/>
          <w:bCs/>
        </w:rPr>
        <w:t xml:space="preserve"> Can we afford ‘the benefit of the doubt’ in medicine? Can we afford to wait for therapeutic certainty?</w:t>
      </w:r>
    </w:p>
    <w:p w:rsidR="00F42E10" w:rsidRPr="00F42E10" w:rsidRDefault="00F42E10" w:rsidP="00F42E10">
      <w:pPr>
        <w:shd w:val="clear" w:color="auto" w:fill="FFFFFF"/>
        <w:spacing w:before="225" w:after="225" w:line="240" w:lineRule="auto"/>
        <w:rPr>
          <w:b/>
        </w:rPr>
      </w:pPr>
      <w:hyperlink r:id="rId8" w:history="1">
        <w:r w:rsidRPr="00F42E10">
          <w:rPr>
            <w:rStyle w:val="Hyperlink"/>
            <w:b/>
            <w:color w:val="auto"/>
            <w:u w:val="none"/>
          </w:rPr>
          <w:t>Bryan R. Luce</w:t>
        </w:r>
      </w:hyperlink>
      <w:r w:rsidRPr="00F42E10">
        <w:rPr>
          <w:b/>
        </w:rPr>
        <w:t xml:space="preserve">, PhD, MBA; </w:t>
      </w:r>
      <w:hyperlink r:id="rId9" w:history="1">
        <w:r w:rsidRPr="00F42E10">
          <w:rPr>
            <w:rStyle w:val="Hyperlink"/>
            <w:b/>
            <w:color w:val="auto"/>
            <w:u w:val="none"/>
          </w:rPr>
          <w:t>Judith M. Kramer</w:t>
        </w:r>
      </w:hyperlink>
      <w:r w:rsidRPr="00F42E10">
        <w:rPr>
          <w:b/>
        </w:rPr>
        <w:t xml:space="preserve">, MD, MS; </w:t>
      </w:r>
      <w:hyperlink r:id="rId10" w:history="1">
        <w:r w:rsidRPr="00F42E10">
          <w:rPr>
            <w:rStyle w:val="Hyperlink"/>
            <w:b/>
            <w:color w:val="auto"/>
            <w:u w:val="none"/>
          </w:rPr>
          <w:t>Steven N. Goodman</w:t>
        </w:r>
      </w:hyperlink>
      <w:r w:rsidRPr="00F42E10">
        <w:rPr>
          <w:b/>
        </w:rPr>
        <w:t xml:space="preserve">, MD, MHS, PhD; </w:t>
      </w:r>
      <w:hyperlink r:id="rId11" w:history="1">
        <w:r w:rsidRPr="00F42E10">
          <w:rPr>
            <w:rStyle w:val="Hyperlink"/>
            <w:b/>
            <w:color w:val="auto"/>
            <w:u w:val="none"/>
          </w:rPr>
          <w:t>Jason T. Connor</w:t>
        </w:r>
      </w:hyperlink>
      <w:r w:rsidRPr="00F42E10">
        <w:rPr>
          <w:b/>
        </w:rPr>
        <w:t xml:space="preserve">, PhD; </w:t>
      </w:r>
      <w:hyperlink r:id="rId12" w:history="1">
        <w:r w:rsidRPr="00F42E10">
          <w:rPr>
            <w:rStyle w:val="Hyperlink"/>
            <w:b/>
            <w:color w:val="auto"/>
            <w:u w:val="none"/>
          </w:rPr>
          <w:t>Sean Tunis</w:t>
        </w:r>
      </w:hyperlink>
      <w:r w:rsidRPr="00F42E10">
        <w:rPr>
          <w:b/>
        </w:rPr>
        <w:t xml:space="preserve">, MD, MSc; </w:t>
      </w:r>
      <w:hyperlink r:id="rId13" w:history="1">
        <w:r w:rsidRPr="00F42E10">
          <w:rPr>
            <w:rStyle w:val="Hyperlink"/>
            <w:b/>
            <w:color w:val="auto"/>
            <w:u w:val="none"/>
          </w:rPr>
          <w:t xml:space="preserve">Danielle </w:t>
        </w:r>
        <w:proofErr w:type="spellStart"/>
        <w:r w:rsidRPr="00F42E10">
          <w:rPr>
            <w:rStyle w:val="Hyperlink"/>
            <w:b/>
            <w:color w:val="auto"/>
            <w:u w:val="none"/>
          </w:rPr>
          <w:t>Whicher</w:t>
        </w:r>
        <w:proofErr w:type="spellEnd"/>
      </w:hyperlink>
      <w:r w:rsidRPr="00F42E10">
        <w:rPr>
          <w:b/>
        </w:rPr>
        <w:t xml:space="preserve">, MHS; and </w:t>
      </w:r>
      <w:hyperlink r:id="rId14" w:history="1">
        <w:r w:rsidRPr="00F42E10">
          <w:rPr>
            <w:rStyle w:val="Hyperlink"/>
            <w:b/>
            <w:color w:val="auto"/>
            <w:u w:val="none"/>
          </w:rPr>
          <w:t>J. Sanford Schwartz</w:t>
        </w:r>
      </w:hyperlink>
      <w:r w:rsidRPr="00F42E10">
        <w:rPr>
          <w:b/>
        </w:rPr>
        <w:t xml:space="preserve">, MD , ‘Rethinking Randomized Clinical Trials for Comparative Effectiveness Research: The Need for Transformational Change’,  </w:t>
      </w:r>
      <w:r w:rsidRPr="00F42E10">
        <w:rPr>
          <w:b/>
          <w:i/>
        </w:rPr>
        <w:t>Annals of Internal Medicine</w:t>
      </w:r>
      <w:r w:rsidRPr="00F42E10">
        <w:rPr>
          <w:b/>
        </w:rPr>
        <w:t xml:space="preserve">, August 4, 2009 vol. 151 no. 3 206-209.  </w:t>
      </w:r>
      <w:r w:rsidRPr="00F42E10">
        <w:rPr>
          <w:sz w:val="20"/>
          <w:szCs w:val="20"/>
        </w:rPr>
        <w:t>‘</w:t>
      </w:r>
      <w:r w:rsidRPr="00F42E10">
        <w:rPr>
          <w:rFonts w:eastAsia="Times New Roman" w:cs="Lucida Sans Unicode"/>
          <w:color w:val="403838"/>
          <w:sz w:val="20"/>
          <w:szCs w:val="20"/>
          <w:lang w:eastAsia="en-GB"/>
        </w:rPr>
        <w:t xml:space="preserve">… many </w:t>
      </w:r>
      <w:proofErr w:type="spellStart"/>
      <w:r w:rsidRPr="00F42E10">
        <w:rPr>
          <w:rFonts w:eastAsia="Times New Roman" w:cs="Lucida Sans Unicode"/>
          <w:color w:val="403838"/>
          <w:sz w:val="20"/>
          <w:szCs w:val="20"/>
          <w:lang w:eastAsia="en-GB"/>
        </w:rPr>
        <w:t>RCTs</w:t>
      </w:r>
      <w:proofErr w:type="spellEnd"/>
      <w:r w:rsidRPr="00F42E10">
        <w:rPr>
          <w:rFonts w:eastAsia="Times New Roman" w:cs="Lucida Sans Unicode"/>
          <w:color w:val="403838"/>
          <w:sz w:val="20"/>
          <w:szCs w:val="20"/>
          <w:lang w:eastAsia="en-GB"/>
        </w:rPr>
        <w:t xml:space="preserve"> exclude clinically relevant patient subgroups (as defined by age, sex, race, ethnicity, and </w:t>
      </w:r>
      <w:proofErr w:type="spellStart"/>
      <w:r w:rsidRPr="00F42E10">
        <w:rPr>
          <w:rFonts w:eastAsia="Times New Roman" w:cs="Lucida Sans Unicode"/>
          <w:color w:val="403838"/>
          <w:sz w:val="20"/>
          <w:szCs w:val="20"/>
          <w:lang w:eastAsia="en-GB"/>
        </w:rPr>
        <w:t>comorbid</w:t>
      </w:r>
      <w:proofErr w:type="spellEnd"/>
      <w:r w:rsidRPr="00F42E10">
        <w:rPr>
          <w:rFonts w:eastAsia="Times New Roman" w:cs="Lucida Sans Unicode"/>
          <w:color w:val="403838"/>
          <w:sz w:val="20"/>
          <w:szCs w:val="20"/>
          <w:lang w:eastAsia="en-GB"/>
        </w:rPr>
        <w:t xml:space="preserve"> conditions), commonly used comparator interventions, important patient outcomes (such as quality of life and longer-term effect), and </w:t>
      </w:r>
      <w:proofErr w:type="spellStart"/>
      <w:r w:rsidRPr="00F42E10">
        <w:rPr>
          <w:rFonts w:eastAsia="Times New Roman" w:cs="Lucida Sans Unicode"/>
          <w:color w:val="403838"/>
          <w:sz w:val="20"/>
          <w:szCs w:val="20"/>
          <w:lang w:eastAsia="en-GB"/>
        </w:rPr>
        <w:t>nonexpert</w:t>
      </w:r>
      <w:proofErr w:type="spellEnd"/>
      <w:r w:rsidRPr="00F42E10">
        <w:rPr>
          <w:rFonts w:eastAsia="Times New Roman" w:cs="Lucida Sans Unicode"/>
          <w:color w:val="403838"/>
          <w:sz w:val="20"/>
          <w:szCs w:val="20"/>
          <w:lang w:eastAsia="en-GB"/>
        </w:rPr>
        <w:t xml:space="preserve"> providers </w:t>
      </w:r>
      <w:hyperlink r:id="rId15" w:anchor="ref-23" w:history="1">
        <w:r w:rsidRPr="00F42E10">
          <w:rPr>
            <w:rFonts w:eastAsia="Times New Roman" w:cs="Lucida Sans Unicode"/>
            <w:color w:val="0000FF"/>
            <w:sz w:val="20"/>
            <w:szCs w:val="20"/>
            <w:u w:val="single"/>
            <w:lang w:eastAsia="en-GB"/>
          </w:rPr>
          <w:t>(23)</w:t>
        </w:r>
      </w:hyperlink>
      <w:r w:rsidRPr="00F42E10">
        <w:rPr>
          <w:rFonts w:eastAsia="Times New Roman" w:cs="Lucida Sans Unicode"/>
          <w:color w:val="403838"/>
          <w:sz w:val="20"/>
          <w:szCs w:val="20"/>
          <w:lang w:eastAsia="en-GB"/>
        </w:rPr>
        <w:t xml:space="preserve">. These exclusions diminish the relevance of the trial results to some important clinical and policy decisions. Although exclusions of clinically important subgroups are sometimes due to risk–benefit concerns, they also reflect the purpose of most </w:t>
      </w:r>
      <w:proofErr w:type="spellStart"/>
      <w:r w:rsidRPr="00F42E10">
        <w:rPr>
          <w:rFonts w:eastAsia="Times New Roman" w:cs="Lucida Sans Unicode"/>
          <w:color w:val="403838"/>
          <w:sz w:val="20"/>
          <w:szCs w:val="20"/>
          <w:lang w:eastAsia="en-GB"/>
        </w:rPr>
        <w:t>RCTs</w:t>
      </w:r>
      <w:proofErr w:type="spellEnd"/>
      <w:r w:rsidRPr="00F42E10">
        <w:rPr>
          <w:rFonts w:eastAsia="Times New Roman" w:cs="Lucida Sans Unicode"/>
          <w:color w:val="403838"/>
          <w:sz w:val="20"/>
          <w:szCs w:val="20"/>
          <w:lang w:eastAsia="en-GB"/>
        </w:rPr>
        <w:t xml:space="preserve">: to determine an intervention's net benefit under ideal circumstances (efficacy), either to satisfy FDA marketing approval requirements or to provide insights into disease </w:t>
      </w:r>
      <w:proofErr w:type="spellStart"/>
      <w:r w:rsidRPr="00F42E10">
        <w:rPr>
          <w:rFonts w:eastAsia="Times New Roman" w:cs="Lucida Sans Unicode"/>
          <w:color w:val="403838"/>
          <w:sz w:val="20"/>
          <w:szCs w:val="20"/>
          <w:lang w:eastAsia="en-GB"/>
        </w:rPr>
        <w:t>etiology</w:t>
      </w:r>
      <w:proofErr w:type="spellEnd"/>
      <w:r w:rsidRPr="00F42E10">
        <w:rPr>
          <w:rFonts w:eastAsia="Times New Roman" w:cs="Lucida Sans Unicode"/>
          <w:color w:val="403838"/>
          <w:sz w:val="20"/>
          <w:szCs w:val="20"/>
          <w:lang w:eastAsia="en-GB"/>
        </w:rPr>
        <w:t xml:space="preserve"> and underlying mechanisms of disease </w:t>
      </w:r>
      <w:hyperlink r:id="rId16" w:anchor="ref-24" w:history="1">
        <w:r w:rsidRPr="00F42E10">
          <w:rPr>
            <w:rFonts w:eastAsia="Times New Roman" w:cs="Lucida Sans Unicode"/>
            <w:color w:val="0000FF"/>
            <w:sz w:val="20"/>
            <w:szCs w:val="20"/>
            <w:u w:val="single"/>
            <w:lang w:eastAsia="en-GB"/>
          </w:rPr>
          <w:t>(24)</w:t>
        </w:r>
      </w:hyperlink>
      <w:r w:rsidRPr="00F42E10">
        <w:rPr>
          <w:rFonts w:eastAsia="Times New Roman" w:cs="Lucida Sans Unicode"/>
          <w:color w:val="403838"/>
          <w:sz w:val="20"/>
          <w:szCs w:val="20"/>
          <w:lang w:eastAsia="en-GB"/>
        </w:rPr>
        <w:t xml:space="preserve">. These goals lead to tightly controlled study designs that are consequently less likely to reflect the conditions under which interventions are used in common clinical practice. The resulting trials frequently do not reach their potential value for health care decision making, which is a serious waste of resources. The </w:t>
      </w:r>
      <w:proofErr w:type="spellStart"/>
      <w:r w:rsidRPr="00F42E10">
        <w:rPr>
          <w:rFonts w:eastAsia="Times New Roman" w:cs="Lucida Sans Unicode"/>
          <w:color w:val="403838"/>
          <w:sz w:val="20"/>
          <w:szCs w:val="20"/>
          <w:lang w:eastAsia="en-GB"/>
        </w:rPr>
        <w:t>RCTs</w:t>
      </w:r>
      <w:proofErr w:type="spellEnd"/>
      <w:r w:rsidRPr="00F42E10">
        <w:rPr>
          <w:rFonts w:eastAsia="Times New Roman" w:cs="Lucida Sans Unicode"/>
          <w:color w:val="403838"/>
          <w:sz w:val="20"/>
          <w:szCs w:val="20"/>
          <w:lang w:eastAsia="en-GB"/>
        </w:rPr>
        <w:t xml:space="preserve"> whose explicit purpose is to be most informative to decision makers are called </w:t>
      </w:r>
      <w:r w:rsidRPr="00F42E10">
        <w:rPr>
          <w:rFonts w:eastAsia="Times New Roman" w:cs="Lucida Sans Unicode"/>
          <w:i/>
          <w:iCs/>
          <w:color w:val="403838"/>
          <w:sz w:val="20"/>
          <w:szCs w:val="20"/>
          <w:lang w:eastAsia="en-GB"/>
        </w:rPr>
        <w:t>pragmatic</w:t>
      </w:r>
      <w:r w:rsidRPr="00F42E10">
        <w:rPr>
          <w:rFonts w:eastAsia="Times New Roman" w:cs="Lucida Sans Unicode"/>
          <w:color w:val="403838"/>
          <w:sz w:val="20"/>
          <w:szCs w:val="20"/>
          <w:lang w:eastAsia="en-GB"/>
        </w:rPr>
        <w:t xml:space="preserve"> or </w:t>
      </w:r>
      <w:r w:rsidRPr="00F42E10">
        <w:rPr>
          <w:rFonts w:eastAsia="Times New Roman" w:cs="Lucida Sans Unicode"/>
          <w:i/>
          <w:iCs/>
          <w:color w:val="403838"/>
          <w:sz w:val="20"/>
          <w:szCs w:val="20"/>
          <w:lang w:eastAsia="en-GB"/>
        </w:rPr>
        <w:t>practical clinical trials</w:t>
      </w:r>
      <w:r w:rsidRPr="00F42E10">
        <w:rPr>
          <w:rFonts w:eastAsia="Times New Roman" w:cs="Lucida Sans Unicode"/>
          <w:color w:val="403838"/>
          <w:sz w:val="20"/>
          <w:szCs w:val="20"/>
          <w:lang w:eastAsia="en-GB"/>
        </w:rPr>
        <w:t xml:space="preserve"> (</w:t>
      </w:r>
      <w:proofErr w:type="spellStart"/>
      <w:r w:rsidRPr="00F42E10">
        <w:rPr>
          <w:rFonts w:eastAsia="Times New Roman" w:cs="Lucida Sans Unicode"/>
          <w:color w:val="403838"/>
          <w:sz w:val="20"/>
          <w:szCs w:val="20"/>
          <w:lang w:eastAsia="en-GB"/>
        </w:rPr>
        <w:t>PCTs</w:t>
      </w:r>
      <w:proofErr w:type="spellEnd"/>
      <w:r w:rsidRPr="00F42E10">
        <w:rPr>
          <w:rFonts w:eastAsia="Times New Roman" w:cs="Lucida Sans Unicode"/>
          <w:color w:val="403838"/>
          <w:sz w:val="20"/>
          <w:szCs w:val="20"/>
          <w:lang w:eastAsia="en-GB"/>
        </w:rPr>
        <w:t xml:space="preserve">) </w:t>
      </w:r>
      <w:hyperlink r:id="rId17" w:anchor="ref-23" w:history="1">
        <w:r w:rsidRPr="00F42E10">
          <w:rPr>
            <w:rFonts w:eastAsia="Times New Roman" w:cs="Lucida Sans Unicode"/>
            <w:color w:val="0000FF"/>
            <w:sz w:val="20"/>
            <w:szCs w:val="20"/>
            <w:u w:val="single"/>
            <w:lang w:eastAsia="en-GB"/>
          </w:rPr>
          <w:t>(23–26)</w:t>
        </w:r>
      </w:hyperlink>
      <w:r w:rsidRPr="00F42E10">
        <w:rPr>
          <w:rFonts w:eastAsia="Times New Roman" w:cs="Lucida Sans Unicode"/>
          <w:color w:val="403838"/>
          <w:sz w:val="20"/>
          <w:szCs w:val="20"/>
          <w:lang w:eastAsia="en-GB"/>
        </w:rPr>
        <w:t xml:space="preserve"> and are well aligned with the purpose of CER. … The very aspects of </w:t>
      </w:r>
      <w:proofErr w:type="spellStart"/>
      <w:r w:rsidRPr="00F42E10">
        <w:rPr>
          <w:rFonts w:eastAsia="Times New Roman" w:cs="Lucida Sans Unicode"/>
          <w:color w:val="403838"/>
          <w:sz w:val="20"/>
          <w:szCs w:val="20"/>
          <w:lang w:eastAsia="en-GB"/>
        </w:rPr>
        <w:t>PCTs</w:t>
      </w:r>
      <w:proofErr w:type="spellEnd"/>
      <w:r w:rsidRPr="00F42E10">
        <w:rPr>
          <w:rFonts w:eastAsia="Times New Roman" w:cs="Lucida Sans Unicode"/>
          <w:color w:val="403838"/>
          <w:sz w:val="20"/>
          <w:szCs w:val="20"/>
          <w:lang w:eastAsia="en-GB"/>
        </w:rPr>
        <w:t xml:space="preserve"> that make them most useful to decision makers sometimes make them more difficult to interpret from an explanatory perspective. It may not be clear from a PCT how biological, etiologic, or </w:t>
      </w:r>
      <w:proofErr w:type="spellStart"/>
      <w:r w:rsidRPr="00F42E10">
        <w:rPr>
          <w:rFonts w:eastAsia="Times New Roman" w:cs="Lucida Sans Unicode"/>
          <w:color w:val="403838"/>
          <w:sz w:val="20"/>
          <w:szCs w:val="20"/>
          <w:lang w:eastAsia="en-GB"/>
        </w:rPr>
        <w:t>behavioral</w:t>
      </w:r>
      <w:proofErr w:type="spellEnd"/>
      <w:r w:rsidRPr="00F42E10">
        <w:rPr>
          <w:rFonts w:eastAsia="Times New Roman" w:cs="Lucida Sans Unicode"/>
          <w:color w:val="403838"/>
          <w:sz w:val="20"/>
          <w:szCs w:val="20"/>
          <w:lang w:eastAsia="en-GB"/>
        </w:rPr>
        <w:t xml:space="preserve"> mechanisms interact to produce the observed clinical outcomes. For example, if efficacy has been established in a narrow population but effectiveness is not seen in a broader population, is this the result of misapplication of the intervention (poor patient adherence or provider performance) or the absence of an efficacy in a broader patient group? Addressing this important question may require RCT analytic approaches that borrow from the methods of observational studies, for which bias and confounding are endemic problems.’</w:t>
      </w:r>
    </w:p>
    <w:p w:rsidR="00960667" w:rsidRPr="00F42E10" w:rsidRDefault="00960667" w:rsidP="002A6C74">
      <w:pPr>
        <w:spacing w:before="100" w:beforeAutospacing="1" w:after="100" w:afterAutospacing="1" w:line="240" w:lineRule="auto"/>
      </w:pPr>
      <w:proofErr w:type="spellStart"/>
      <w:r w:rsidRPr="00F42E10">
        <w:rPr>
          <w:b/>
        </w:rPr>
        <w:t>Saif</w:t>
      </w:r>
      <w:proofErr w:type="spellEnd"/>
      <w:r w:rsidRPr="00F42E10">
        <w:rPr>
          <w:b/>
        </w:rPr>
        <w:t xml:space="preserve"> S. </w:t>
      </w:r>
      <w:proofErr w:type="spellStart"/>
      <w:r w:rsidRPr="00F42E10">
        <w:rPr>
          <w:b/>
        </w:rPr>
        <w:t>Rathore</w:t>
      </w:r>
      <w:proofErr w:type="spellEnd"/>
      <w:r w:rsidRPr="00F42E10">
        <w:rPr>
          <w:b/>
        </w:rPr>
        <w:t xml:space="preserve"> and Harlan M. </w:t>
      </w:r>
      <w:proofErr w:type="spellStart"/>
      <w:r w:rsidRPr="00F42E10">
        <w:rPr>
          <w:b/>
        </w:rPr>
        <w:t>Krumholz</w:t>
      </w:r>
      <w:proofErr w:type="spellEnd"/>
      <w:r w:rsidRPr="00F42E10">
        <w:rPr>
          <w:b/>
        </w:rPr>
        <w:t xml:space="preserve">, ‘ Race, Ethnic Group, And Clinical Research: Implications Of Incorporating Race And Ethnicity Into Trials Go Beyond Ethical Issues’, </w:t>
      </w:r>
      <w:r w:rsidRPr="00F42E10">
        <w:rPr>
          <w:b/>
          <w:i/>
        </w:rPr>
        <w:t>British Medical Journal</w:t>
      </w:r>
      <w:r w:rsidRPr="00F42E10">
        <w:rPr>
          <w:b/>
        </w:rPr>
        <w:t>, Vol. 327, No. 7418 (Oct. 4, 2003), pp. 763-764.</w:t>
      </w:r>
      <w:r w:rsidRPr="00F42E10">
        <w:t xml:space="preserve"> </w:t>
      </w:r>
      <w:r w:rsidRPr="00F42E10">
        <w:rPr>
          <w:sz w:val="20"/>
          <w:szCs w:val="20"/>
        </w:rPr>
        <w:t xml:space="preserve">“The stated rationale for ensuring adequate </w:t>
      </w:r>
      <w:r w:rsidRPr="00F42E10">
        <w:rPr>
          <w:sz w:val="20"/>
          <w:szCs w:val="20"/>
        </w:rPr>
        <w:lastRenderedPageBreak/>
        <w:t xml:space="preserve">representation of ethnic minorities in randomised trials is also contentious. Ensuring representation of minorities in randomised trials to ensure that no patients are excluded from clinical research for inappropriate reasons is a valid ethical reason for assessing enrolment rates for racial or ethnic groups. However, the recruitment of patients from minorities into randomised trials is often advocated in order to conduct subgroup analyses based on race. The assumption underlying this goal is that race and ethnic group represent valid biological constructs that may modify the effect of any drug studied in a randomised trial and thus necessitate race specific treatments. Although the utility of employing race and ethnic Although the utility of employing race and ethnic group in medical research remains a source of considerable debate, few would consider race to represent a unique biological factor that would modify the effect of any studied intervention. Instead race and ethnic group are assumed to serve as proxies for a mix of genetic, disease, social, behavioural, or clinical characteristics, which vary by group. </w:t>
      </w:r>
      <w:proofErr w:type="gramStart"/>
      <w:r w:rsidRPr="00F42E10">
        <w:rPr>
          <w:sz w:val="20"/>
          <w:szCs w:val="20"/>
        </w:rPr>
        <w:t>However, relying on analyses stratified by race or ethnic group, rather than directly assessing the specific factor, which may instead be correlated with group membership, perpetuates pseudoscientific rationalisations of the fundamentally social concepts of race and ethnic group.</w:t>
      </w:r>
      <w:proofErr w:type="gramEnd"/>
      <w:r w:rsidRPr="00F42E10">
        <w:rPr>
          <w:sz w:val="20"/>
          <w:szCs w:val="20"/>
        </w:rPr>
        <w:t xml:space="preserve"> No clearer example of this phenomenon exists than the lack of consistent labels or descriptions ascribed to racial groups.”</w:t>
      </w:r>
    </w:p>
    <w:p w:rsidR="00F42E10" w:rsidRPr="00F42E10" w:rsidRDefault="00F42E10" w:rsidP="00F42E10">
      <w:pPr>
        <w:shd w:val="clear" w:color="auto" w:fill="FFFFFF"/>
        <w:spacing w:before="225" w:after="225" w:line="240" w:lineRule="auto"/>
        <w:contextualSpacing/>
        <w:rPr>
          <w:rFonts w:eastAsia="Times New Roman" w:cs="Lucida Sans Unicode"/>
          <w:b/>
          <w:color w:val="403838"/>
          <w:lang w:eastAsia="en-GB"/>
        </w:rPr>
      </w:pPr>
      <w:r w:rsidRPr="00F42E10">
        <w:rPr>
          <w:rFonts w:eastAsia="Times New Roman" w:cs="Lucida Sans Unicode"/>
          <w:b/>
          <w:color w:val="403838"/>
          <w:lang w:eastAsia="en-GB"/>
        </w:rPr>
        <w:t xml:space="preserve">Extract from </w:t>
      </w:r>
      <w:r w:rsidRPr="00F42E10">
        <w:rPr>
          <w:rFonts w:cs="Arial"/>
          <w:b/>
        </w:rPr>
        <w:t xml:space="preserve">Hannah </w:t>
      </w:r>
      <w:proofErr w:type="spellStart"/>
      <w:r w:rsidRPr="00F42E10">
        <w:rPr>
          <w:rFonts w:cs="Arial"/>
          <w:b/>
        </w:rPr>
        <w:t>Bradby</w:t>
      </w:r>
      <w:proofErr w:type="spellEnd"/>
      <w:r w:rsidRPr="00F42E10">
        <w:rPr>
          <w:rFonts w:cs="Arial"/>
          <w:b/>
        </w:rPr>
        <w:t xml:space="preserve"> and James </w:t>
      </w:r>
      <w:proofErr w:type="spellStart"/>
      <w:r w:rsidRPr="00F42E10">
        <w:rPr>
          <w:rFonts w:cs="Arial"/>
          <w:b/>
        </w:rPr>
        <w:t>Nazroo</w:t>
      </w:r>
      <w:proofErr w:type="spellEnd"/>
      <w:r w:rsidRPr="00F42E10">
        <w:rPr>
          <w:rFonts w:cs="Arial"/>
          <w:b/>
        </w:rPr>
        <w:t xml:space="preserve">, ‘Health, Ethnicity and Race’ in William </w:t>
      </w:r>
      <w:proofErr w:type="spellStart"/>
      <w:r w:rsidRPr="00F42E10">
        <w:rPr>
          <w:rFonts w:cs="Arial"/>
          <w:b/>
        </w:rPr>
        <w:t>Cockerham</w:t>
      </w:r>
      <w:proofErr w:type="spellEnd"/>
      <w:r w:rsidRPr="00F42E10">
        <w:rPr>
          <w:rFonts w:cs="Arial"/>
          <w:b/>
        </w:rPr>
        <w:t>, ed., The New Blackwell Companion to Medical Sociology (Oxford: Wiley Blackwell, 2010): 113-129, at pp.121-123.</w:t>
      </w:r>
    </w:p>
    <w:p w:rsidR="00F42E10" w:rsidRPr="00572EA1" w:rsidRDefault="00F42E10" w:rsidP="00F42E10">
      <w:pPr>
        <w:spacing w:before="100" w:beforeAutospacing="1" w:after="100" w:afterAutospacing="1" w:line="240" w:lineRule="auto"/>
        <w:contextualSpacing/>
        <w:rPr>
          <w:rFonts w:eastAsia="Times New Roman" w:cs="Times New Roman"/>
          <w:sz w:val="20"/>
          <w:szCs w:val="20"/>
          <w:lang w:eastAsia="en-GB"/>
        </w:rPr>
      </w:pPr>
      <w:r w:rsidRPr="00F42E10">
        <w:rPr>
          <w:rFonts w:eastAsia="Times New Roman" w:cs="Times New Roman"/>
          <w:sz w:val="20"/>
          <w:szCs w:val="20"/>
          <w:lang w:eastAsia="en-GB"/>
        </w:rPr>
        <w:t>“</w:t>
      </w:r>
      <w:r w:rsidRPr="00572EA1">
        <w:rPr>
          <w:rFonts w:eastAsia="Times New Roman" w:cs="Times New Roman"/>
          <w:sz w:val="20"/>
          <w:szCs w:val="20"/>
          <w:lang w:eastAsia="en-GB"/>
        </w:rPr>
        <w:t xml:space="preserve">How can we make sense of the data showing differences in health across these broad race/ethnic groups? There is a strong temptation to read meaning directly into the categories the statistical data provide. Just as we might say that Pakistani men have high rates of unemployment, or Black American families are more likely to be headed by a single parent, so we might say that Bangladeshi people have poor health. It is then straightforward to go from this simple assertion to seeking an explanation for poor health in the nature of what it is to be (in this example) Bangladeshi. The impulse to resort to explanation based on an understanding of a reified category, stripped of contextual meaning and stereotyped, is strong. Just as we might seek explanations for higher rates of single parenthood in Black cultures, we can seek explanations for high rates of illness or disease in the cultures of the ethnic categories associated with these higher rates. Culture and genetics become all the more compelling as an explanatory variable for minority group difference when we see a diversity of outcomes across ethnic groups or across disease categories. So, if Pakistani people have high rates of heart disease, but Caribbean people do not, how can this </w:t>
      </w:r>
      <w:proofErr w:type="gramStart"/>
      <w:r w:rsidRPr="00572EA1">
        <w:rPr>
          <w:rFonts w:eastAsia="Times New Roman" w:cs="Times New Roman"/>
          <w:sz w:val="20"/>
          <w:szCs w:val="20"/>
          <w:lang w:eastAsia="en-GB"/>
        </w:rPr>
        <w:t>be</w:t>
      </w:r>
      <w:proofErr w:type="gramEnd"/>
      <w:r w:rsidRPr="00572EA1">
        <w:rPr>
          <w:rFonts w:eastAsia="Times New Roman" w:cs="Times New Roman"/>
          <w:sz w:val="20"/>
          <w:szCs w:val="20"/>
          <w:lang w:eastAsia="en-GB"/>
        </w:rPr>
        <w:t xml:space="preserve"> explained on the basis of an ethnic socioeconomic disadvantage? And if the low rates of respiratory illness and lung cancer among Pakistani people can be explained as a consequence of low rates of smoking, cannot “their” high rates of cardiovascular disease be similarly explained as a consequence of cultural traits?</w:t>
      </w:r>
    </w:p>
    <w:p w:rsidR="00F42E10" w:rsidRPr="00572EA1" w:rsidRDefault="00F42E10" w:rsidP="00F42E10">
      <w:pPr>
        <w:spacing w:before="100" w:beforeAutospacing="1" w:after="100" w:afterAutospacing="1" w:line="240" w:lineRule="auto"/>
        <w:contextualSpacing/>
        <w:rPr>
          <w:rFonts w:eastAsia="Times New Roman" w:cs="Times New Roman"/>
          <w:sz w:val="20"/>
          <w:szCs w:val="20"/>
          <w:lang w:eastAsia="en-GB"/>
        </w:rPr>
      </w:pPr>
      <w:r w:rsidRPr="00572EA1">
        <w:rPr>
          <w:rFonts w:eastAsia="Times New Roman" w:cs="Times New Roman"/>
          <w:sz w:val="20"/>
          <w:szCs w:val="20"/>
          <w:lang w:eastAsia="en-GB"/>
        </w:rPr>
        <w:t>If we are to develop adequate explanatory models for ethnic differences in health, we have to consider how the categories we use reflect heterogeneous social identities and how they relate to wider social and economic inequalities. In the UK, there has been a long tradition of investigating inequalities in health associated with factors such as class, residential area (for example, see the collection in Gordon et al. 1999), and gender (Annandale and Hunt 1999), producing strong evidence that these health disparities are a consequence of socioeconomic inequalities (Marmot and Wilkinson 2005). In the main, this work has not informed investigations of ethnic inequalities in health. This disjunction in the conceptual development of explanations of health inequalities is perhaps due to the impact of Marmot and colleagues’ (1984) study of immigrant mortality rates. Published shortly after the Black Report had put socioeconomic inequalities in health on the research agenda (Townsend and Davidson 1982), this study used the combination of British census and death certificate data to explore the relationship between country of birth and mortality rates (Marmot et al. 1984). A central finding was that there was no relationship between occupational class and mortality for immigrant groups, even though there was a clear relationship for those born in the UK. It was concluded that differences in socioeconomic position could not explain the higher mortality rates found in some migrant groups in the UK (Marmot et al. 1984).</w:t>
      </w:r>
    </w:p>
    <w:p w:rsidR="00F42E10" w:rsidRPr="00572EA1" w:rsidRDefault="00F42E10" w:rsidP="00F42E10">
      <w:pPr>
        <w:spacing w:before="100" w:beforeAutospacing="1" w:after="100" w:afterAutospacing="1" w:line="240" w:lineRule="auto"/>
        <w:contextualSpacing/>
        <w:rPr>
          <w:rFonts w:eastAsia="Times New Roman" w:cs="Times New Roman"/>
          <w:sz w:val="20"/>
          <w:szCs w:val="20"/>
          <w:lang w:eastAsia="en-GB"/>
        </w:rPr>
      </w:pPr>
      <w:r w:rsidRPr="00572EA1">
        <w:rPr>
          <w:rFonts w:eastAsia="Times New Roman" w:cs="Times New Roman"/>
          <w:sz w:val="20"/>
          <w:szCs w:val="20"/>
          <w:lang w:eastAsia="en-GB"/>
        </w:rPr>
        <w:t>From 1984, it took more than a decade for socioeconomic position to reappear in published UK data exploring the relationship between ethnicity and health. Conclusions drawn from analysis of immigrant mortality data did not appear to support a socioeconomic explanation for the different rates of mortality across immigrant and non-immigrant groups (Harding and Maxwell 1997). However, work on morbidity suggested that socioeconomic factors made a major contribution to ethnic differences in health (</w:t>
      </w:r>
      <w:proofErr w:type="spellStart"/>
      <w:r w:rsidRPr="00572EA1">
        <w:rPr>
          <w:rFonts w:eastAsia="Times New Roman" w:cs="Times New Roman"/>
          <w:sz w:val="20"/>
          <w:szCs w:val="20"/>
          <w:lang w:eastAsia="en-GB"/>
        </w:rPr>
        <w:t>Nazroo</w:t>
      </w:r>
      <w:proofErr w:type="spellEnd"/>
      <w:r w:rsidRPr="00572EA1">
        <w:rPr>
          <w:rFonts w:eastAsia="Times New Roman" w:cs="Times New Roman"/>
          <w:sz w:val="20"/>
          <w:szCs w:val="20"/>
          <w:lang w:eastAsia="en-GB"/>
        </w:rPr>
        <w:t xml:space="preserve"> 1997). Some continued to claim that socioeconomic inequalities make a minimal, or nonexistent, contribution to ethnic inequalities in health (Wild and </w:t>
      </w:r>
      <w:proofErr w:type="spellStart"/>
      <w:r w:rsidRPr="00572EA1">
        <w:rPr>
          <w:rFonts w:eastAsia="Times New Roman" w:cs="Times New Roman"/>
          <w:sz w:val="20"/>
          <w:szCs w:val="20"/>
          <w:lang w:eastAsia="en-GB"/>
        </w:rPr>
        <w:t>McKeigue</w:t>
      </w:r>
      <w:proofErr w:type="spellEnd"/>
      <w:r w:rsidRPr="00572EA1">
        <w:rPr>
          <w:rFonts w:eastAsia="Times New Roman" w:cs="Times New Roman"/>
          <w:sz w:val="20"/>
          <w:szCs w:val="20"/>
          <w:lang w:eastAsia="en-GB"/>
        </w:rPr>
        <w:t xml:space="preserve"> 1997). Such denials of the relevance of socioeconomic inequalities to </w:t>
      </w:r>
      <w:r w:rsidRPr="00572EA1">
        <w:rPr>
          <w:rFonts w:eastAsia="Times New Roman" w:cs="Times New Roman"/>
          <w:sz w:val="20"/>
          <w:szCs w:val="20"/>
          <w:lang w:eastAsia="en-GB"/>
        </w:rPr>
        <w:lastRenderedPageBreak/>
        <w:t xml:space="preserve">ethnic inequalities in health can be interrogated first by considering the limitations of quantitative empirical models. The sociological significance of ethnicity, ethnic relations, and ethnic identity cannot be captured in ethnic classifications. The role played by local and historical context, generation and period since migration, and so forth, is difficult to encapsulate in the proxies used, and is easily ignored when using crudely quantified categories that result in ethnicity being </w:t>
      </w:r>
      <w:proofErr w:type="spellStart"/>
      <w:r w:rsidRPr="00572EA1">
        <w:rPr>
          <w:rFonts w:eastAsia="Times New Roman" w:cs="Times New Roman"/>
          <w:sz w:val="20"/>
          <w:szCs w:val="20"/>
          <w:lang w:eastAsia="en-GB"/>
        </w:rPr>
        <w:t>operationalized</w:t>
      </w:r>
      <w:proofErr w:type="spellEnd"/>
      <w:r w:rsidRPr="00572EA1">
        <w:rPr>
          <w:rFonts w:eastAsia="Times New Roman" w:cs="Times New Roman"/>
          <w:sz w:val="20"/>
          <w:szCs w:val="20"/>
          <w:lang w:eastAsia="en-GB"/>
        </w:rPr>
        <w:t xml:space="preserve"> in fixed and reified terms. Furthermore, there is a lamentable lack of good, or often any, data on economic position in health studies, let alone data that can deal with other elements of social disadvantage faced by ethnic minority groups, such as inequalities related to geography and experiences of racial discrimination and harassment.</w:t>
      </w:r>
    </w:p>
    <w:p w:rsidR="00F42E10" w:rsidRPr="00572EA1" w:rsidRDefault="00F42E10" w:rsidP="00F42E10">
      <w:pPr>
        <w:spacing w:before="100" w:beforeAutospacing="1" w:after="100" w:afterAutospacing="1" w:line="240" w:lineRule="auto"/>
        <w:contextualSpacing/>
        <w:rPr>
          <w:rFonts w:eastAsia="Times New Roman" w:cs="Times New Roman"/>
          <w:sz w:val="20"/>
          <w:szCs w:val="20"/>
          <w:lang w:eastAsia="en-GB"/>
        </w:rPr>
      </w:pPr>
      <w:r w:rsidRPr="00572EA1">
        <w:rPr>
          <w:rFonts w:eastAsia="Times New Roman" w:cs="Times New Roman"/>
          <w:sz w:val="20"/>
          <w:szCs w:val="20"/>
          <w:lang w:eastAsia="en-GB"/>
        </w:rPr>
        <w:t>Despite the limitations of the data, there is an emerging consensus that a socioeconomic patterning of health is present within ethnic groups in developed countries. Analysis of the US Multiple Risk Factor Intervention Trial (MRFIT) data showed that all causes of mortality rates over its 16-year follow-up period had a very clear relationship to median income in the area of residence of respondents for both Black and White men. Mortality rates increased with decreasing income, resulting in a twofold difference in mortality rates between those in the top ($27,500 or higher) and those in the bottom (less than $10,000) annual income bands for both Black and White men (</w:t>
      </w:r>
      <w:proofErr w:type="spellStart"/>
      <w:r w:rsidRPr="00572EA1">
        <w:rPr>
          <w:rFonts w:eastAsia="Times New Roman" w:cs="Times New Roman"/>
          <w:sz w:val="20"/>
          <w:szCs w:val="20"/>
          <w:lang w:eastAsia="en-GB"/>
        </w:rPr>
        <w:t>Davey</w:t>
      </w:r>
      <w:proofErr w:type="spellEnd"/>
      <w:r w:rsidRPr="00572EA1">
        <w:rPr>
          <w:rFonts w:eastAsia="Times New Roman" w:cs="Times New Roman"/>
          <w:sz w:val="20"/>
          <w:szCs w:val="20"/>
          <w:lang w:eastAsia="en-GB"/>
        </w:rPr>
        <w:t xml:space="preserve"> Smith et al. 1998). Similarly, in data from England, rates of reporting fair or bad general health by household income show a clear relationship between reported general health and income for each of several ethnic groups included (</w:t>
      </w:r>
      <w:proofErr w:type="spellStart"/>
      <w:r w:rsidRPr="00572EA1">
        <w:rPr>
          <w:rFonts w:eastAsia="Times New Roman" w:cs="Times New Roman"/>
          <w:sz w:val="20"/>
          <w:szCs w:val="20"/>
          <w:lang w:eastAsia="en-GB"/>
        </w:rPr>
        <w:t>Nazroo</w:t>
      </w:r>
      <w:proofErr w:type="spellEnd"/>
      <w:r w:rsidRPr="00572EA1">
        <w:rPr>
          <w:rFonts w:eastAsia="Times New Roman" w:cs="Times New Roman"/>
          <w:sz w:val="20"/>
          <w:szCs w:val="20"/>
          <w:lang w:eastAsia="en-GB"/>
        </w:rPr>
        <w:t xml:space="preserve"> 2003). These analyses point to heterogeneity within broad ethnic groupings in health: for example, Black Americans in better socioeconomic positions have better health. There is nothing inevitable, or inherent, in the link between being Black American or being British Bangladeshi and a greater risk of mortality and morbidity. There is an urgent need to move beyond explanations that appeal to, and further cement, assumptions of </w:t>
      </w:r>
      <w:proofErr w:type="spellStart"/>
      <w:r w:rsidRPr="00572EA1">
        <w:rPr>
          <w:rFonts w:eastAsia="Times New Roman" w:cs="Times New Roman"/>
          <w:sz w:val="20"/>
          <w:szCs w:val="20"/>
          <w:lang w:eastAsia="en-GB"/>
        </w:rPr>
        <w:t>essentialized</w:t>
      </w:r>
      <w:proofErr w:type="spellEnd"/>
      <w:r w:rsidRPr="00572EA1">
        <w:rPr>
          <w:rFonts w:eastAsia="Times New Roman" w:cs="Times New Roman"/>
          <w:sz w:val="20"/>
          <w:szCs w:val="20"/>
          <w:lang w:eastAsia="en-GB"/>
        </w:rPr>
        <w:t xml:space="preserve"> and fixed ethnic or race effects.</w:t>
      </w:r>
    </w:p>
    <w:p w:rsidR="00F42E10" w:rsidRPr="00572EA1" w:rsidRDefault="00F42E10" w:rsidP="00F42E10">
      <w:pPr>
        <w:spacing w:before="100" w:beforeAutospacing="1" w:after="100" w:afterAutospacing="1" w:line="240" w:lineRule="auto"/>
        <w:contextualSpacing/>
        <w:rPr>
          <w:rFonts w:eastAsia="Times New Roman" w:cs="Times New Roman"/>
          <w:sz w:val="20"/>
          <w:szCs w:val="20"/>
          <w:lang w:eastAsia="en-GB"/>
        </w:rPr>
      </w:pPr>
      <w:r w:rsidRPr="00572EA1">
        <w:rPr>
          <w:rFonts w:eastAsia="Times New Roman" w:cs="Times New Roman"/>
          <w:sz w:val="20"/>
          <w:szCs w:val="20"/>
          <w:lang w:eastAsia="en-GB"/>
        </w:rPr>
        <w:t>If socioeconomic position is related to health within groups, it seems probable that inequalities in socioeconomic position across ethnic groups might be related to ethnic inequalities in health. Here the interpretation of data becomes more contentious. In most analyses, once adjustments for socioeconomic position have been made, there is a clear and often large reduction in risk for ethnic/racial minority groups. For example, analysis of the US MRFIT data showed that standardizing for mean household income in area of residence greatly reduced the relative risk for all causes of mortality of Black compared with White men – it dropped from 1.47 to 1.19, thereby statistically explaining about two thirds of the elevated mortality risk among Black men with this income measure (</w:t>
      </w:r>
      <w:proofErr w:type="spellStart"/>
      <w:r w:rsidRPr="00572EA1">
        <w:rPr>
          <w:rFonts w:eastAsia="Times New Roman" w:cs="Times New Roman"/>
          <w:sz w:val="20"/>
          <w:szCs w:val="20"/>
          <w:lang w:eastAsia="en-GB"/>
        </w:rPr>
        <w:t>Davey</w:t>
      </w:r>
      <w:proofErr w:type="spellEnd"/>
      <w:r w:rsidRPr="00572EA1">
        <w:rPr>
          <w:rFonts w:eastAsia="Times New Roman" w:cs="Times New Roman"/>
          <w:sz w:val="20"/>
          <w:szCs w:val="20"/>
          <w:lang w:eastAsia="en-GB"/>
        </w:rPr>
        <w:t xml:space="preserve"> Smith et al. 1998). Nevertheless, in such analyses, for most groups and for most health outcomes, differences remain once the adjustment for the socioeconomic indicator has been made. Here again, it is important to recognize the limitations of such quantitative models. The process of standardizing for socioeconomic position when making comparisons across groups assumes that all necessary factors are accounted for by the measures available (Kaufman, Cooper, and McGee 1997; Kaufman et al. 1998). Evidence from the UK indicates this assumption may be fallacious. An analysis of ethnic differences in income within class groups showed that, within each class group, ethnic minority people had a smaller income than White people (</w:t>
      </w:r>
      <w:proofErr w:type="spellStart"/>
      <w:r w:rsidRPr="00572EA1">
        <w:rPr>
          <w:rFonts w:eastAsia="Times New Roman" w:cs="Times New Roman"/>
          <w:sz w:val="20"/>
          <w:szCs w:val="20"/>
          <w:lang w:eastAsia="en-GB"/>
        </w:rPr>
        <w:t>Nazroo</w:t>
      </w:r>
      <w:proofErr w:type="spellEnd"/>
      <w:r w:rsidRPr="00572EA1">
        <w:rPr>
          <w:rFonts w:eastAsia="Times New Roman" w:cs="Times New Roman"/>
          <w:sz w:val="20"/>
          <w:szCs w:val="20"/>
          <w:lang w:eastAsia="en-GB"/>
        </w:rPr>
        <w:t xml:space="preserve"> 2001). Indeed, for the poorest group – Pakistani and Bangladeshi people – differences were twofold and equivalent in size to the difference between the richest and poorest class groups in the White population. Similar findings have been reported in the US. For example, within occupational groups, White people have higher incomes than Black people; once below the poverty line, Black people are more likely to remain in this situation than White people, and, within income strata, Black people have considerably lower wealth levels than White people and are less likely to be home owners (Oliver and Shapiro 1995). The implication of this is clear: Using either single or crude indicators of socioeconomic position does not “control out” the impact of socioeconomic position. Within any given level of a particular socioeconomic measure, the circumstances of minority people are less </w:t>
      </w:r>
      <w:proofErr w:type="spellStart"/>
      <w:r w:rsidRPr="00572EA1">
        <w:rPr>
          <w:rFonts w:eastAsia="Times New Roman" w:cs="Times New Roman"/>
          <w:sz w:val="20"/>
          <w:szCs w:val="20"/>
          <w:lang w:eastAsia="en-GB"/>
        </w:rPr>
        <w:t>favorable</w:t>
      </w:r>
      <w:proofErr w:type="spellEnd"/>
      <w:r w:rsidRPr="00572EA1">
        <w:rPr>
          <w:rFonts w:eastAsia="Times New Roman" w:cs="Times New Roman"/>
          <w:sz w:val="20"/>
          <w:szCs w:val="20"/>
          <w:lang w:eastAsia="en-GB"/>
        </w:rPr>
        <w:t xml:space="preserve"> than those of White people. Nevertheless, research typically presents data that are “standardized” for socioeconomic position, allowing both the author and reader to mistakenly assume that all that is left is an ethnic/race effect, often attributed to “cultural” or “genetic” difference.</w:t>
      </w:r>
    </w:p>
    <w:p w:rsidR="00F50234" w:rsidRPr="00F42E10" w:rsidRDefault="00F42E10" w:rsidP="00F42E10">
      <w:pPr>
        <w:spacing w:before="100" w:beforeAutospacing="1" w:after="100" w:afterAutospacing="1" w:line="240" w:lineRule="auto"/>
        <w:contextualSpacing/>
        <w:rPr>
          <w:rFonts w:eastAsia="Times New Roman" w:cs="Times New Roman"/>
          <w:sz w:val="20"/>
          <w:szCs w:val="20"/>
          <w:lang w:eastAsia="en-GB"/>
        </w:rPr>
      </w:pPr>
      <w:r w:rsidRPr="00572EA1">
        <w:rPr>
          <w:rFonts w:eastAsia="Times New Roman" w:cs="Times New Roman"/>
          <w:sz w:val="20"/>
          <w:szCs w:val="20"/>
          <w:lang w:eastAsia="en-GB"/>
        </w:rPr>
        <w:t xml:space="preserve">In addition, these kinds of analyses reflect current socioeconomic position only, since data assessing the effect of the life course and other forms of social disadvantage are not included. In fact, in the US, research on the links between health and experiences of racism and discrimination (crucial as a form of social disadvantage) has shown a relationship between self-reported experiences of racial harassment and a greater likelihood of reporting various measures of ill health, including hypertension, psychological distress, poorer self-rated health, and days spent unwell in bed (Krieger 2000; Krieger and Sidney 1996; Williams, </w:t>
      </w:r>
      <w:proofErr w:type="spellStart"/>
      <w:r w:rsidRPr="00572EA1">
        <w:rPr>
          <w:rFonts w:eastAsia="Times New Roman" w:cs="Times New Roman"/>
          <w:sz w:val="20"/>
          <w:szCs w:val="20"/>
          <w:lang w:eastAsia="en-GB"/>
        </w:rPr>
        <w:t>Neighbors</w:t>
      </w:r>
      <w:proofErr w:type="spellEnd"/>
      <w:r w:rsidRPr="00572EA1">
        <w:rPr>
          <w:rFonts w:eastAsia="Times New Roman" w:cs="Times New Roman"/>
          <w:sz w:val="20"/>
          <w:szCs w:val="20"/>
          <w:lang w:eastAsia="en-GB"/>
        </w:rPr>
        <w:t>, and Jackson 2003). In the UK, analyses have shown a relationship between reports of experiences of racial harassment, perceptions of racial discrimination, and being fearful of racism and a range of physical and mental health outcomes across ethnic groups (</w:t>
      </w:r>
      <w:proofErr w:type="spellStart"/>
      <w:r w:rsidRPr="00572EA1">
        <w:rPr>
          <w:rFonts w:eastAsia="Times New Roman" w:cs="Times New Roman"/>
          <w:sz w:val="20"/>
          <w:szCs w:val="20"/>
          <w:lang w:eastAsia="en-GB"/>
        </w:rPr>
        <w:t>Karlsen</w:t>
      </w:r>
      <w:proofErr w:type="spellEnd"/>
      <w:r w:rsidRPr="00572EA1">
        <w:rPr>
          <w:rFonts w:eastAsia="Times New Roman" w:cs="Times New Roman"/>
          <w:sz w:val="20"/>
          <w:szCs w:val="20"/>
          <w:lang w:eastAsia="en-GB"/>
        </w:rPr>
        <w:t xml:space="preserve"> and </w:t>
      </w:r>
      <w:proofErr w:type="spellStart"/>
      <w:r w:rsidRPr="00572EA1">
        <w:rPr>
          <w:rFonts w:eastAsia="Times New Roman" w:cs="Times New Roman"/>
          <w:sz w:val="20"/>
          <w:szCs w:val="20"/>
          <w:lang w:eastAsia="en-GB"/>
        </w:rPr>
        <w:t>Nazroo</w:t>
      </w:r>
      <w:proofErr w:type="spellEnd"/>
      <w:r w:rsidRPr="00572EA1">
        <w:rPr>
          <w:rFonts w:eastAsia="Times New Roman" w:cs="Times New Roman"/>
          <w:sz w:val="20"/>
          <w:szCs w:val="20"/>
          <w:lang w:eastAsia="en-GB"/>
        </w:rPr>
        <w:t xml:space="preserve"> 2002a, 2002b, 2004; </w:t>
      </w:r>
      <w:proofErr w:type="spellStart"/>
      <w:r w:rsidRPr="00572EA1">
        <w:rPr>
          <w:rFonts w:eastAsia="Times New Roman" w:cs="Times New Roman"/>
          <w:sz w:val="20"/>
          <w:szCs w:val="20"/>
          <w:lang w:eastAsia="en-GB"/>
        </w:rPr>
        <w:t>Karlsen</w:t>
      </w:r>
      <w:proofErr w:type="spellEnd"/>
      <w:r w:rsidRPr="00572EA1">
        <w:rPr>
          <w:rFonts w:eastAsia="Times New Roman" w:cs="Times New Roman"/>
          <w:sz w:val="20"/>
          <w:szCs w:val="20"/>
          <w:lang w:eastAsia="en-GB"/>
        </w:rPr>
        <w:t xml:space="preserve"> et al. 2005).</w:t>
      </w:r>
      <w:r w:rsidRPr="00F42E10">
        <w:rPr>
          <w:rFonts w:eastAsia="Times New Roman" w:cs="Times New Roman"/>
          <w:sz w:val="20"/>
          <w:szCs w:val="20"/>
          <w:lang w:eastAsia="en-GB"/>
        </w:rPr>
        <w:t>”</w:t>
      </w:r>
    </w:p>
    <w:sectPr w:rsidR="00F50234" w:rsidRPr="00F42E10" w:rsidSect="005555AD">
      <w:endnotePr>
        <w:numFmt w:val="decimal"/>
      </w:endnotePr>
      <w:pgSz w:w="11906" w:h="16838"/>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33E1" w:rsidRDefault="006733E1" w:rsidP="00F50234">
      <w:pPr>
        <w:spacing w:after="0" w:line="240" w:lineRule="auto"/>
      </w:pPr>
      <w:r>
        <w:separator/>
      </w:r>
    </w:p>
  </w:endnote>
  <w:endnote w:type="continuationSeparator" w:id="0">
    <w:p w:rsidR="006733E1" w:rsidRDefault="006733E1" w:rsidP="00F5023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pitch w:val="variable"/>
    <w:sig w:usb0="61002A87" w:usb1="80000000" w:usb2="00000008" w:usb3="00000000" w:csb0="000101FF" w:csb1="00000000"/>
  </w:font>
  <w:font w:name="Lucida Sans Unicode">
    <w:panose1 w:val="020B0602030504020204"/>
    <w:charset w:val="00"/>
    <w:family w:val="swiss"/>
    <w:pitch w:val="variable"/>
    <w:sig w:usb0="80000AFF" w:usb1="0000396B" w:usb2="00000000" w:usb3="00000000" w:csb0="0000003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33E1" w:rsidRDefault="006733E1" w:rsidP="00F50234">
      <w:pPr>
        <w:spacing w:after="0" w:line="240" w:lineRule="auto"/>
      </w:pPr>
      <w:r>
        <w:separator/>
      </w:r>
    </w:p>
  </w:footnote>
  <w:footnote w:type="continuationSeparator" w:id="0">
    <w:p w:rsidR="006733E1" w:rsidRDefault="006733E1" w:rsidP="00F50234">
      <w:pPr>
        <w:spacing w:after="0" w:line="240" w:lineRule="auto"/>
      </w:pPr>
      <w:r>
        <w:continuationSeparator/>
      </w:r>
    </w:p>
  </w:footnote>
  <w:footnote w:id="1">
    <w:p w:rsidR="00960667" w:rsidRPr="00611D9C" w:rsidRDefault="00960667">
      <w:pPr>
        <w:pStyle w:val="FootnoteText"/>
      </w:pPr>
      <w:r w:rsidRPr="00611D9C">
        <w:rPr>
          <w:rStyle w:val="FootnoteReference"/>
        </w:rPr>
        <w:footnoteRef/>
      </w:r>
      <w:r w:rsidRPr="00611D9C">
        <w:t xml:space="preserve"> In the interests of full disclosure, I should add that I searched </w:t>
      </w:r>
      <w:proofErr w:type="spellStart"/>
      <w:r w:rsidRPr="00611D9C">
        <w:t>PubMed</w:t>
      </w:r>
      <w:proofErr w:type="spellEnd"/>
      <w:r w:rsidRPr="00611D9C">
        <w:t xml:space="preserve">, </w:t>
      </w:r>
      <w:proofErr w:type="spellStart"/>
      <w:r w:rsidRPr="00611D9C">
        <w:t>ResearchPro</w:t>
      </w:r>
      <w:proofErr w:type="spellEnd"/>
      <w:r w:rsidRPr="00611D9C">
        <w:t xml:space="preserve">, JSTOR, </w:t>
      </w:r>
      <w:proofErr w:type="spellStart"/>
      <w:r w:rsidRPr="00611D9C">
        <w:t>ProjectMuse</w:t>
      </w:r>
      <w:proofErr w:type="spellEnd"/>
      <w:r w:rsidRPr="00611D9C">
        <w:t xml:space="preserve">, and </w:t>
      </w:r>
      <w:proofErr w:type="spellStart"/>
      <w:r w:rsidRPr="00611D9C">
        <w:t>PLoS</w:t>
      </w:r>
      <w:proofErr w:type="spellEnd"/>
      <w:r w:rsidRPr="00611D9C">
        <w:t xml:space="preserve"> using the terms ‘clinical trial’ and ‘ethnic’, ‘ethnicity’, picking out the articles that looked interesting (to me!), or that were widely cited across the fields that concern us today. </w:t>
      </w:r>
    </w:p>
  </w:footnote>
  <w:footnote w:id="2">
    <w:p w:rsidR="00960667" w:rsidRPr="00611D9C" w:rsidRDefault="00960667" w:rsidP="00C7239C">
      <w:pPr>
        <w:rPr>
          <w:sz w:val="20"/>
          <w:szCs w:val="20"/>
        </w:rPr>
      </w:pPr>
      <w:r w:rsidRPr="00611D9C">
        <w:rPr>
          <w:rStyle w:val="FootnoteReference"/>
          <w:sz w:val="20"/>
          <w:szCs w:val="20"/>
        </w:rPr>
        <w:footnoteRef/>
      </w:r>
      <w:r w:rsidRPr="00611D9C">
        <w:rPr>
          <w:sz w:val="20"/>
          <w:szCs w:val="20"/>
        </w:rPr>
        <w:t xml:space="preserve"> </w:t>
      </w:r>
      <w:proofErr w:type="spellStart"/>
      <w:proofErr w:type="gramStart"/>
      <w:r w:rsidRPr="00611D9C">
        <w:rPr>
          <w:sz w:val="20"/>
          <w:szCs w:val="20"/>
        </w:rPr>
        <w:t>Aspinall</w:t>
      </w:r>
      <w:proofErr w:type="spellEnd"/>
      <w:r w:rsidRPr="00611D9C">
        <w:rPr>
          <w:sz w:val="20"/>
          <w:szCs w:val="20"/>
        </w:rPr>
        <w:t xml:space="preserve"> PJ, Jacobson B. ‘Why poor quality of ethnicity data should not preclude its use for identifying disparities in health and healthcare’, </w:t>
      </w:r>
      <w:r w:rsidRPr="00611D9C">
        <w:rPr>
          <w:i/>
          <w:sz w:val="20"/>
          <w:szCs w:val="20"/>
        </w:rPr>
        <w:t>Quality and Safety in Health Care</w:t>
      </w:r>
      <w:r w:rsidRPr="00611D9C">
        <w:rPr>
          <w:sz w:val="20"/>
          <w:szCs w:val="20"/>
        </w:rPr>
        <w:t xml:space="preserve"> (2007)16:1 76-80.</w:t>
      </w:r>
      <w:proofErr w:type="gramEnd"/>
    </w:p>
  </w:footnote>
  <w:footnote w:id="3">
    <w:p w:rsidR="00960667" w:rsidRPr="00611D9C" w:rsidRDefault="00960667" w:rsidP="009C5EE0">
      <w:pPr>
        <w:spacing w:after="0" w:line="240" w:lineRule="auto"/>
        <w:rPr>
          <w:rFonts w:eastAsia="Times New Roman" w:cs="Arial"/>
          <w:sz w:val="20"/>
          <w:szCs w:val="20"/>
          <w:lang w:eastAsia="en-GB"/>
        </w:rPr>
      </w:pPr>
      <w:r w:rsidRPr="00611D9C">
        <w:rPr>
          <w:rStyle w:val="FootnoteReference"/>
          <w:sz w:val="20"/>
          <w:szCs w:val="20"/>
        </w:rPr>
        <w:footnoteRef/>
      </w:r>
      <w:r w:rsidRPr="00611D9C">
        <w:rPr>
          <w:sz w:val="20"/>
          <w:szCs w:val="20"/>
        </w:rPr>
        <w:t xml:space="preserve"> </w:t>
      </w:r>
      <w:r w:rsidRPr="00611D9C">
        <w:rPr>
          <w:rFonts w:cs="Arial"/>
          <w:sz w:val="20"/>
          <w:szCs w:val="20"/>
        </w:rPr>
        <w:t xml:space="preserve">Stacie E. Geller, Abby Koch, Beth </w:t>
      </w:r>
      <w:proofErr w:type="spellStart"/>
      <w:r w:rsidRPr="00611D9C">
        <w:rPr>
          <w:rFonts w:cs="Arial"/>
          <w:sz w:val="20"/>
          <w:szCs w:val="20"/>
        </w:rPr>
        <w:t>Pellettieri</w:t>
      </w:r>
      <w:proofErr w:type="spellEnd"/>
      <w:r w:rsidRPr="00611D9C">
        <w:rPr>
          <w:rFonts w:cs="Arial"/>
          <w:sz w:val="20"/>
          <w:szCs w:val="20"/>
        </w:rPr>
        <w:t>, Molly Carnes. ‘</w:t>
      </w:r>
      <w:r w:rsidRPr="00611D9C">
        <w:rPr>
          <w:sz w:val="20"/>
          <w:szCs w:val="20"/>
          <w:lang w:eastAsia="en-GB"/>
        </w:rPr>
        <w:t>Inclusion, Analysis, and Reporting of Sex and Race/Ethnicity in Clinical Trials: Have We Made Progress?</w:t>
      </w:r>
      <w:proofErr w:type="gramStart"/>
      <w:r w:rsidRPr="00611D9C">
        <w:rPr>
          <w:sz w:val="20"/>
          <w:szCs w:val="20"/>
          <w:lang w:eastAsia="en-GB"/>
        </w:rPr>
        <w:t>’,</w:t>
      </w:r>
      <w:proofErr w:type="gramEnd"/>
      <w:r w:rsidRPr="00611D9C">
        <w:rPr>
          <w:sz w:val="20"/>
          <w:szCs w:val="20"/>
          <w:lang w:eastAsia="en-GB"/>
        </w:rPr>
        <w:t xml:space="preserve"> </w:t>
      </w:r>
      <w:r w:rsidRPr="00611D9C">
        <w:rPr>
          <w:rFonts w:cs="Arial"/>
          <w:i/>
          <w:sz w:val="20"/>
          <w:szCs w:val="20"/>
        </w:rPr>
        <w:t>Journal of Women's Health</w:t>
      </w:r>
      <w:r w:rsidRPr="00611D9C">
        <w:rPr>
          <w:rFonts w:cs="Arial"/>
          <w:sz w:val="20"/>
          <w:szCs w:val="20"/>
        </w:rPr>
        <w:t xml:space="preserve">. -Not available-, ahead of print. doi:10.1089/jwh.2010.2469. </w:t>
      </w:r>
      <w:r w:rsidRPr="00611D9C">
        <w:rPr>
          <w:rFonts w:eastAsia="Times New Roman" w:cs="Arial"/>
          <w:i/>
          <w:iCs/>
          <w:sz w:val="20"/>
          <w:szCs w:val="20"/>
          <w:lang w:eastAsia="en-GB"/>
        </w:rPr>
        <w:t>E-mail:</w:t>
      </w:r>
      <w:r w:rsidRPr="00611D9C">
        <w:rPr>
          <w:rFonts w:eastAsia="Times New Roman" w:cs="Arial"/>
          <w:sz w:val="20"/>
          <w:szCs w:val="20"/>
          <w:lang w:eastAsia="en-GB"/>
        </w:rPr>
        <w:t xml:space="preserve"> </w:t>
      </w:r>
      <w:hyperlink r:id="rId1" w:history="1">
        <w:r w:rsidRPr="00611D9C">
          <w:rPr>
            <w:rFonts w:eastAsia="Times New Roman" w:cs="Arial"/>
            <w:color w:val="0000FF"/>
            <w:sz w:val="20"/>
            <w:szCs w:val="20"/>
            <w:u w:val="single"/>
            <w:lang w:eastAsia="en-GB"/>
          </w:rPr>
          <w:t>sgeller@uic.edu</w:t>
        </w:r>
      </w:hyperlink>
    </w:p>
    <w:p w:rsidR="00960667" w:rsidRPr="00611D9C" w:rsidRDefault="00960667" w:rsidP="009C5EE0">
      <w:pPr>
        <w:spacing w:after="0" w:line="240" w:lineRule="auto"/>
        <w:rPr>
          <w:rFonts w:eastAsia="Times New Roman" w:cs="Arial"/>
          <w:sz w:val="20"/>
          <w:szCs w:val="20"/>
          <w:lang w:eastAsia="en-GB"/>
        </w:rPr>
      </w:pPr>
    </w:p>
  </w:footnote>
  <w:footnote w:id="4">
    <w:p w:rsidR="00960667" w:rsidRPr="00611D9C" w:rsidRDefault="00960667" w:rsidP="00A55828">
      <w:pPr>
        <w:spacing w:after="0" w:line="240" w:lineRule="auto"/>
        <w:rPr>
          <w:rFonts w:eastAsia="Times New Roman" w:cs="Arial"/>
          <w:color w:val="222222"/>
          <w:sz w:val="20"/>
          <w:szCs w:val="20"/>
          <w:lang w:eastAsia="en-GB"/>
        </w:rPr>
      </w:pPr>
      <w:r w:rsidRPr="00611D9C">
        <w:rPr>
          <w:rStyle w:val="FootnoteReference"/>
          <w:sz w:val="20"/>
          <w:szCs w:val="20"/>
        </w:rPr>
        <w:footnoteRef/>
      </w:r>
      <w:r w:rsidRPr="00611D9C">
        <w:rPr>
          <w:sz w:val="20"/>
          <w:szCs w:val="20"/>
        </w:rPr>
        <w:t xml:space="preserve"> See </w:t>
      </w:r>
      <w:r w:rsidRPr="00611D9C">
        <w:rPr>
          <w:sz w:val="20"/>
          <w:szCs w:val="20"/>
          <w:lang w:eastAsia="en-GB"/>
        </w:rPr>
        <w:t xml:space="preserve">J West, J Wright, D </w:t>
      </w:r>
      <w:proofErr w:type="spellStart"/>
      <w:r w:rsidRPr="00611D9C">
        <w:rPr>
          <w:sz w:val="20"/>
          <w:szCs w:val="20"/>
          <w:lang w:eastAsia="en-GB"/>
        </w:rPr>
        <w:t>Tuffnell</w:t>
      </w:r>
      <w:proofErr w:type="spellEnd"/>
      <w:r w:rsidRPr="00611D9C">
        <w:rPr>
          <w:sz w:val="20"/>
          <w:szCs w:val="20"/>
          <w:lang w:eastAsia="en-GB"/>
        </w:rPr>
        <w:t xml:space="preserve">, D </w:t>
      </w:r>
      <w:proofErr w:type="spellStart"/>
      <w:r w:rsidRPr="00611D9C">
        <w:rPr>
          <w:sz w:val="20"/>
          <w:szCs w:val="20"/>
          <w:lang w:eastAsia="en-GB"/>
        </w:rPr>
        <w:t>Jankowicz</w:t>
      </w:r>
      <w:proofErr w:type="spellEnd"/>
      <w:r w:rsidRPr="00611D9C">
        <w:rPr>
          <w:sz w:val="20"/>
          <w:szCs w:val="20"/>
          <w:lang w:eastAsia="en-GB"/>
        </w:rPr>
        <w:t xml:space="preserve">, </w:t>
      </w:r>
      <w:proofErr w:type="gramStart"/>
      <w:r w:rsidRPr="00611D9C">
        <w:rPr>
          <w:sz w:val="20"/>
          <w:szCs w:val="20"/>
          <w:lang w:eastAsia="en-GB"/>
        </w:rPr>
        <w:t>R</w:t>
      </w:r>
      <w:proofErr w:type="gramEnd"/>
      <w:r w:rsidRPr="00611D9C">
        <w:rPr>
          <w:sz w:val="20"/>
          <w:szCs w:val="20"/>
          <w:lang w:eastAsia="en-GB"/>
        </w:rPr>
        <w:t xml:space="preserve"> West</w:t>
      </w:r>
      <w:r w:rsidRPr="00611D9C">
        <w:rPr>
          <w:sz w:val="20"/>
          <w:szCs w:val="20"/>
        </w:rPr>
        <w:t>, ‘</w:t>
      </w:r>
      <w:r w:rsidRPr="00611D9C">
        <w:rPr>
          <w:sz w:val="20"/>
          <w:szCs w:val="20"/>
          <w:lang w:eastAsia="en-GB"/>
        </w:rPr>
        <w:t xml:space="preserve">Do clinical trials improve quality of care? A comparison of clinical processes and outcomes in patients in a clinical trial and similar patients outside a trial where both groups are managed according to a strict protocol’, </w:t>
      </w:r>
      <w:r w:rsidRPr="00611D9C">
        <w:rPr>
          <w:i/>
          <w:sz w:val="20"/>
          <w:szCs w:val="20"/>
          <w:lang w:eastAsia="en-GB"/>
        </w:rPr>
        <w:t xml:space="preserve">Quality and Safety in Health Care </w:t>
      </w:r>
      <w:r w:rsidRPr="00611D9C">
        <w:rPr>
          <w:sz w:val="20"/>
          <w:szCs w:val="20"/>
          <w:lang w:eastAsia="en-GB"/>
        </w:rPr>
        <w:t>2005</w:t>
      </w:r>
      <w:proofErr w:type="gramStart"/>
      <w:r w:rsidRPr="00611D9C">
        <w:rPr>
          <w:sz w:val="20"/>
          <w:szCs w:val="20"/>
          <w:lang w:eastAsia="en-GB"/>
        </w:rPr>
        <w:t>;14:175</w:t>
      </w:r>
      <w:proofErr w:type="gramEnd"/>
      <w:r w:rsidRPr="00611D9C">
        <w:rPr>
          <w:sz w:val="20"/>
          <w:szCs w:val="20"/>
          <w:lang w:eastAsia="en-GB"/>
        </w:rPr>
        <w:t xml:space="preserve">-178, </w:t>
      </w:r>
      <w:r w:rsidRPr="00611D9C">
        <w:rPr>
          <w:rFonts w:eastAsia="Times New Roman" w:cs="Arial"/>
          <w:color w:val="222222"/>
          <w:sz w:val="20"/>
          <w:szCs w:val="20"/>
          <w:lang w:eastAsia="en-GB"/>
        </w:rPr>
        <w:t>which helpfully cites a range of recent articles assessing the benefits of clinical trials, as well as presenting evidence that those benefits derive from the strict use of protocols rather than other factors.</w:t>
      </w:r>
    </w:p>
    <w:p w:rsidR="00960667" w:rsidRPr="00611D9C" w:rsidRDefault="00960667">
      <w:pPr>
        <w:pStyle w:val="FootnoteText"/>
      </w:pPr>
    </w:p>
  </w:footnote>
  <w:footnote w:id="5">
    <w:p w:rsidR="00960667" w:rsidRPr="00F42E10" w:rsidRDefault="00960667" w:rsidP="00F42E10">
      <w:pPr>
        <w:pStyle w:val="Default"/>
        <w:rPr>
          <w:rFonts w:asciiTheme="minorHAnsi" w:hAnsiTheme="minorHAnsi"/>
          <w:sz w:val="20"/>
          <w:szCs w:val="20"/>
        </w:rPr>
      </w:pPr>
      <w:r w:rsidRPr="00611D9C">
        <w:rPr>
          <w:rStyle w:val="FootnoteReference"/>
          <w:rFonts w:asciiTheme="minorHAnsi" w:hAnsiTheme="minorHAnsi"/>
          <w:sz w:val="20"/>
          <w:szCs w:val="20"/>
        </w:rPr>
        <w:footnoteRef/>
      </w:r>
      <w:r w:rsidRPr="00611D9C">
        <w:rPr>
          <w:rFonts w:asciiTheme="minorHAnsi" w:hAnsiTheme="minorHAnsi"/>
          <w:sz w:val="20"/>
          <w:szCs w:val="20"/>
        </w:rPr>
        <w:t xml:space="preserve"> See also </w:t>
      </w:r>
      <w:proofErr w:type="spellStart"/>
      <w:r w:rsidRPr="00611D9C">
        <w:rPr>
          <w:rFonts w:asciiTheme="minorHAnsi" w:hAnsiTheme="minorHAnsi"/>
          <w:sz w:val="20"/>
          <w:szCs w:val="20"/>
        </w:rPr>
        <w:t>Saif</w:t>
      </w:r>
      <w:proofErr w:type="spellEnd"/>
      <w:r w:rsidRPr="00611D9C">
        <w:rPr>
          <w:rFonts w:asciiTheme="minorHAnsi" w:hAnsiTheme="minorHAnsi"/>
          <w:sz w:val="20"/>
          <w:szCs w:val="20"/>
        </w:rPr>
        <w:t xml:space="preserve"> S. </w:t>
      </w:r>
      <w:proofErr w:type="spellStart"/>
      <w:r w:rsidRPr="00611D9C">
        <w:rPr>
          <w:rFonts w:asciiTheme="minorHAnsi" w:hAnsiTheme="minorHAnsi"/>
          <w:sz w:val="20"/>
          <w:szCs w:val="20"/>
        </w:rPr>
        <w:t>Rathore</w:t>
      </w:r>
      <w:proofErr w:type="spellEnd"/>
      <w:r w:rsidRPr="00611D9C">
        <w:rPr>
          <w:rFonts w:asciiTheme="minorHAnsi" w:hAnsiTheme="minorHAnsi"/>
          <w:sz w:val="20"/>
          <w:szCs w:val="20"/>
        </w:rPr>
        <w:t xml:space="preserve"> and Harlan M. </w:t>
      </w:r>
      <w:proofErr w:type="spellStart"/>
      <w:r w:rsidRPr="00611D9C">
        <w:rPr>
          <w:rFonts w:asciiTheme="minorHAnsi" w:hAnsiTheme="minorHAnsi"/>
          <w:sz w:val="20"/>
          <w:szCs w:val="20"/>
        </w:rPr>
        <w:t>Krumholz</w:t>
      </w:r>
      <w:proofErr w:type="spellEnd"/>
      <w:r w:rsidRPr="00611D9C">
        <w:rPr>
          <w:rFonts w:asciiTheme="minorHAnsi" w:hAnsiTheme="minorHAnsi"/>
          <w:sz w:val="20"/>
          <w:szCs w:val="20"/>
        </w:rPr>
        <w:t xml:space="preserve">, ‘ Race, Ethnic Group, And Clinical Research: Implications Of Incorporating Race And Ethnicity Into Trials Go Beyond Ethical Issues’, </w:t>
      </w:r>
      <w:r w:rsidRPr="00611D9C">
        <w:rPr>
          <w:rFonts w:asciiTheme="minorHAnsi" w:hAnsiTheme="minorHAnsi"/>
          <w:i/>
          <w:sz w:val="20"/>
          <w:szCs w:val="20"/>
        </w:rPr>
        <w:t>British Medical Journal</w:t>
      </w:r>
      <w:r w:rsidRPr="00611D9C">
        <w:rPr>
          <w:rFonts w:asciiTheme="minorHAnsi" w:hAnsiTheme="minorHAnsi"/>
          <w:sz w:val="20"/>
          <w:szCs w:val="20"/>
        </w:rPr>
        <w:t xml:space="preserve">, Vol. 327, No. 7418 (Oct. 4, 2003), pp. 763-764. </w:t>
      </w:r>
    </w:p>
  </w:footnote>
  <w:footnote w:id="6">
    <w:p w:rsidR="00960667" w:rsidRPr="00F42E10" w:rsidRDefault="00960667" w:rsidP="00611D9C">
      <w:pPr>
        <w:shd w:val="clear" w:color="auto" w:fill="FFFFFF"/>
        <w:spacing w:before="225" w:after="225" w:line="240" w:lineRule="auto"/>
        <w:rPr>
          <w:sz w:val="20"/>
          <w:szCs w:val="20"/>
        </w:rPr>
      </w:pPr>
      <w:r w:rsidRPr="00611D9C">
        <w:rPr>
          <w:rStyle w:val="FootnoteReference"/>
          <w:sz w:val="20"/>
          <w:szCs w:val="20"/>
        </w:rPr>
        <w:footnoteRef/>
      </w:r>
      <w:r w:rsidRPr="00611D9C">
        <w:rPr>
          <w:sz w:val="20"/>
          <w:szCs w:val="20"/>
        </w:rPr>
        <w:t xml:space="preserve"> </w:t>
      </w:r>
      <w:hyperlink r:id="rId2" w:history="1">
        <w:r w:rsidRPr="00611D9C">
          <w:rPr>
            <w:rStyle w:val="Hyperlink"/>
            <w:color w:val="auto"/>
            <w:sz w:val="20"/>
            <w:szCs w:val="20"/>
            <w:u w:val="none"/>
          </w:rPr>
          <w:t>Bryan R. Luce</w:t>
        </w:r>
      </w:hyperlink>
      <w:r w:rsidRPr="00611D9C">
        <w:rPr>
          <w:sz w:val="20"/>
          <w:szCs w:val="20"/>
        </w:rPr>
        <w:t xml:space="preserve">, PhD, MBA; </w:t>
      </w:r>
      <w:hyperlink r:id="rId3" w:history="1">
        <w:r w:rsidRPr="00611D9C">
          <w:rPr>
            <w:rStyle w:val="Hyperlink"/>
            <w:color w:val="auto"/>
            <w:sz w:val="20"/>
            <w:szCs w:val="20"/>
            <w:u w:val="none"/>
          </w:rPr>
          <w:t>Judith M. Kramer</w:t>
        </w:r>
      </w:hyperlink>
      <w:r w:rsidRPr="00611D9C">
        <w:rPr>
          <w:sz w:val="20"/>
          <w:szCs w:val="20"/>
        </w:rPr>
        <w:t xml:space="preserve">, MD, MS; </w:t>
      </w:r>
      <w:hyperlink r:id="rId4" w:history="1">
        <w:r w:rsidRPr="00611D9C">
          <w:rPr>
            <w:rStyle w:val="Hyperlink"/>
            <w:color w:val="auto"/>
            <w:sz w:val="20"/>
            <w:szCs w:val="20"/>
            <w:u w:val="none"/>
          </w:rPr>
          <w:t>Steven N. Goodman</w:t>
        </w:r>
      </w:hyperlink>
      <w:r w:rsidRPr="00611D9C">
        <w:rPr>
          <w:sz w:val="20"/>
          <w:szCs w:val="20"/>
        </w:rPr>
        <w:t xml:space="preserve">, MD, MHS, PhD; </w:t>
      </w:r>
      <w:hyperlink r:id="rId5" w:history="1">
        <w:r w:rsidRPr="00611D9C">
          <w:rPr>
            <w:rStyle w:val="Hyperlink"/>
            <w:color w:val="auto"/>
            <w:sz w:val="20"/>
            <w:szCs w:val="20"/>
            <w:u w:val="none"/>
          </w:rPr>
          <w:t>Jason T. Connor</w:t>
        </w:r>
      </w:hyperlink>
      <w:r w:rsidRPr="00611D9C">
        <w:rPr>
          <w:sz w:val="20"/>
          <w:szCs w:val="20"/>
        </w:rPr>
        <w:t xml:space="preserve">, PhD; </w:t>
      </w:r>
      <w:hyperlink r:id="rId6" w:history="1">
        <w:r w:rsidRPr="00611D9C">
          <w:rPr>
            <w:rStyle w:val="Hyperlink"/>
            <w:color w:val="auto"/>
            <w:sz w:val="20"/>
            <w:szCs w:val="20"/>
            <w:u w:val="none"/>
          </w:rPr>
          <w:t>Sean Tunis</w:t>
        </w:r>
      </w:hyperlink>
      <w:r w:rsidRPr="00611D9C">
        <w:rPr>
          <w:sz w:val="20"/>
          <w:szCs w:val="20"/>
        </w:rPr>
        <w:t xml:space="preserve">, MD, MSc; </w:t>
      </w:r>
      <w:hyperlink r:id="rId7" w:history="1">
        <w:r w:rsidRPr="00611D9C">
          <w:rPr>
            <w:rStyle w:val="Hyperlink"/>
            <w:color w:val="auto"/>
            <w:sz w:val="20"/>
            <w:szCs w:val="20"/>
            <w:u w:val="none"/>
          </w:rPr>
          <w:t xml:space="preserve">Danielle </w:t>
        </w:r>
        <w:proofErr w:type="spellStart"/>
        <w:r w:rsidRPr="00611D9C">
          <w:rPr>
            <w:rStyle w:val="Hyperlink"/>
            <w:color w:val="auto"/>
            <w:sz w:val="20"/>
            <w:szCs w:val="20"/>
            <w:u w:val="none"/>
          </w:rPr>
          <w:t>Whicher</w:t>
        </w:r>
        <w:proofErr w:type="spellEnd"/>
      </w:hyperlink>
      <w:r w:rsidRPr="00611D9C">
        <w:rPr>
          <w:sz w:val="20"/>
          <w:szCs w:val="20"/>
        </w:rPr>
        <w:t xml:space="preserve">, MHS; and </w:t>
      </w:r>
      <w:hyperlink r:id="rId8" w:history="1">
        <w:r w:rsidRPr="00611D9C">
          <w:rPr>
            <w:rStyle w:val="Hyperlink"/>
            <w:color w:val="auto"/>
            <w:sz w:val="20"/>
            <w:szCs w:val="20"/>
            <w:u w:val="none"/>
          </w:rPr>
          <w:t>J. Sanford Schwartz</w:t>
        </w:r>
      </w:hyperlink>
      <w:r w:rsidRPr="00611D9C">
        <w:rPr>
          <w:sz w:val="20"/>
          <w:szCs w:val="20"/>
        </w:rPr>
        <w:t xml:space="preserve">, MD , ‘Rethinking Randomized Clinical Trials for Comparative Effectiveness Research: The Need for Transformational Change’,  </w:t>
      </w:r>
      <w:r w:rsidRPr="00611D9C">
        <w:rPr>
          <w:i/>
          <w:sz w:val="20"/>
          <w:szCs w:val="20"/>
        </w:rPr>
        <w:t>Annals of Internal Medicine</w:t>
      </w:r>
      <w:r w:rsidRPr="00611D9C">
        <w:rPr>
          <w:sz w:val="20"/>
          <w:szCs w:val="20"/>
        </w:rPr>
        <w:t>, August 4</w:t>
      </w:r>
      <w:r w:rsidR="00F42E10">
        <w:rPr>
          <w:sz w:val="20"/>
          <w:szCs w:val="20"/>
        </w:rPr>
        <w:t xml:space="preserve">, 2009 vol. 151 no. 3 206-209. </w:t>
      </w:r>
    </w:p>
    <w:p w:rsidR="00960667" w:rsidRPr="00611D9C" w:rsidRDefault="00960667">
      <w:pPr>
        <w:pStyle w:val="FootnoteText"/>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D8528A"/>
    <w:multiLevelType w:val="multilevel"/>
    <w:tmpl w:val="8910B3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3470686E"/>
    <w:multiLevelType w:val="hybridMultilevel"/>
    <w:tmpl w:val="1CE283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95B26E2"/>
    <w:multiLevelType w:val="multilevel"/>
    <w:tmpl w:val="CA222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F821586"/>
    <w:multiLevelType w:val="multilevel"/>
    <w:tmpl w:val="B7F23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71825885"/>
    <w:multiLevelType w:val="hybridMultilevel"/>
    <w:tmpl w:val="420E8C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footnotePr>
    <w:footnote w:id="-1"/>
    <w:footnote w:id="0"/>
  </w:footnotePr>
  <w:endnotePr>
    <w:numFmt w:val="decimal"/>
    <w:endnote w:id="-1"/>
    <w:endnote w:id="0"/>
  </w:endnotePr>
  <w:compat/>
  <w:rsids>
    <w:rsidRoot w:val="00F50234"/>
    <w:rsid w:val="00013BF9"/>
    <w:rsid w:val="00073253"/>
    <w:rsid w:val="000772F5"/>
    <w:rsid w:val="000773CF"/>
    <w:rsid w:val="00096D37"/>
    <w:rsid w:val="000D1328"/>
    <w:rsid w:val="000E46CE"/>
    <w:rsid w:val="001017C4"/>
    <w:rsid w:val="00106022"/>
    <w:rsid w:val="00141D11"/>
    <w:rsid w:val="001751AC"/>
    <w:rsid w:val="00225CE6"/>
    <w:rsid w:val="00273BE4"/>
    <w:rsid w:val="00277326"/>
    <w:rsid w:val="002A6C74"/>
    <w:rsid w:val="002F3176"/>
    <w:rsid w:val="002F7872"/>
    <w:rsid w:val="003010D9"/>
    <w:rsid w:val="0030331B"/>
    <w:rsid w:val="00333D8E"/>
    <w:rsid w:val="003449DB"/>
    <w:rsid w:val="003C4CC6"/>
    <w:rsid w:val="00441713"/>
    <w:rsid w:val="00484BF6"/>
    <w:rsid w:val="00516F45"/>
    <w:rsid w:val="00532AA9"/>
    <w:rsid w:val="005555AD"/>
    <w:rsid w:val="00572EA1"/>
    <w:rsid w:val="0057322A"/>
    <w:rsid w:val="00611D9C"/>
    <w:rsid w:val="00620FFD"/>
    <w:rsid w:val="006733E1"/>
    <w:rsid w:val="00680658"/>
    <w:rsid w:val="00791A28"/>
    <w:rsid w:val="007E75FD"/>
    <w:rsid w:val="008C69F4"/>
    <w:rsid w:val="009046AA"/>
    <w:rsid w:val="00960667"/>
    <w:rsid w:val="00987532"/>
    <w:rsid w:val="00996D27"/>
    <w:rsid w:val="009C5EE0"/>
    <w:rsid w:val="00A55828"/>
    <w:rsid w:val="00A96371"/>
    <w:rsid w:val="00B3704C"/>
    <w:rsid w:val="00B4586A"/>
    <w:rsid w:val="00B71643"/>
    <w:rsid w:val="00BD7E86"/>
    <w:rsid w:val="00C7239C"/>
    <w:rsid w:val="00C83CF8"/>
    <w:rsid w:val="00DF2C76"/>
    <w:rsid w:val="00E6120D"/>
    <w:rsid w:val="00E74B3F"/>
    <w:rsid w:val="00E75A99"/>
    <w:rsid w:val="00E93E5D"/>
    <w:rsid w:val="00F42E10"/>
    <w:rsid w:val="00F45D15"/>
    <w:rsid w:val="00F50234"/>
    <w:rsid w:val="00F80789"/>
    <w:rsid w:val="00F849D2"/>
    <w:rsid w:val="00F87F1E"/>
    <w:rsid w:val="00FA73F0"/>
    <w:rsid w:val="00FD21CF"/>
    <w:rsid w:val="00FE1029"/>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55A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50234"/>
    <w:rPr>
      <w:color w:val="0000FF"/>
      <w:u w:val="single"/>
    </w:rPr>
  </w:style>
  <w:style w:type="paragraph" w:styleId="NormalWeb">
    <w:name w:val="Normal (Web)"/>
    <w:basedOn w:val="Normal"/>
    <w:uiPriority w:val="99"/>
    <w:semiHidden/>
    <w:unhideWhenUsed/>
    <w:rsid w:val="00F50234"/>
    <w:pPr>
      <w:spacing w:before="100" w:beforeAutospacing="1" w:after="100" w:afterAutospacing="1" w:line="240" w:lineRule="auto"/>
    </w:pPr>
    <w:rPr>
      <w:rFonts w:ascii="Arial" w:eastAsia="Times New Roman" w:hAnsi="Arial" w:cs="Arial"/>
      <w:sz w:val="20"/>
      <w:szCs w:val="20"/>
      <w:lang w:eastAsia="en-GB"/>
    </w:rPr>
  </w:style>
  <w:style w:type="paragraph" w:customStyle="1" w:styleId="last">
    <w:name w:val="last"/>
    <w:basedOn w:val="Normal"/>
    <w:rsid w:val="00F50234"/>
    <w:pPr>
      <w:spacing w:before="100" w:beforeAutospacing="1" w:after="100" w:afterAutospacing="1" w:line="240" w:lineRule="auto"/>
    </w:pPr>
    <w:rPr>
      <w:rFonts w:ascii="Arial" w:eastAsia="Times New Roman" w:hAnsi="Arial" w:cs="Arial"/>
      <w:sz w:val="20"/>
      <w:szCs w:val="20"/>
      <w:lang w:eastAsia="en-GB"/>
    </w:rPr>
  </w:style>
  <w:style w:type="character" w:customStyle="1" w:styleId="nlmdegrees">
    <w:name w:val="nlm_degrees"/>
    <w:basedOn w:val="DefaultParagraphFont"/>
    <w:rsid w:val="00F50234"/>
  </w:style>
  <w:style w:type="character" w:customStyle="1" w:styleId="nlmxref-aff">
    <w:name w:val="nlm_xref-aff"/>
    <w:basedOn w:val="DefaultParagraphFont"/>
    <w:rsid w:val="00F50234"/>
  </w:style>
  <w:style w:type="character" w:customStyle="1" w:styleId="institution">
    <w:name w:val="institution"/>
    <w:basedOn w:val="DefaultParagraphFont"/>
    <w:rsid w:val="00F50234"/>
  </w:style>
  <w:style w:type="paragraph" w:customStyle="1" w:styleId="summary-title">
    <w:name w:val="summary-title"/>
    <w:basedOn w:val="Normal"/>
    <w:rsid w:val="00F50234"/>
    <w:pPr>
      <w:spacing w:before="100" w:beforeAutospacing="1" w:after="100" w:afterAutospacing="1" w:line="240" w:lineRule="auto"/>
    </w:pPr>
    <w:rPr>
      <w:rFonts w:ascii="Arial" w:eastAsia="Times New Roman" w:hAnsi="Arial" w:cs="Arial"/>
      <w:sz w:val="20"/>
      <w:szCs w:val="20"/>
      <w:lang w:eastAsia="en-GB"/>
    </w:rPr>
  </w:style>
  <w:style w:type="paragraph" w:styleId="EndnoteText">
    <w:name w:val="endnote text"/>
    <w:basedOn w:val="Normal"/>
    <w:link w:val="EndnoteTextChar"/>
    <w:uiPriority w:val="99"/>
    <w:semiHidden/>
    <w:unhideWhenUsed/>
    <w:rsid w:val="00F5023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F50234"/>
    <w:rPr>
      <w:sz w:val="20"/>
      <w:szCs w:val="20"/>
    </w:rPr>
  </w:style>
  <w:style w:type="character" w:styleId="EndnoteReference">
    <w:name w:val="endnote reference"/>
    <w:basedOn w:val="DefaultParagraphFont"/>
    <w:uiPriority w:val="99"/>
    <w:semiHidden/>
    <w:unhideWhenUsed/>
    <w:rsid w:val="00F50234"/>
    <w:rPr>
      <w:vertAlign w:val="superscript"/>
    </w:rPr>
  </w:style>
  <w:style w:type="character" w:styleId="Emphasis">
    <w:name w:val="Emphasis"/>
    <w:basedOn w:val="DefaultParagraphFont"/>
    <w:uiPriority w:val="20"/>
    <w:qFormat/>
    <w:rsid w:val="00532AA9"/>
    <w:rPr>
      <w:i/>
      <w:iCs/>
    </w:rPr>
  </w:style>
  <w:style w:type="character" w:customStyle="1" w:styleId="name">
    <w:name w:val="name"/>
    <w:basedOn w:val="DefaultParagraphFont"/>
    <w:rsid w:val="00532AA9"/>
  </w:style>
  <w:style w:type="character" w:customStyle="1" w:styleId="contrib-degrees">
    <w:name w:val="contrib-degrees"/>
    <w:basedOn w:val="DefaultParagraphFont"/>
    <w:rsid w:val="00532AA9"/>
  </w:style>
  <w:style w:type="character" w:customStyle="1" w:styleId="slug-pub-date3">
    <w:name w:val="slug-pub-date3"/>
    <w:basedOn w:val="DefaultParagraphFont"/>
    <w:rsid w:val="00532AA9"/>
    <w:rPr>
      <w:b w:val="0"/>
      <w:bCs w:val="0"/>
      <w:vanish w:val="0"/>
      <w:webHidden w:val="0"/>
      <w:specVanish w:val="0"/>
    </w:rPr>
  </w:style>
  <w:style w:type="character" w:customStyle="1" w:styleId="slug-vol">
    <w:name w:val="slug-vol"/>
    <w:basedOn w:val="DefaultParagraphFont"/>
    <w:rsid w:val="00532AA9"/>
  </w:style>
  <w:style w:type="character" w:customStyle="1" w:styleId="slug-issue">
    <w:name w:val="slug-issue"/>
    <w:basedOn w:val="DefaultParagraphFont"/>
    <w:rsid w:val="00532AA9"/>
  </w:style>
  <w:style w:type="character" w:customStyle="1" w:styleId="slug-pages3">
    <w:name w:val="slug-pages3"/>
    <w:basedOn w:val="DefaultParagraphFont"/>
    <w:rsid w:val="00532AA9"/>
    <w:rPr>
      <w:b w:val="0"/>
      <w:bCs w:val="0"/>
    </w:rPr>
  </w:style>
  <w:style w:type="character" w:customStyle="1" w:styleId="xapple-style-span">
    <w:name w:val="x_apple-style-span"/>
    <w:basedOn w:val="DefaultParagraphFont"/>
    <w:rsid w:val="00073253"/>
  </w:style>
  <w:style w:type="paragraph" w:styleId="ListParagraph">
    <w:name w:val="List Paragraph"/>
    <w:basedOn w:val="Normal"/>
    <w:uiPriority w:val="34"/>
    <w:qFormat/>
    <w:rsid w:val="00A96371"/>
    <w:pPr>
      <w:ind w:left="720"/>
      <w:contextualSpacing/>
    </w:pPr>
  </w:style>
  <w:style w:type="paragraph" w:customStyle="1" w:styleId="Default">
    <w:name w:val="Default"/>
    <w:rsid w:val="00106022"/>
    <w:pPr>
      <w:autoSpaceDE w:val="0"/>
      <w:autoSpaceDN w:val="0"/>
      <w:adjustRightInd w:val="0"/>
      <w:spacing w:after="0" w:line="240" w:lineRule="auto"/>
    </w:pPr>
    <w:rPr>
      <w:rFonts w:ascii="Code" w:hAnsi="Code" w:cs="Code"/>
      <w:color w:val="000000"/>
      <w:sz w:val="24"/>
      <w:szCs w:val="24"/>
    </w:rPr>
  </w:style>
  <w:style w:type="character" w:customStyle="1" w:styleId="cit-vol1">
    <w:name w:val="cit-vol1"/>
    <w:basedOn w:val="DefaultParagraphFont"/>
    <w:rsid w:val="003010D9"/>
    <w:rPr>
      <w:b/>
      <w:bCs/>
    </w:rPr>
  </w:style>
  <w:style w:type="character" w:customStyle="1" w:styleId="cit-sep1">
    <w:name w:val="cit-sep1"/>
    <w:basedOn w:val="DefaultParagraphFont"/>
    <w:rsid w:val="003010D9"/>
    <w:rPr>
      <w:b w:val="0"/>
      <w:bCs w:val="0"/>
    </w:rPr>
  </w:style>
  <w:style w:type="character" w:customStyle="1" w:styleId="cit-title10">
    <w:name w:val="cit-title10"/>
    <w:basedOn w:val="DefaultParagraphFont"/>
    <w:rsid w:val="003010D9"/>
    <w:rPr>
      <w:b/>
      <w:bCs/>
      <w:vanish w:val="0"/>
      <w:webHidden w:val="0"/>
      <w:color w:val="111111"/>
      <w:sz w:val="24"/>
      <w:szCs w:val="24"/>
      <w:specVanish w:val="0"/>
    </w:rPr>
  </w:style>
  <w:style w:type="character" w:customStyle="1" w:styleId="cit-sep4">
    <w:name w:val="cit-sep4"/>
    <w:basedOn w:val="DefaultParagraphFont"/>
    <w:rsid w:val="003010D9"/>
    <w:rPr>
      <w:b w:val="0"/>
      <w:bCs w:val="0"/>
    </w:rPr>
  </w:style>
  <w:style w:type="character" w:customStyle="1" w:styleId="cit-print-date">
    <w:name w:val="cit-print-date"/>
    <w:basedOn w:val="DefaultParagraphFont"/>
    <w:rsid w:val="003010D9"/>
  </w:style>
  <w:style w:type="character" w:customStyle="1" w:styleId="cit-pages">
    <w:name w:val="cit-pages"/>
    <w:basedOn w:val="DefaultParagraphFont"/>
    <w:rsid w:val="003010D9"/>
  </w:style>
  <w:style w:type="character" w:customStyle="1" w:styleId="cit-first-page">
    <w:name w:val="cit-first-page"/>
    <w:basedOn w:val="DefaultParagraphFont"/>
    <w:rsid w:val="003010D9"/>
  </w:style>
  <w:style w:type="character" w:customStyle="1" w:styleId="cit-last-page">
    <w:name w:val="cit-last-page"/>
    <w:basedOn w:val="DefaultParagraphFont"/>
    <w:rsid w:val="003010D9"/>
  </w:style>
  <w:style w:type="character" w:customStyle="1" w:styleId="cit-doi2">
    <w:name w:val="cit-doi2"/>
    <w:basedOn w:val="DefaultParagraphFont"/>
    <w:rsid w:val="003010D9"/>
  </w:style>
  <w:style w:type="paragraph" w:styleId="Header">
    <w:name w:val="header"/>
    <w:basedOn w:val="Normal"/>
    <w:link w:val="HeaderChar"/>
    <w:uiPriority w:val="99"/>
    <w:unhideWhenUsed/>
    <w:rsid w:val="00611D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611D9C"/>
  </w:style>
  <w:style w:type="paragraph" w:styleId="Footer">
    <w:name w:val="footer"/>
    <w:basedOn w:val="Normal"/>
    <w:link w:val="FooterChar"/>
    <w:uiPriority w:val="99"/>
    <w:semiHidden/>
    <w:unhideWhenUsed/>
    <w:rsid w:val="00611D9C"/>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611D9C"/>
  </w:style>
  <w:style w:type="paragraph" w:styleId="BalloonText">
    <w:name w:val="Balloon Text"/>
    <w:basedOn w:val="Normal"/>
    <w:link w:val="BalloonTextChar"/>
    <w:uiPriority w:val="99"/>
    <w:semiHidden/>
    <w:unhideWhenUsed/>
    <w:rsid w:val="00611D9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1D9C"/>
    <w:rPr>
      <w:rFonts w:ascii="Tahoma" w:hAnsi="Tahoma" w:cs="Tahoma"/>
      <w:sz w:val="16"/>
      <w:szCs w:val="16"/>
    </w:rPr>
  </w:style>
  <w:style w:type="paragraph" w:customStyle="1" w:styleId="normalindent">
    <w:name w:val="normalindent"/>
    <w:basedOn w:val="Normal"/>
    <w:rsid w:val="00572EA1"/>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noteText">
    <w:name w:val="footnote text"/>
    <w:basedOn w:val="Normal"/>
    <w:link w:val="FootnoteTextChar"/>
    <w:uiPriority w:val="99"/>
    <w:semiHidden/>
    <w:unhideWhenUsed/>
    <w:rsid w:val="0096066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60667"/>
    <w:rPr>
      <w:sz w:val="20"/>
      <w:szCs w:val="20"/>
    </w:rPr>
  </w:style>
  <w:style w:type="character" w:styleId="FootnoteReference">
    <w:name w:val="footnote reference"/>
    <w:basedOn w:val="DefaultParagraphFont"/>
    <w:uiPriority w:val="99"/>
    <w:semiHidden/>
    <w:unhideWhenUsed/>
    <w:rsid w:val="00960667"/>
    <w:rPr>
      <w:vertAlign w:val="superscript"/>
    </w:rPr>
  </w:style>
</w:styles>
</file>

<file path=word/webSettings.xml><?xml version="1.0" encoding="utf-8"?>
<w:webSettings xmlns:r="http://schemas.openxmlformats.org/officeDocument/2006/relationships" xmlns:w="http://schemas.openxmlformats.org/wordprocessingml/2006/main">
  <w:divs>
    <w:div w:id="7802845">
      <w:bodyDiv w:val="1"/>
      <w:marLeft w:val="0"/>
      <w:marRight w:val="0"/>
      <w:marTop w:val="0"/>
      <w:marBottom w:val="0"/>
      <w:divBdr>
        <w:top w:val="none" w:sz="0" w:space="0" w:color="auto"/>
        <w:left w:val="none" w:sz="0" w:space="0" w:color="auto"/>
        <w:bottom w:val="none" w:sz="0" w:space="0" w:color="auto"/>
        <w:right w:val="none" w:sz="0" w:space="0" w:color="auto"/>
      </w:divBdr>
      <w:divsChild>
        <w:div w:id="154953532">
          <w:marLeft w:val="0"/>
          <w:marRight w:val="0"/>
          <w:marTop w:val="75"/>
          <w:marBottom w:val="0"/>
          <w:divBdr>
            <w:top w:val="none" w:sz="0" w:space="0" w:color="auto"/>
            <w:left w:val="none" w:sz="0" w:space="0" w:color="auto"/>
            <w:bottom w:val="none" w:sz="0" w:space="0" w:color="auto"/>
            <w:right w:val="none" w:sz="0" w:space="0" w:color="auto"/>
          </w:divBdr>
          <w:divsChild>
            <w:div w:id="1717117087">
              <w:marLeft w:val="0"/>
              <w:marRight w:val="0"/>
              <w:marTop w:val="0"/>
              <w:marBottom w:val="0"/>
              <w:divBdr>
                <w:top w:val="none" w:sz="0" w:space="0" w:color="auto"/>
                <w:left w:val="none" w:sz="0" w:space="0" w:color="auto"/>
                <w:bottom w:val="none" w:sz="0" w:space="0" w:color="auto"/>
                <w:right w:val="none" w:sz="0" w:space="0" w:color="auto"/>
              </w:divBdr>
              <w:divsChild>
                <w:div w:id="4784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647459">
      <w:bodyDiv w:val="1"/>
      <w:marLeft w:val="0"/>
      <w:marRight w:val="0"/>
      <w:marTop w:val="0"/>
      <w:marBottom w:val="0"/>
      <w:divBdr>
        <w:top w:val="none" w:sz="0" w:space="0" w:color="auto"/>
        <w:left w:val="none" w:sz="0" w:space="0" w:color="auto"/>
        <w:bottom w:val="none" w:sz="0" w:space="0" w:color="auto"/>
        <w:right w:val="none" w:sz="0" w:space="0" w:color="auto"/>
      </w:divBdr>
      <w:divsChild>
        <w:div w:id="1351106911">
          <w:marLeft w:val="0"/>
          <w:marRight w:val="0"/>
          <w:marTop w:val="75"/>
          <w:marBottom w:val="0"/>
          <w:divBdr>
            <w:top w:val="none" w:sz="0" w:space="0" w:color="auto"/>
            <w:left w:val="none" w:sz="0" w:space="0" w:color="auto"/>
            <w:bottom w:val="none" w:sz="0" w:space="0" w:color="auto"/>
            <w:right w:val="none" w:sz="0" w:space="0" w:color="auto"/>
          </w:divBdr>
          <w:divsChild>
            <w:div w:id="76030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896902">
      <w:bodyDiv w:val="1"/>
      <w:marLeft w:val="0"/>
      <w:marRight w:val="0"/>
      <w:marTop w:val="0"/>
      <w:marBottom w:val="0"/>
      <w:divBdr>
        <w:top w:val="none" w:sz="0" w:space="0" w:color="auto"/>
        <w:left w:val="none" w:sz="0" w:space="0" w:color="auto"/>
        <w:bottom w:val="none" w:sz="0" w:space="0" w:color="auto"/>
        <w:right w:val="none" w:sz="0" w:space="0" w:color="auto"/>
      </w:divBdr>
    </w:div>
    <w:div w:id="879590712">
      <w:bodyDiv w:val="1"/>
      <w:marLeft w:val="0"/>
      <w:marRight w:val="0"/>
      <w:marTop w:val="0"/>
      <w:marBottom w:val="0"/>
      <w:divBdr>
        <w:top w:val="none" w:sz="0" w:space="0" w:color="auto"/>
        <w:left w:val="none" w:sz="0" w:space="0" w:color="auto"/>
        <w:bottom w:val="none" w:sz="0" w:space="0" w:color="auto"/>
        <w:right w:val="none" w:sz="0" w:space="0" w:color="auto"/>
      </w:divBdr>
      <w:divsChild>
        <w:div w:id="2043703012">
          <w:marLeft w:val="0"/>
          <w:marRight w:val="0"/>
          <w:marTop w:val="0"/>
          <w:marBottom w:val="0"/>
          <w:divBdr>
            <w:top w:val="none" w:sz="0" w:space="0" w:color="auto"/>
            <w:left w:val="none" w:sz="0" w:space="0" w:color="auto"/>
            <w:bottom w:val="none" w:sz="0" w:space="0" w:color="auto"/>
            <w:right w:val="none" w:sz="0" w:space="0" w:color="auto"/>
          </w:divBdr>
        </w:div>
        <w:div w:id="1308362963">
          <w:marLeft w:val="0"/>
          <w:marRight w:val="0"/>
          <w:marTop w:val="0"/>
          <w:marBottom w:val="0"/>
          <w:divBdr>
            <w:top w:val="none" w:sz="0" w:space="0" w:color="auto"/>
            <w:left w:val="none" w:sz="0" w:space="0" w:color="auto"/>
            <w:bottom w:val="none" w:sz="0" w:space="0" w:color="auto"/>
            <w:right w:val="none" w:sz="0" w:space="0" w:color="auto"/>
          </w:divBdr>
        </w:div>
        <w:div w:id="507599973">
          <w:marLeft w:val="0"/>
          <w:marRight w:val="0"/>
          <w:marTop w:val="0"/>
          <w:marBottom w:val="0"/>
          <w:divBdr>
            <w:top w:val="none" w:sz="0" w:space="0" w:color="auto"/>
            <w:left w:val="none" w:sz="0" w:space="0" w:color="auto"/>
            <w:bottom w:val="none" w:sz="0" w:space="0" w:color="auto"/>
            <w:right w:val="none" w:sz="0" w:space="0" w:color="auto"/>
          </w:divBdr>
        </w:div>
        <w:div w:id="670762353">
          <w:marLeft w:val="0"/>
          <w:marRight w:val="0"/>
          <w:marTop w:val="0"/>
          <w:marBottom w:val="0"/>
          <w:divBdr>
            <w:top w:val="none" w:sz="0" w:space="0" w:color="auto"/>
            <w:left w:val="none" w:sz="0" w:space="0" w:color="auto"/>
            <w:bottom w:val="none" w:sz="0" w:space="0" w:color="auto"/>
            <w:right w:val="none" w:sz="0" w:space="0" w:color="auto"/>
          </w:divBdr>
        </w:div>
        <w:div w:id="1446534082">
          <w:marLeft w:val="0"/>
          <w:marRight w:val="0"/>
          <w:marTop w:val="0"/>
          <w:marBottom w:val="0"/>
          <w:divBdr>
            <w:top w:val="none" w:sz="0" w:space="0" w:color="auto"/>
            <w:left w:val="none" w:sz="0" w:space="0" w:color="auto"/>
            <w:bottom w:val="none" w:sz="0" w:space="0" w:color="auto"/>
            <w:right w:val="none" w:sz="0" w:space="0" w:color="auto"/>
          </w:divBdr>
        </w:div>
        <w:div w:id="929196398">
          <w:marLeft w:val="0"/>
          <w:marRight w:val="0"/>
          <w:marTop w:val="0"/>
          <w:marBottom w:val="0"/>
          <w:divBdr>
            <w:top w:val="none" w:sz="0" w:space="0" w:color="auto"/>
            <w:left w:val="none" w:sz="0" w:space="0" w:color="auto"/>
            <w:bottom w:val="none" w:sz="0" w:space="0" w:color="auto"/>
            <w:right w:val="none" w:sz="0" w:space="0" w:color="auto"/>
          </w:divBdr>
        </w:div>
        <w:div w:id="760570972">
          <w:marLeft w:val="0"/>
          <w:marRight w:val="0"/>
          <w:marTop w:val="0"/>
          <w:marBottom w:val="0"/>
          <w:divBdr>
            <w:top w:val="none" w:sz="0" w:space="0" w:color="auto"/>
            <w:left w:val="none" w:sz="0" w:space="0" w:color="auto"/>
            <w:bottom w:val="none" w:sz="0" w:space="0" w:color="auto"/>
            <w:right w:val="none" w:sz="0" w:space="0" w:color="auto"/>
          </w:divBdr>
          <w:divsChild>
            <w:div w:id="995762773">
              <w:marLeft w:val="0"/>
              <w:marRight w:val="0"/>
              <w:marTop w:val="0"/>
              <w:marBottom w:val="0"/>
              <w:divBdr>
                <w:top w:val="none" w:sz="0" w:space="0" w:color="auto"/>
                <w:left w:val="none" w:sz="0" w:space="0" w:color="auto"/>
                <w:bottom w:val="none" w:sz="0" w:space="0" w:color="auto"/>
                <w:right w:val="none" w:sz="0" w:space="0" w:color="auto"/>
              </w:divBdr>
              <w:divsChild>
                <w:div w:id="1015812058">
                  <w:marLeft w:val="0"/>
                  <w:marRight w:val="0"/>
                  <w:marTop w:val="0"/>
                  <w:marBottom w:val="0"/>
                  <w:divBdr>
                    <w:top w:val="none" w:sz="0" w:space="0" w:color="auto"/>
                    <w:left w:val="none" w:sz="0" w:space="0" w:color="auto"/>
                    <w:bottom w:val="none" w:sz="0" w:space="0" w:color="auto"/>
                    <w:right w:val="none" w:sz="0" w:space="0" w:color="auto"/>
                  </w:divBdr>
                </w:div>
                <w:div w:id="773549433">
                  <w:marLeft w:val="0"/>
                  <w:marRight w:val="0"/>
                  <w:marTop w:val="0"/>
                  <w:marBottom w:val="0"/>
                  <w:divBdr>
                    <w:top w:val="none" w:sz="0" w:space="0" w:color="auto"/>
                    <w:left w:val="none" w:sz="0" w:space="0" w:color="auto"/>
                    <w:bottom w:val="none" w:sz="0" w:space="0" w:color="auto"/>
                    <w:right w:val="none" w:sz="0" w:space="0" w:color="auto"/>
                  </w:divBdr>
                </w:div>
                <w:div w:id="1944260893">
                  <w:marLeft w:val="0"/>
                  <w:marRight w:val="0"/>
                  <w:marTop w:val="0"/>
                  <w:marBottom w:val="0"/>
                  <w:divBdr>
                    <w:top w:val="none" w:sz="0" w:space="0" w:color="auto"/>
                    <w:left w:val="none" w:sz="0" w:space="0" w:color="auto"/>
                    <w:bottom w:val="none" w:sz="0" w:space="0" w:color="auto"/>
                    <w:right w:val="none" w:sz="0" w:space="0" w:color="auto"/>
                  </w:divBdr>
                </w:div>
                <w:div w:id="343240309">
                  <w:marLeft w:val="0"/>
                  <w:marRight w:val="0"/>
                  <w:marTop w:val="0"/>
                  <w:marBottom w:val="0"/>
                  <w:divBdr>
                    <w:top w:val="none" w:sz="0" w:space="0" w:color="auto"/>
                    <w:left w:val="none" w:sz="0" w:space="0" w:color="auto"/>
                    <w:bottom w:val="none" w:sz="0" w:space="0" w:color="auto"/>
                    <w:right w:val="none" w:sz="0" w:space="0" w:color="auto"/>
                  </w:divBdr>
                </w:div>
                <w:div w:id="4401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278585">
          <w:marLeft w:val="0"/>
          <w:marRight w:val="0"/>
          <w:marTop w:val="0"/>
          <w:marBottom w:val="0"/>
          <w:divBdr>
            <w:top w:val="none" w:sz="0" w:space="0" w:color="auto"/>
            <w:left w:val="none" w:sz="0" w:space="0" w:color="auto"/>
            <w:bottom w:val="none" w:sz="0" w:space="0" w:color="auto"/>
            <w:right w:val="none" w:sz="0" w:space="0" w:color="auto"/>
          </w:divBdr>
        </w:div>
      </w:divsChild>
    </w:div>
    <w:div w:id="1105416796">
      <w:bodyDiv w:val="1"/>
      <w:marLeft w:val="0"/>
      <w:marRight w:val="0"/>
      <w:marTop w:val="0"/>
      <w:marBottom w:val="0"/>
      <w:divBdr>
        <w:top w:val="none" w:sz="0" w:space="0" w:color="auto"/>
        <w:left w:val="none" w:sz="0" w:space="0" w:color="auto"/>
        <w:bottom w:val="none" w:sz="0" w:space="0" w:color="auto"/>
        <w:right w:val="none" w:sz="0" w:space="0" w:color="auto"/>
      </w:divBdr>
      <w:divsChild>
        <w:div w:id="899901072">
          <w:marLeft w:val="0"/>
          <w:marRight w:val="0"/>
          <w:marTop w:val="75"/>
          <w:marBottom w:val="0"/>
          <w:divBdr>
            <w:top w:val="none" w:sz="0" w:space="0" w:color="auto"/>
            <w:left w:val="none" w:sz="0" w:space="0" w:color="auto"/>
            <w:bottom w:val="none" w:sz="0" w:space="0" w:color="auto"/>
            <w:right w:val="none" w:sz="0" w:space="0" w:color="auto"/>
          </w:divBdr>
          <w:divsChild>
            <w:div w:id="1846942206">
              <w:marLeft w:val="0"/>
              <w:marRight w:val="0"/>
              <w:marTop w:val="0"/>
              <w:marBottom w:val="0"/>
              <w:divBdr>
                <w:top w:val="none" w:sz="0" w:space="0" w:color="auto"/>
                <w:left w:val="none" w:sz="0" w:space="0" w:color="auto"/>
                <w:bottom w:val="none" w:sz="0" w:space="0" w:color="auto"/>
                <w:right w:val="none" w:sz="0" w:space="0" w:color="auto"/>
              </w:divBdr>
              <w:divsChild>
                <w:div w:id="1704398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7077514">
      <w:bodyDiv w:val="1"/>
      <w:marLeft w:val="0"/>
      <w:marRight w:val="0"/>
      <w:marTop w:val="0"/>
      <w:marBottom w:val="0"/>
      <w:divBdr>
        <w:top w:val="none" w:sz="0" w:space="0" w:color="auto"/>
        <w:left w:val="none" w:sz="0" w:space="0" w:color="auto"/>
        <w:bottom w:val="none" w:sz="0" w:space="0" w:color="auto"/>
        <w:right w:val="none" w:sz="0" w:space="0" w:color="auto"/>
      </w:divBdr>
      <w:divsChild>
        <w:div w:id="1512446599">
          <w:marLeft w:val="0"/>
          <w:marRight w:val="0"/>
          <w:marTop w:val="0"/>
          <w:marBottom w:val="240"/>
          <w:divBdr>
            <w:top w:val="none" w:sz="0" w:space="0" w:color="auto"/>
            <w:left w:val="none" w:sz="0" w:space="0" w:color="auto"/>
            <w:bottom w:val="none" w:sz="0" w:space="0" w:color="auto"/>
            <w:right w:val="none" w:sz="0" w:space="0" w:color="auto"/>
          </w:divBdr>
        </w:div>
      </w:divsChild>
    </w:div>
    <w:div w:id="2024478508">
      <w:bodyDiv w:val="1"/>
      <w:marLeft w:val="0"/>
      <w:marRight w:val="0"/>
      <w:marTop w:val="0"/>
      <w:marBottom w:val="0"/>
      <w:divBdr>
        <w:top w:val="none" w:sz="0" w:space="0" w:color="auto"/>
        <w:left w:val="none" w:sz="0" w:space="0" w:color="auto"/>
        <w:bottom w:val="none" w:sz="0" w:space="0" w:color="auto"/>
        <w:right w:val="none" w:sz="0" w:space="0" w:color="auto"/>
      </w:divBdr>
      <w:divsChild>
        <w:div w:id="1317103553">
          <w:marLeft w:val="0"/>
          <w:marRight w:val="0"/>
          <w:marTop w:val="0"/>
          <w:marBottom w:val="0"/>
          <w:divBdr>
            <w:top w:val="none" w:sz="0" w:space="0" w:color="auto"/>
            <w:left w:val="none" w:sz="0" w:space="0" w:color="auto"/>
            <w:bottom w:val="none" w:sz="0" w:space="0" w:color="auto"/>
            <w:right w:val="none" w:sz="0" w:space="0" w:color="auto"/>
          </w:divBdr>
          <w:divsChild>
            <w:div w:id="1511329865">
              <w:marLeft w:val="0"/>
              <w:marRight w:val="0"/>
              <w:marTop w:val="0"/>
              <w:marBottom w:val="0"/>
              <w:divBdr>
                <w:top w:val="none" w:sz="0" w:space="0" w:color="auto"/>
                <w:left w:val="none" w:sz="0" w:space="0" w:color="auto"/>
                <w:bottom w:val="none" w:sz="0" w:space="0" w:color="auto"/>
                <w:right w:val="none" w:sz="0" w:space="0" w:color="auto"/>
              </w:divBdr>
              <w:divsChild>
                <w:div w:id="960457664">
                  <w:marLeft w:val="0"/>
                  <w:marRight w:val="0"/>
                  <w:marTop w:val="0"/>
                  <w:marBottom w:val="0"/>
                  <w:divBdr>
                    <w:top w:val="none" w:sz="0" w:space="0" w:color="auto"/>
                    <w:left w:val="none" w:sz="0" w:space="0" w:color="auto"/>
                    <w:bottom w:val="none" w:sz="0" w:space="0" w:color="auto"/>
                    <w:right w:val="none" w:sz="0" w:space="0" w:color="auto"/>
                  </w:divBdr>
                  <w:divsChild>
                    <w:div w:id="751855001">
                      <w:marLeft w:val="0"/>
                      <w:marRight w:val="0"/>
                      <w:marTop w:val="0"/>
                      <w:marBottom w:val="0"/>
                      <w:divBdr>
                        <w:top w:val="none" w:sz="0" w:space="0" w:color="auto"/>
                        <w:left w:val="none" w:sz="0" w:space="0" w:color="auto"/>
                        <w:bottom w:val="none" w:sz="0" w:space="0" w:color="auto"/>
                        <w:right w:val="none" w:sz="0" w:space="0" w:color="auto"/>
                      </w:divBdr>
                      <w:divsChild>
                        <w:div w:id="766774584">
                          <w:marLeft w:val="101"/>
                          <w:marRight w:val="0"/>
                          <w:marTop w:val="101"/>
                          <w:marBottom w:val="101"/>
                          <w:divBdr>
                            <w:top w:val="none" w:sz="0" w:space="0" w:color="auto"/>
                            <w:left w:val="none" w:sz="0" w:space="0" w:color="auto"/>
                            <w:bottom w:val="none" w:sz="0" w:space="0" w:color="auto"/>
                            <w:right w:val="none" w:sz="0" w:space="0" w:color="auto"/>
                          </w:divBdr>
                          <w:divsChild>
                            <w:div w:id="1095594934">
                              <w:marLeft w:val="0"/>
                              <w:marRight w:val="0"/>
                              <w:marTop w:val="168"/>
                              <w:marBottom w:val="101"/>
                              <w:divBdr>
                                <w:top w:val="single" w:sz="4" w:space="0" w:color="999999"/>
                                <w:left w:val="single" w:sz="4" w:space="0" w:color="999999"/>
                                <w:bottom w:val="single" w:sz="4" w:space="0" w:color="999999"/>
                                <w:right w:val="single" w:sz="4" w:space="0" w:color="999999"/>
                              </w:divBdr>
                              <w:divsChild>
                                <w:div w:id="134710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59939774">
      <w:bodyDiv w:val="1"/>
      <w:marLeft w:val="0"/>
      <w:marRight w:val="0"/>
      <w:marTop w:val="0"/>
      <w:marBottom w:val="0"/>
      <w:divBdr>
        <w:top w:val="none" w:sz="0" w:space="0" w:color="auto"/>
        <w:left w:val="none" w:sz="0" w:space="0" w:color="auto"/>
        <w:bottom w:val="none" w:sz="0" w:space="0" w:color="auto"/>
        <w:right w:val="none" w:sz="0" w:space="0" w:color="auto"/>
      </w:divBdr>
      <w:divsChild>
        <w:div w:id="1486554773">
          <w:marLeft w:val="0"/>
          <w:marRight w:val="0"/>
          <w:marTop w:val="75"/>
          <w:marBottom w:val="0"/>
          <w:divBdr>
            <w:top w:val="none" w:sz="0" w:space="0" w:color="auto"/>
            <w:left w:val="none" w:sz="0" w:space="0" w:color="auto"/>
            <w:bottom w:val="none" w:sz="0" w:space="0" w:color="auto"/>
            <w:right w:val="none" w:sz="0" w:space="0" w:color="auto"/>
          </w:divBdr>
          <w:divsChild>
            <w:div w:id="423116813">
              <w:marLeft w:val="0"/>
              <w:marRight w:val="0"/>
              <w:marTop w:val="0"/>
              <w:marBottom w:val="0"/>
              <w:divBdr>
                <w:top w:val="none" w:sz="0" w:space="0" w:color="auto"/>
                <w:left w:val="none" w:sz="0" w:space="0" w:color="auto"/>
                <w:bottom w:val="none" w:sz="0" w:space="0" w:color="auto"/>
                <w:right w:val="dashed" w:sz="6" w:space="2" w:color="AAAAAA"/>
              </w:divBdr>
              <w:divsChild>
                <w:div w:id="946274978">
                  <w:marLeft w:val="75"/>
                  <w:marRight w:val="0"/>
                  <w:marTop w:val="75"/>
                  <w:marBottom w:val="0"/>
                  <w:divBdr>
                    <w:top w:val="none" w:sz="0" w:space="0" w:color="auto"/>
                    <w:left w:val="none" w:sz="0" w:space="0" w:color="auto"/>
                    <w:bottom w:val="none" w:sz="0" w:space="0" w:color="auto"/>
                    <w:right w:val="single" w:sz="6" w:space="9" w:color="FFFFFF"/>
                  </w:divBdr>
                  <w:divsChild>
                    <w:div w:id="263415893">
                      <w:marLeft w:val="0"/>
                      <w:marRight w:val="0"/>
                      <w:marTop w:val="0"/>
                      <w:marBottom w:val="0"/>
                      <w:divBdr>
                        <w:top w:val="none" w:sz="0" w:space="0" w:color="auto"/>
                        <w:left w:val="none" w:sz="0" w:space="0" w:color="auto"/>
                        <w:bottom w:val="none" w:sz="0" w:space="0" w:color="auto"/>
                        <w:right w:val="none" w:sz="0" w:space="0" w:color="auto"/>
                      </w:divBdr>
                      <w:divsChild>
                        <w:div w:id="1886286333">
                          <w:marLeft w:val="-15"/>
                          <w:marRight w:val="0"/>
                          <w:marTop w:val="0"/>
                          <w:marBottom w:val="0"/>
                          <w:divBdr>
                            <w:top w:val="none" w:sz="0" w:space="0" w:color="auto"/>
                            <w:left w:val="single" w:sz="6" w:space="0" w:color="EAF1F0"/>
                            <w:bottom w:val="none" w:sz="0" w:space="0" w:color="auto"/>
                            <w:right w:val="single" w:sz="48" w:space="0" w:color="EAF1F0"/>
                          </w:divBdr>
                          <w:divsChild>
                            <w:div w:id="1010445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nnals.org/search?author1=Bryan+R.+Luce&amp;sortspec=date&amp;submit=Submit" TargetMode="External"/><Relationship Id="rId13" Type="http://schemas.openxmlformats.org/officeDocument/2006/relationships/hyperlink" Target="http://www.annals.org/search?author1=Danielle+Whicher&amp;sortspec=date&amp;submit=Subm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nnals.org/search?author1=Sean+Tunis&amp;sortspec=date&amp;submit=Submit" TargetMode="External"/><Relationship Id="rId17" Type="http://schemas.openxmlformats.org/officeDocument/2006/relationships/hyperlink" Target="http://www.annals.org/content/151/3/206.full" TargetMode="External"/><Relationship Id="rId2" Type="http://schemas.openxmlformats.org/officeDocument/2006/relationships/numbering" Target="numbering.xml"/><Relationship Id="rId16" Type="http://schemas.openxmlformats.org/officeDocument/2006/relationships/hyperlink" Target="http://www.annals.org/content/151/3/206.ful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nnals.org/search?author1=Jason+T.+Connor&amp;sortspec=date&amp;submit=Submit" TargetMode="External"/><Relationship Id="rId5" Type="http://schemas.openxmlformats.org/officeDocument/2006/relationships/webSettings" Target="webSettings.xml"/><Relationship Id="rId15" Type="http://schemas.openxmlformats.org/officeDocument/2006/relationships/hyperlink" Target="http://www.annals.org/content/151/3/206.full" TargetMode="External"/><Relationship Id="rId10" Type="http://schemas.openxmlformats.org/officeDocument/2006/relationships/hyperlink" Target="http://www.annals.org/search?author1=Steven+N.+Goodman&amp;sortspec=date&amp;submit=Subm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annals.org/search?author1=Judith+M.+Kramer&amp;sortspec=date&amp;submit=Submit" TargetMode="External"/><Relationship Id="rId14" Type="http://schemas.openxmlformats.org/officeDocument/2006/relationships/hyperlink" Target="http://www.annals.org/search?author1=J.+Sanford+Schwartz&amp;sortspec=date&amp;submit=Submit"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www.annals.org/search?author1=J.+Sanford+Schwartz&amp;sortspec=date&amp;submit=Submit" TargetMode="External"/><Relationship Id="rId3" Type="http://schemas.openxmlformats.org/officeDocument/2006/relationships/hyperlink" Target="http://www.annals.org/search?author1=Judith+M.+Kramer&amp;sortspec=date&amp;submit=Submit" TargetMode="External"/><Relationship Id="rId7" Type="http://schemas.openxmlformats.org/officeDocument/2006/relationships/hyperlink" Target="http://www.annals.org/search?author1=Danielle+Whicher&amp;sortspec=date&amp;submit=Submit" TargetMode="External"/><Relationship Id="rId2" Type="http://schemas.openxmlformats.org/officeDocument/2006/relationships/hyperlink" Target="http://www.annals.org/search?author1=Bryan+R.+Luce&amp;sortspec=date&amp;submit=Submit" TargetMode="External"/><Relationship Id="rId1" Type="http://schemas.openxmlformats.org/officeDocument/2006/relationships/hyperlink" Target="mailto:sgeller@uic.edu" TargetMode="External"/><Relationship Id="rId6" Type="http://schemas.openxmlformats.org/officeDocument/2006/relationships/hyperlink" Target="http://www.annals.org/search?author1=Sean+Tunis&amp;sortspec=date&amp;submit=Submit" TargetMode="External"/><Relationship Id="rId5" Type="http://schemas.openxmlformats.org/officeDocument/2006/relationships/hyperlink" Target="http://www.annals.org/search?author1=Jason+T.+Connor&amp;sortspec=date&amp;submit=Submit" TargetMode="External"/><Relationship Id="rId4" Type="http://schemas.openxmlformats.org/officeDocument/2006/relationships/hyperlink" Target="http://www.annals.org/search?author1=Steven+N.+Goodman&amp;sortspec=date&amp;submit=Subm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89571597-4597-4FA9-9BEB-EA4867A178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4477</Words>
  <Characters>25519</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Bivins</dc:creator>
  <cp:keywords/>
  <dc:description/>
  <cp:lastModifiedBy>Roberta Bivins</cp:lastModifiedBy>
  <cp:revision>2</cp:revision>
  <dcterms:created xsi:type="dcterms:W3CDTF">2011-03-08T22:38:00Z</dcterms:created>
  <dcterms:modified xsi:type="dcterms:W3CDTF">2011-03-08T22:38:00Z</dcterms:modified>
</cp:coreProperties>
</file>