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0DEA685" w14:textId="3702F299" w:rsidR="00CC495D" w:rsidRPr="005C6073" w:rsidRDefault="00CC495D" w:rsidP="00CC495D">
      <w:pPr>
        <w:rPr>
          <w:rFonts w:ascii="Cambria" w:hAnsi="Cambria"/>
          <w:b/>
          <w:sz w:val="24"/>
          <w:szCs w:val="24"/>
        </w:rPr>
      </w:pPr>
      <w:r w:rsidRPr="005C6073">
        <w:rPr>
          <w:rFonts w:ascii="Cambria" w:hAnsi="Cambria"/>
          <w:b/>
          <w:sz w:val="24"/>
          <w:szCs w:val="24"/>
        </w:rPr>
        <w:t xml:space="preserve">The primary source </w:t>
      </w:r>
    </w:p>
    <w:p w14:paraId="38A7017A" w14:textId="77777777" w:rsidR="00CC495D" w:rsidRPr="005C6073" w:rsidRDefault="003B73E4" w:rsidP="00CC495D">
      <w:pPr>
        <w:rPr>
          <w:rFonts w:ascii="Cambria" w:hAnsi="Cambria"/>
          <w:sz w:val="24"/>
          <w:szCs w:val="24"/>
        </w:rPr>
      </w:pPr>
      <w:hyperlink r:id="rId9" w:history="1">
        <w:r w:rsidR="00CC495D" w:rsidRPr="005C6073">
          <w:rPr>
            <w:rStyle w:val="Hyperlink"/>
            <w:rFonts w:ascii="Cambria" w:hAnsi="Cambria"/>
            <w:sz w:val="24"/>
            <w:szCs w:val="24"/>
          </w:rPr>
          <w:t>Bedfordshire Archives and Records Service. L 30/15/54/125, “Grantham, Madrid to Fritz [no. 15]” (March 1779)</w:t>
        </w:r>
      </w:hyperlink>
    </w:p>
    <w:p w14:paraId="399C664E" w14:textId="7F7B9022" w:rsidR="00A5156D" w:rsidRPr="005C6073" w:rsidRDefault="00CC495D" w:rsidP="00CC495D">
      <w:pPr>
        <w:jc w:val="both"/>
        <w:rPr>
          <w:rFonts w:ascii="Cambria" w:hAnsi="Cambria"/>
          <w:sz w:val="24"/>
          <w:szCs w:val="24"/>
        </w:rPr>
      </w:pPr>
      <w:r w:rsidRPr="005C6073">
        <w:rPr>
          <w:rFonts w:ascii="Cambria" w:hAnsi="Cambria"/>
          <w:sz w:val="24"/>
          <w:szCs w:val="24"/>
        </w:rPr>
        <w:t xml:space="preserve">If you click on the link above you can read a summary transcription of the letter. </w:t>
      </w:r>
      <w:r w:rsidR="00A5156D" w:rsidRPr="005C6073">
        <w:rPr>
          <w:rFonts w:ascii="Cambria" w:hAnsi="Cambria"/>
          <w:sz w:val="24"/>
          <w:szCs w:val="24"/>
        </w:rPr>
        <w:t xml:space="preserve">The letter was sent from the British diplomat in Spain </w:t>
      </w:r>
      <w:hyperlink r:id="rId10" w:history="1">
        <w:r w:rsidR="00A5156D" w:rsidRPr="005C6073">
          <w:rPr>
            <w:rStyle w:val="Hyperlink"/>
            <w:rFonts w:ascii="Cambria" w:hAnsi="Cambria"/>
            <w:sz w:val="24"/>
            <w:szCs w:val="24"/>
          </w:rPr>
          <w:t>Thomas Robinson, Lord Grantham</w:t>
        </w:r>
      </w:hyperlink>
      <w:r w:rsidR="00A5156D" w:rsidRPr="005C6073">
        <w:rPr>
          <w:rFonts w:ascii="Cambria" w:hAnsi="Cambria"/>
          <w:sz w:val="24"/>
          <w:szCs w:val="24"/>
        </w:rPr>
        <w:t xml:space="preserve"> to his brother </w:t>
      </w:r>
      <w:hyperlink r:id="rId11" w:history="1">
        <w:r w:rsidR="00A5156D" w:rsidRPr="005C6073">
          <w:rPr>
            <w:rStyle w:val="Hyperlink"/>
            <w:rFonts w:ascii="Cambria" w:hAnsi="Cambria"/>
            <w:sz w:val="24"/>
            <w:szCs w:val="24"/>
          </w:rPr>
          <w:t>Frederick (Fritz) Robinson</w:t>
        </w:r>
      </w:hyperlink>
      <w:r w:rsidR="00A5156D" w:rsidRPr="005C6073">
        <w:rPr>
          <w:rFonts w:ascii="Cambria" w:hAnsi="Cambria"/>
          <w:sz w:val="24"/>
          <w:szCs w:val="24"/>
        </w:rPr>
        <w:t xml:space="preserve"> in London in March 1779 – just before Spain declared war on Britain in the American Revolutionary Wars of the 1770s and 1780s. The letter details the social and cultural life of the Spanish court as well as the Robinson family back in England. The brothers were had an incredibly close bond, but they also had a successful professional relationship; Freder</w:t>
      </w:r>
      <w:bookmarkStart w:id="0" w:name="_GoBack"/>
      <w:bookmarkEnd w:id="0"/>
      <w:r w:rsidR="00A5156D" w:rsidRPr="005C6073">
        <w:rPr>
          <w:rFonts w:ascii="Cambria" w:hAnsi="Cambria"/>
          <w:sz w:val="24"/>
          <w:szCs w:val="24"/>
        </w:rPr>
        <w:t xml:space="preserve">ick acted as a secretary and companion to Grantham in Spain and as an agent for Grantham back in England where he was entrusted to manage Grantham’s financial and business affairs, manage Grantham’s properties, and procure important gifts to the Spanish court. </w:t>
      </w:r>
    </w:p>
    <w:p w14:paraId="350E2DDC" w14:textId="4380502A" w:rsidR="005C6073" w:rsidRPr="005C6073" w:rsidRDefault="00CC495D" w:rsidP="00CC495D">
      <w:pPr>
        <w:jc w:val="both"/>
        <w:rPr>
          <w:rFonts w:ascii="Cambria" w:hAnsi="Cambria" w:cstheme="minorHAnsi"/>
          <w:sz w:val="24"/>
          <w:szCs w:val="24"/>
        </w:rPr>
      </w:pPr>
      <w:r w:rsidRPr="005C6073">
        <w:rPr>
          <w:rFonts w:ascii="Cambria" w:hAnsi="Cambria"/>
          <w:sz w:val="24"/>
          <w:szCs w:val="24"/>
        </w:rPr>
        <w:t>The conspicuous discussion of material goods in the letter is representative of the brothers’ correspondence generally</w:t>
      </w:r>
      <w:r w:rsidR="005C6073">
        <w:rPr>
          <w:rFonts w:ascii="Cambria" w:hAnsi="Cambria"/>
          <w:sz w:val="24"/>
          <w:szCs w:val="24"/>
        </w:rPr>
        <w:t xml:space="preserve"> – this is both in part down to a personal interest in art and furnishings and the semi-professional as secretary and agent</w:t>
      </w:r>
      <w:r w:rsidR="00A5156D" w:rsidRPr="005C6073">
        <w:rPr>
          <w:rFonts w:ascii="Cambria" w:hAnsi="Cambria"/>
          <w:sz w:val="24"/>
          <w:szCs w:val="24"/>
        </w:rPr>
        <w:t>. I</w:t>
      </w:r>
      <w:r w:rsidRPr="005C6073">
        <w:rPr>
          <w:rFonts w:ascii="Cambria" w:hAnsi="Cambria"/>
          <w:sz w:val="24"/>
          <w:szCs w:val="24"/>
        </w:rPr>
        <w:t>n the run of 301 letters in the ‘Wrest Park Collection’ at Bedfordshire</w:t>
      </w:r>
      <w:r w:rsidR="00A5156D" w:rsidRPr="005C6073">
        <w:rPr>
          <w:rFonts w:ascii="Cambria" w:hAnsi="Cambria"/>
          <w:sz w:val="24"/>
          <w:szCs w:val="24"/>
        </w:rPr>
        <w:t xml:space="preserve"> Archives</w:t>
      </w:r>
      <w:r w:rsidRPr="005C6073">
        <w:rPr>
          <w:rFonts w:ascii="Cambria" w:hAnsi="Cambria"/>
          <w:sz w:val="24"/>
          <w:szCs w:val="24"/>
        </w:rPr>
        <w:t xml:space="preserve">, hundreds were concerned with material things. </w:t>
      </w:r>
      <w:r w:rsidR="00A5156D" w:rsidRPr="005C6073">
        <w:rPr>
          <w:rFonts w:ascii="Cambria" w:hAnsi="Cambria"/>
          <w:sz w:val="24"/>
          <w:szCs w:val="24"/>
        </w:rPr>
        <w:t xml:space="preserve">When reading through </w:t>
      </w:r>
      <w:r w:rsidR="005C6073">
        <w:rPr>
          <w:rFonts w:ascii="Cambria" w:hAnsi="Cambria"/>
          <w:sz w:val="24"/>
          <w:szCs w:val="24"/>
        </w:rPr>
        <w:t>the collection, a phrase</w:t>
      </w:r>
      <w:r w:rsidR="005C6073" w:rsidRPr="005C6073">
        <w:rPr>
          <w:rFonts w:ascii="Cambria" w:hAnsi="Cambria"/>
          <w:sz w:val="24"/>
          <w:szCs w:val="24"/>
        </w:rPr>
        <w:t xml:space="preserve"> really</w:t>
      </w:r>
      <w:r w:rsidRPr="005C6073">
        <w:rPr>
          <w:rFonts w:ascii="Cambria" w:hAnsi="Cambria"/>
          <w:sz w:val="24"/>
          <w:szCs w:val="24"/>
        </w:rPr>
        <w:t xml:space="preserve"> stood out to me from this letter discussing Grantham’s ambassadorial gala coach used on formal processions into the Spanish royal palaces. Grantham wrote: “</w:t>
      </w:r>
      <w:r w:rsidRPr="005C6073">
        <w:rPr>
          <w:rFonts w:ascii="Cambria" w:hAnsi="Cambria" w:cstheme="minorHAnsi"/>
          <w:sz w:val="24"/>
          <w:szCs w:val="24"/>
        </w:rPr>
        <w:t>my Coach &amp; Buff Harness are shabby to a degree &amp; I</w:t>
      </w:r>
      <w:r w:rsidR="003547A5" w:rsidRPr="005C6073">
        <w:rPr>
          <w:rFonts w:ascii="Cambria" w:hAnsi="Cambria" w:cstheme="minorHAnsi"/>
          <w:sz w:val="24"/>
          <w:szCs w:val="24"/>
        </w:rPr>
        <w:t xml:space="preserve"> </w:t>
      </w:r>
      <w:r w:rsidRPr="005C6073">
        <w:rPr>
          <w:rFonts w:ascii="Cambria" w:hAnsi="Cambria" w:cstheme="minorHAnsi"/>
          <w:sz w:val="24"/>
          <w:szCs w:val="24"/>
        </w:rPr>
        <w:t>determine whether I can do anything to be merely decent at Aranjuez. You may think that I have no ambition to make a figure, at the same Time I must keep up appearances.</w:t>
      </w:r>
      <w:r w:rsidRPr="005C6073">
        <w:rPr>
          <w:rStyle w:val="CommentReference"/>
          <w:rFonts w:ascii="Cambria" w:hAnsi="Cambria" w:cstheme="minorHAnsi"/>
          <w:vanish/>
          <w:sz w:val="24"/>
          <w:szCs w:val="24"/>
        </w:rPr>
        <w:pgNum/>
      </w:r>
      <w:r w:rsidRPr="005C6073">
        <w:rPr>
          <w:rFonts w:ascii="Cambria" w:hAnsi="Cambria" w:cstheme="minorHAnsi"/>
          <w:sz w:val="24"/>
          <w:szCs w:val="24"/>
        </w:rPr>
        <w:t xml:space="preserve">” </w:t>
      </w:r>
    </w:p>
    <w:p w14:paraId="79F071E5" w14:textId="47E19B43" w:rsidR="00CC495D" w:rsidRPr="005C6073" w:rsidRDefault="00CC495D" w:rsidP="00CC495D">
      <w:pPr>
        <w:jc w:val="both"/>
        <w:rPr>
          <w:rFonts w:ascii="Cambria" w:hAnsi="Cambria"/>
          <w:sz w:val="24"/>
          <w:szCs w:val="24"/>
        </w:rPr>
      </w:pPr>
      <w:r w:rsidRPr="005C6073">
        <w:rPr>
          <w:rFonts w:ascii="Cambria" w:hAnsi="Cambria" w:cstheme="minorHAnsi"/>
          <w:sz w:val="24"/>
          <w:szCs w:val="24"/>
        </w:rPr>
        <w:t xml:space="preserve">This discussion of shabbiness, decency, ambition, and appearances inspired my article </w:t>
      </w:r>
      <w:r w:rsidRPr="005C6073">
        <w:rPr>
          <w:rFonts w:ascii="Cambria" w:hAnsi="Cambria"/>
          <w:i/>
          <w:sz w:val="24"/>
          <w:szCs w:val="24"/>
        </w:rPr>
        <w:t xml:space="preserve">‘To Make a Figure in the World: Elite Masculinity, Diplomatic Identity, and Material Literacy in the Correspondence of Thomas Robinson, Lord Grantham c.1770-1779’ </w:t>
      </w:r>
      <w:r w:rsidRPr="005C6073">
        <w:rPr>
          <w:rFonts w:ascii="Cambria" w:hAnsi="Cambria"/>
          <w:sz w:val="24"/>
          <w:szCs w:val="24"/>
        </w:rPr>
        <w:t xml:space="preserve">currently in revision with </w:t>
      </w:r>
      <w:r w:rsidRPr="005C6073">
        <w:rPr>
          <w:rFonts w:ascii="Cambria" w:hAnsi="Cambria"/>
          <w:i/>
          <w:sz w:val="24"/>
          <w:szCs w:val="24"/>
        </w:rPr>
        <w:t xml:space="preserve">Gender &amp; History. </w:t>
      </w:r>
      <w:r w:rsidRPr="005C6073">
        <w:rPr>
          <w:rFonts w:ascii="Cambria" w:hAnsi="Cambria"/>
          <w:sz w:val="24"/>
          <w:szCs w:val="24"/>
        </w:rPr>
        <w:t xml:space="preserve">Finding the phrase in Grantham’s life-writing made me think about its wider deployment in the vast social commentary on eighteenth-century luxury, consumer society, gender, and commodities. </w:t>
      </w:r>
    </w:p>
    <w:p w14:paraId="5EA8C4D5" w14:textId="366DB954" w:rsidR="005C6073" w:rsidRDefault="00A5156D" w:rsidP="00CC495D">
      <w:pPr>
        <w:jc w:val="both"/>
        <w:rPr>
          <w:rFonts w:ascii="Cambria" w:hAnsi="Cambria"/>
          <w:sz w:val="24"/>
          <w:szCs w:val="24"/>
        </w:rPr>
      </w:pPr>
      <w:r w:rsidRPr="005C6073">
        <w:rPr>
          <w:rFonts w:ascii="Cambria" w:hAnsi="Cambria"/>
          <w:sz w:val="24"/>
          <w:szCs w:val="24"/>
        </w:rPr>
        <w:t xml:space="preserve">For more on </w:t>
      </w:r>
      <w:r w:rsidR="005C6073" w:rsidRPr="005C6073">
        <w:rPr>
          <w:rFonts w:ascii="Cambria" w:hAnsi="Cambria"/>
          <w:sz w:val="24"/>
          <w:szCs w:val="24"/>
        </w:rPr>
        <w:t>Grantham, his career, family and background see his</w:t>
      </w:r>
      <w:hyperlink r:id="rId12" w:history="1">
        <w:r w:rsidR="001B1C29" w:rsidRPr="005C6073">
          <w:rPr>
            <w:rStyle w:val="Hyperlink"/>
            <w:rFonts w:ascii="Cambria" w:hAnsi="Cambria"/>
            <w:sz w:val="24"/>
            <w:szCs w:val="24"/>
          </w:rPr>
          <w:t xml:space="preserve"> Oxford Dictionary of National Biography entry</w:t>
        </w:r>
      </w:hyperlink>
      <w:r w:rsidR="005C6073" w:rsidRPr="005C6073">
        <w:rPr>
          <w:rFonts w:ascii="Cambria" w:hAnsi="Cambria"/>
          <w:sz w:val="24"/>
          <w:szCs w:val="24"/>
        </w:rPr>
        <w:t xml:space="preserve">. </w:t>
      </w:r>
    </w:p>
    <w:p w14:paraId="2A6B8AFB" w14:textId="1612C4F0" w:rsidR="005C6073" w:rsidRDefault="005C6073" w:rsidP="00CC495D">
      <w:pPr>
        <w:jc w:val="both"/>
        <w:rPr>
          <w:rFonts w:ascii="Cambria" w:hAnsi="Cambria"/>
          <w:b/>
          <w:sz w:val="24"/>
          <w:szCs w:val="24"/>
        </w:rPr>
      </w:pPr>
      <w:r>
        <w:rPr>
          <w:rFonts w:ascii="Cambria" w:hAnsi="Cambria"/>
          <w:b/>
          <w:sz w:val="24"/>
          <w:szCs w:val="24"/>
        </w:rPr>
        <w:t xml:space="preserve">Things to consider </w:t>
      </w:r>
    </w:p>
    <w:p w14:paraId="5C6A7C36" w14:textId="3A135601" w:rsidR="00274A1C" w:rsidRPr="005C6073" w:rsidRDefault="00274A1C" w:rsidP="00CC495D">
      <w:pPr>
        <w:jc w:val="both"/>
        <w:rPr>
          <w:rFonts w:ascii="Cambria" w:hAnsi="Cambria"/>
          <w:sz w:val="24"/>
          <w:szCs w:val="24"/>
        </w:rPr>
      </w:pPr>
      <w:r>
        <w:rPr>
          <w:rFonts w:ascii="Cambria" w:hAnsi="Cambria"/>
          <w:sz w:val="24"/>
          <w:szCs w:val="24"/>
        </w:rPr>
        <w:t>In what ways do you think this letter typical of your expectations of sibling correspondence? What does this letter tell us about the role of material goods in cultures of diplomacy and diplomatic identity? Does Grantham’s discussion of his material possession surprise you or contradict what you think about men and their material worlds?</w:t>
      </w:r>
    </w:p>
    <w:p w14:paraId="12B72971" w14:textId="77777777" w:rsidR="005C6073" w:rsidRPr="005C6073" w:rsidRDefault="005C6073" w:rsidP="00CC495D">
      <w:pPr>
        <w:jc w:val="both"/>
        <w:rPr>
          <w:rFonts w:ascii="Cambria" w:hAnsi="Cambria"/>
          <w:sz w:val="24"/>
          <w:szCs w:val="24"/>
        </w:rPr>
      </w:pPr>
    </w:p>
    <w:p w14:paraId="5B5B3DF8" w14:textId="77777777" w:rsidR="001B1C29" w:rsidRPr="005C6073" w:rsidRDefault="001B1C29" w:rsidP="00CC495D">
      <w:pPr>
        <w:jc w:val="both"/>
        <w:rPr>
          <w:rFonts w:ascii="Cambria" w:hAnsi="Cambria"/>
          <w:sz w:val="24"/>
          <w:szCs w:val="24"/>
        </w:rPr>
      </w:pPr>
    </w:p>
    <w:p w14:paraId="184E5076" w14:textId="77777777" w:rsidR="00CC495D" w:rsidRPr="005C6073" w:rsidRDefault="00CC495D" w:rsidP="00CC495D">
      <w:pPr>
        <w:jc w:val="both"/>
        <w:rPr>
          <w:rFonts w:ascii="Cambria" w:hAnsi="Cambria"/>
          <w:sz w:val="24"/>
          <w:szCs w:val="24"/>
        </w:rPr>
      </w:pPr>
    </w:p>
    <w:p w14:paraId="0F71727F" w14:textId="77777777" w:rsidR="00CC495D" w:rsidRPr="005C6073" w:rsidRDefault="00CC495D">
      <w:pPr>
        <w:rPr>
          <w:rFonts w:ascii="Cambria" w:hAnsi="Cambria"/>
        </w:rPr>
      </w:pPr>
    </w:p>
    <w:sectPr w:rsidR="00CC495D" w:rsidRPr="005C6073">
      <w:footerReference w:type="even" r:id="rId13"/>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BE25C88" w14:textId="77777777" w:rsidR="003B73E4" w:rsidRDefault="003B73E4">
      <w:pPr>
        <w:spacing w:after="0" w:line="240" w:lineRule="auto"/>
      </w:pPr>
      <w:r>
        <w:separator/>
      </w:r>
    </w:p>
  </w:endnote>
  <w:endnote w:type="continuationSeparator" w:id="0">
    <w:p w14:paraId="793B0875" w14:textId="77777777" w:rsidR="003B73E4" w:rsidRDefault="003B73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ACFF"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ambria">
    <w:altName w:val="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5026BEF" w14:textId="77777777" w:rsidR="00397241" w:rsidRDefault="00274A1C" w:rsidP="00605BD3">
    <w:pPr>
      <w:pStyle w:val="Footer"/>
      <w:framePr w:wrap="around"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p w14:paraId="48F36BC4" w14:textId="77777777" w:rsidR="00397241" w:rsidRDefault="003B73E4" w:rsidP="00397241">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C51AFB" w14:textId="77777777" w:rsidR="00397241" w:rsidRDefault="00274A1C" w:rsidP="00605BD3">
    <w:pPr>
      <w:pStyle w:val="Footer"/>
      <w:framePr w:wrap="around"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p w14:paraId="51A8BB04" w14:textId="77777777" w:rsidR="00397241" w:rsidRDefault="003B73E4" w:rsidP="00397241">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784649F" w14:textId="77777777" w:rsidR="003B73E4" w:rsidRDefault="003B73E4">
      <w:pPr>
        <w:spacing w:after="0" w:line="240" w:lineRule="auto"/>
      </w:pPr>
      <w:r>
        <w:separator/>
      </w:r>
    </w:p>
  </w:footnote>
  <w:footnote w:type="continuationSeparator" w:id="0">
    <w:p w14:paraId="6A69BCED" w14:textId="77777777" w:rsidR="003B73E4" w:rsidRDefault="003B73E4">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C495D"/>
    <w:rsid w:val="001B1C29"/>
    <w:rsid w:val="00274A1C"/>
    <w:rsid w:val="003547A5"/>
    <w:rsid w:val="003B73E4"/>
    <w:rsid w:val="005C6073"/>
    <w:rsid w:val="00A5156D"/>
    <w:rsid w:val="00CC495D"/>
    <w:rsid w:val="00E526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F76A09"/>
  <w15:chartTrackingRefBased/>
  <w15:docId w15:val="{6862906C-0C30-4C25-954A-157247C6D9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C495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C495D"/>
    <w:rPr>
      <w:color w:val="0563C1" w:themeColor="hyperlink"/>
      <w:u w:val="single"/>
    </w:rPr>
  </w:style>
  <w:style w:type="character" w:styleId="CommentReference">
    <w:name w:val="annotation reference"/>
    <w:basedOn w:val="DefaultParagraphFont"/>
    <w:uiPriority w:val="99"/>
    <w:unhideWhenUsed/>
    <w:rsid w:val="00CC495D"/>
    <w:rPr>
      <w:sz w:val="16"/>
      <w:szCs w:val="16"/>
    </w:rPr>
  </w:style>
  <w:style w:type="paragraph" w:styleId="Footer">
    <w:name w:val="footer"/>
    <w:basedOn w:val="Normal"/>
    <w:link w:val="FooterChar"/>
    <w:uiPriority w:val="99"/>
    <w:unhideWhenUsed/>
    <w:rsid w:val="00CC495D"/>
    <w:pPr>
      <w:tabs>
        <w:tab w:val="center" w:pos="4513"/>
        <w:tab w:val="right" w:pos="9026"/>
      </w:tabs>
      <w:spacing w:after="0" w:line="240" w:lineRule="auto"/>
    </w:pPr>
  </w:style>
  <w:style w:type="character" w:customStyle="1" w:styleId="FooterChar">
    <w:name w:val="Footer Char"/>
    <w:basedOn w:val="DefaultParagraphFont"/>
    <w:link w:val="Footer"/>
    <w:uiPriority w:val="99"/>
    <w:rsid w:val="00CC495D"/>
  </w:style>
  <w:style w:type="character" w:styleId="PageNumber">
    <w:name w:val="page number"/>
    <w:basedOn w:val="DefaultParagraphFont"/>
    <w:uiPriority w:val="99"/>
    <w:semiHidden/>
    <w:unhideWhenUsed/>
    <w:rsid w:val="00CC495D"/>
  </w:style>
  <w:style w:type="character" w:styleId="UnresolvedMention">
    <w:name w:val="Unresolved Mention"/>
    <w:basedOn w:val="DefaultParagraphFont"/>
    <w:uiPriority w:val="99"/>
    <w:semiHidden/>
    <w:unhideWhenUsed/>
    <w:rsid w:val="001B1C2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hyperlink" Target="https://doi.org/10.1093/ref:odnb/23880"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historyofparliamentonline.org/volume/1754-1790/member/robinson-hon-frederick-1746-92"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s://doi.org/10.1093/ref:odnb/23880" TargetMode="External"/><Relationship Id="rId4" Type="http://schemas.openxmlformats.org/officeDocument/2006/relationships/styles" Target="styles.xml"/><Relationship Id="rId9" Type="http://schemas.openxmlformats.org/officeDocument/2006/relationships/hyperlink" Target="https://discovery.nationalarchives.gov.uk/details/r/a942f3a9-6b98-4389-a861-a84d7fa6b02b"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D63B68C999317B4C931EB50CC83D9E37" ma:contentTypeVersion="9" ma:contentTypeDescription="Create a new document." ma:contentTypeScope="" ma:versionID="4b9adbdeb95a0d089cedc588ae9735f3">
  <xsd:schema xmlns:xsd="http://www.w3.org/2001/XMLSchema" xmlns:xs="http://www.w3.org/2001/XMLSchema" xmlns:p="http://schemas.microsoft.com/office/2006/metadata/properties" xmlns:ns3="5f3485f6-561c-4f9f-baa2-f00f5bbc2459" targetNamespace="http://schemas.microsoft.com/office/2006/metadata/properties" ma:root="true" ma:fieldsID="2690de26bedef865ac7ab4a95e122012" ns3:_="">
    <xsd:import namespace="5f3485f6-561c-4f9f-baa2-f00f5bbc245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f3485f6-561c-4f9f-baa2-f00f5bbc245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48831A8-3164-4944-B7FF-A4A912049CB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51AF43B-5C66-4304-B8D1-6D53273F28F0}">
  <ds:schemaRefs>
    <ds:schemaRef ds:uri="http://schemas.microsoft.com/sharepoint/v3/contenttype/forms"/>
  </ds:schemaRefs>
</ds:datastoreItem>
</file>

<file path=customXml/itemProps3.xml><?xml version="1.0" encoding="utf-8"?>
<ds:datastoreItem xmlns:ds="http://schemas.openxmlformats.org/officeDocument/2006/customXml" ds:itemID="{637D902D-78C2-4272-A0AA-E224B7B59C2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f3485f6-561c-4f9f-baa2-f00f5bbc245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42</TotalTime>
  <Pages>2</Pages>
  <Words>455</Words>
  <Characters>2597</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Benjamin Jackson (History)</dc:creator>
  <cp:keywords/>
  <dc:description/>
  <cp:lastModifiedBy>Walton, Charles</cp:lastModifiedBy>
  <cp:revision>6</cp:revision>
  <dcterms:created xsi:type="dcterms:W3CDTF">2022-01-13T09:13:00Z</dcterms:created>
  <dcterms:modified xsi:type="dcterms:W3CDTF">2022-01-18T16:07:00Z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0x010100D63B68C999317B4C931EB50CC83D9E37</vt:lpwstr>
  </property>
</Properties>
</file>