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534F83" w14:textId="77777777" w:rsidR="003A4724" w:rsidRPr="00300484" w:rsidRDefault="003A4724" w:rsidP="003A4724">
      <w:pPr>
        <w:jc w:val="center"/>
        <w:rPr>
          <w:rFonts w:ascii="Times New Roman" w:hAnsi="Times New Roman"/>
        </w:rPr>
      </w:pPr>
      <w:r w:rsidRPr="00300484">
        <w:rPr>
          <w:rFonts w:ascii="Times New Roman" w:hAnsi="Times New Roman"/>
        </w:rPr>
        <w:t>‘Big business: wholesalers, mariners and the prediction of markets for Chinese export wares in Europe, 1720-1770’</w:t>
      </w:r>
    </w:p>
    <w:p w14:paraId="561E4282" w14:textId="77777777" w:rsidR="003A4724" w:rsidRPr="00300484" w:rsidRDefault="003A4724" w:rsidP="003A4724">
      <w:pPr>
        <w:jc w:val="center"/>
        <w:rPr>
          <w:rFonts w:ascii="Times New Roman" w:hAnsi="Times New Roman" w:cs="Times New Roman"/>
          <w:b/>
          <w:lang w:val="en-GB"/>
        </w:rPr>
      </w:pPr>
    </w:p>
    <w:p w14:paraId="61EA60F9" w14:textId="77777777" w:rsidR="003A4724" w:rsidRPr="00300484" w:rsidRDefault="003A4724" w:rsidP="003A4724">
      <w:pPr>
        <w:jc w:val="center"/>
        <w:rPr>
          <w:rFonts w:ascii="Times New Roman" w:hAnsi="Times New Roman" w:cs="Times New Roman"/>
          <w:lang w:val="en-GB"/>
        </w:rPr>
      </w:pPr>
      <w:r w:rsidRPr="00300484">
        <w:rPr>
          <w:rFonts w:ascii="Times New Roman" w:hAnsi="Times New Roman" w:cs="Times New Roman"/>
          <w:lang w:val="en-GB"/>
        </w:rPr>
        <w:t xml:space="preserve">Meike Fellinger </w:t>
      </w:r>
    </w:p>
    <w:p w14:paraId="779711F0" w14:textId="77777777" w:rsidR="003A4724" w:rsidRPr="00300484" w:rsidRDefault="003A4724" w:rsidP="003A4724">
      <w:pPr>
        <w:jc w:val="center"/>
        <w:rPr>
          <w:rFonts w:ascii="Times New Roman" w:hAnsi="Times New Roman" w:cs="Times New Roman"/>
          <w:lang w:val="en-GB"/>
        </w:rPr>
      </w:pPr>
    </w:p>
    <w:p w14:paraId="79980A16" w14:textId="77777777" w:rsidR="003A4724" w:rsidRDefault="003A4724" w:rsidP="003A4724">
      <w:pPr>
        <w:jc w:val="center"/>
        <w:rPr>
          <w:rFonts w:ascii="Times New Roman" w:hAnsi="Times New Roman" w:cs="Times New Roman"/>
          <w:lang w:val="en-GB"/>
        </w:rPr>
      </w:pPr>
      <w:r w:rsidRPr="00300484">
        <w:rPr>
          <w:rFonts w:ascii="Times New Roman" w:hAnsi="Times New Roman" w:cs="Times New Roman"/>
          <w:lang w:val="en-GB"/>
        </w:rPr>
        <w:t>(University of Warwick)</w:t>
      </w:r>
    </w:p>
    <w:p w14:paraId="58C7EF64" w14:textId="77777777" w:rsidR="003A4724" w:rsidRDefault="003A4724" w:rsidP="003A4724">
      <w:pPr>
        <w:jc w:val="center"/>
        <w:rPr>
          <w:rFonts w:ascii="Times New Roman" w:hAnsi="Times New Roman" w:cs="Times New Roman"/>
          <w:lang w:val="en-GB"/>
        </w:rPr>
      </w:pPr>
      <w:r>
        <w:rPr>
          <w:rFonts w:ascii="Times New Roman" w:hAnsi="Times New Roman" w:cs="Times New Roman"/>
          <w:lang w:val="en-GB"/>
        </w:rPr>
        <w:t xml:space="preserve"> </w:t>
      </w:r>
    </w:p>
    <w:p w14:paraId="0937C3D8" w14:textId="77777777" w:rsidR="003A4724" w:rsidRPr="00086F00" w:rsidRDefault="003A4724" w:rsidP="003A4724">
      <w:pPr>
        <w:jc w:val="center"/>
        <w:rPr>
          <w:rFonts w:ascii="Times New Roman" w:hAnsi="Times New Roman" w:cs="Times New Roman"/>
          <w:lang w:val="en-GB"/>
        </w:rPr>
      </w:pPr>
      <w:r w:rsidRPr="00086F00">
        <w:rPr>
          <w:rFonts w:ascii="Times New Roman" w:hAnsi="Times New Roman" w:cs="Times New Roman"/>
          <w:lang w:val="en-GB"/>
        </w:rPr>
        <w:t>Abstract</w:t>
      </w:r>
    </w:p>
    <w:p w14:paraId="3B60FA41" w14:textId="77777777" w:rsidR="003A4724" w:rsidRPr="00FB32D3" w:rsidRDefault="003A4724" w:rsidP="003A4724">
      <w:pPr>
        <w:jc w:val="both"/>
        <w:rPr>
          <w:rFonts w:ascii="Times New Roman" w:hAnsi="Times New Roman" w:cs="Times New Roman"/>
          <w:i/>
          <w:lang w:val="en-GB"/>
        </w:rPr>
      </w:pPr>
      <w:r w:rsidRPr="00990E55">
        <w:rPr>
          <w:rFonts w:ascii="Times New Roman" w:hAnsi="Times New Roman" w:cs="Times New Roman"/>
          <w:i/>
          <w:lang w:val="en-GB"/>
        </w:rPr>
        <w:t xml:space="preserve">This paper discusses the informal networks and commercial activities of British mariners in the service of different European East India Companies in the first half of the 18th century. At that time, only few merchants and mariners enjoyed direct access to the profitable trade in Canton. Those who did, however, developed sophisticated trade schemes that allowed them to profit enormously from their private trade allowances, insider knowledge and patronage networks within Company hierarchies. An aspect that has hitherto been ignored is the way in which China traders were also deeply involved in the profitable intra-European </w:t>
      </w:r>
      <w:r>
        <w:rPr>
          <w:rFonts w:ascii="Times New Roman" w:hAnsi="Times New Roman" w:cs="Times New Roman"/>
          <w:i/>
          <w:lang w:val="en-GB"/>
        </w:rPr>
        <w:t>trade in Chinese consumer wares. The central concern of this paper is to reveal the close cooperation between British China traders and leading wholesalers on the continent - a transnational partnership that helped both groups to transform the uncertainties involved in long-distance trade into manageable risks. The sharing of information, privileges and investments between the highly mobile group of Company supercargoes and captains and sedentary dealers in Europe generated new opportunities for these syndicates to actively shape markets for Chinese export wares</w:t>
      </w:r>
      <w:r w:rsidRPr="000B37F0">
        <w:rPr>
          <w:rFonts w:ascii="Times New Roman" w:hAnsi="Times New Roman" w:cs="Times New Roman"/>
          <w:i/>
          <w:lang w:val="en-GB"/>
        </w:rPr>
        <w:t>. I maintain that through the scrutiny of private correspondence and account books of merchant seamen, we can learn a great deal about the missing link between the arrival of goods from the East in the different Company headquarters and the eventual re-distribution to all parts of Europe.</w:t>
      </w:r>
      <w:r>
        <w:rPr>
          <w:rFonts w:ascii="Times New Roman" w:hAnsi="Times New Roman" w:cs="Times New Roman"/>
          <w:i/>
          <w:lang w:val="en-GB"/>
        </w:rPr>
        <w:t xml:space="preserve"> </w:t>
      </w:r>
    </w:p>
    <w:p w14:paraId="126D5FB7" w14:textId="77777777" w:rsidR="003A4724" w:rsidRPr="00BA7744" w:rsidRDefault="003A4724" w:rsidP="003A4724">
      <w:pPr>
        <w:jc w:val="both"/>
        <w:rPr>
          <w:rFonts w:ascii="Times New Roman" w:hAnsi="Times New Roman" w:cs="Times New Roman"/>
          <w:lang w:val="en-GB"/>
        </w:rPr>
      </w:pPr>
    </w:p>
    <w:p w14:paraId="08FDA9A1" w14:textId="77777777" w:rsidR="003A4724" w:rsidRPr="00BA7744" w:rsidRDefault="003A4724" w:rsidP="003A4724">
      <w:pPr>
        <w:jc w:val="center"/>
        <w:rPr>
          <w:rFonts w:ascii="Times New Roman" w:hAnsi="Times New Roman" w:cs="Times New Roman"/>
          <w:lang w:val="en-GB"/>
        </w:rPr>
      </w:pPr>
    </w:p>
    <w:p w14:paraId="0661372B" w14:textId="77777777" w:rsidR="003A4724" w:rsidRDefault="003A4724" w:rsidP="003A4724">
      <w:pPr>
        <w:spacing w:line="360" w:lineRule="auto"/>
        <w:jc w:val="both"/>
        <w:rPr>
          <w:rFonts w:ascii="Times New Roman" w:hAnsi="Times New Roman" w:cs="Times New Roman"/>
          <w:b/>
          <w:lang w:val="en-GB"/>
        </w:rPr>
      </w:pPr>
      <w:r>
        <w:rPr>
          <w:rFonts w:ascii="Times New Roman" w:hAnsi="Times New Roman" w:cs="Times New Roman"/>
          <w:b/>
          <w:lang w:val="en-GB"/>
        </w:rPr>
        <w:t>Introduction</w:t>
      </w:r>
    </w:p>
    <w:p w14:paraId="5A8E3081" w14:textId="77777777" w:rsidR="003A4724" w:rsidRPr="00086F00" w:rsidRDefault="003A4724" w:rsidP="003A4724">
      <w:pPr>
        <w:spacing w:line="360" w:lineRule="auto"/>
        <w:jc w:val="both"/>
        <w:rPr>
          <w:rFonts w:ascii="Times New Roman" w:hAnsi="Times New Roman" w:cs="Times New Roman"/>
          <w:b/>
          <w:lang w:val="en-GB"/>
        </w:rPr>
      </w:pPr>
    </w:p>
    <w:p w14:paraId="1BE7B46F" w14:textId="77777777" w:rsidR="003A4724" w:rsidRDefault="003A4724" w:rsidP="003A4724">
      <w:pPr>
        <w:spacing w:line="360" w:lineRule="auto"/>
        <w:ind w:left="709" w:right="419"/>
        <w:jc w:val="both"/>
        <w:rPr>
          <w:rFonts w:ascii="Times New Roman" w:hAnsi="Times New Roman" w:cs="Times New Roman"/>
          <w:lang w:val="en-GB"/>
        </w:rPr>
      </w:pPr>
      <w:r>
        <w:rPr>
          <w:rFonts w:ascii="Times New Roman" w:hAnsi="Times New Roman" w:cs="Times New Roman"/>
          <w:lang w:val="en-GB"/>
        </w:rPr>
        <w:t xml:space="preserve"> ‘[O]ur commerce, to the East Indies is one great wheel that moves all the rest’</w:t>
      </w:r>
      <w:r>
        <w:rPr>
          <w:rStyle w:val="Funotenzeichen"/>
          <w:lang w:val="en-GB"/>
        </w:rPr>
        <w:footnoteReference w:id="1"/>
      </w:r>
    </w:p>
    <w:p w14:paraId="2301CB8F" w14:textId="77777777" w:rsidR="003A4724" w:rsidRDefault="003A4724" w:rsidP="003A4724">
      <w:pPr>
        <w:spacing w:line="360" w:lineRule="auto"/>
        <w:jc w:val="both"/>
        <w:rPr>
          <w:rFonts w:ascii="Times New Roman" w:hAnsi="Times New Roman" w:cs="Times New Roman"/>
          <w:lang w:val="en-GB"/>
        </w:rPr>
      </w:pPr>
    </w:p>
    <w:p w14:paraId="16EB007F" w14:textId="77777777" w:rsidR="003A4724" w:rsidRPr="00086F00" w:rsidRDefault="003A4724" w:rsidP="003A4724">
      <w:pPr>
        <w:spacing w:line="360" w:lineRule="auto"/>
        <w:jc w:val="both"/>
        <w:rPr>
          <w:rFonts w:ascii="Times New Roman" w:hAnsi="Times New Roman" w:cs="Times New Roman"/>
          <w:lang w:val="en-GB"/>
        </w:rPr>
      </w:pPr>
      <w:r>
        <w:rPr>
          <w:rFonts w:ascii="Times New Roman" w:hAnsi="Times New Roman" w:cs="Times New Roman"/>
          <w:lang w:val="en-GB"/>
        </w:rPr>
        <w:t xml:space="preserve">Published in 1757, in his </w:t>
      </w:r>
      <w:r w:rsidRPr="00086F00">
        <w:rPr>
          <w:rFonts w:ascii="Times New Roman" w:hAnsi="Times New Roman" w:cs="Times New Roman"/>
          <w:i/>
          <w:lang w:val="en-GB"/>
        </w:rPr>
        <w:t>Dictionary of Trade and Commerce</w:t>
      </w:r>
      <w:r>
        <w:rPr>
          <w:rFonts w:ascii="Times New Roman" w:hAnsi="Times New Roman" w:cs="Times New Roman"/>
          <w:lang w:val="en-GB"/>
        </w:rPr>
        <w:t xml:space="preserve">, </w:t>
      </w:r>
      <w:r w:rsidRPr="006D0ADB">
        <w:rPr>
          <w:rFonts w:ascii="Times New Roman" w:hAnsi="Times New Roman" w:cs="Times New Roman"/>
          <w:lang w:val="en-GB"/>
        </w:rPr>
        <w:t>Malachy</w:t>
      </w:r>
      <w:r>
        <w:rPr>
          <w:rFonts w:ascii="Times New Roman" w:hAnsi="Times New Roman" w:cs="Times New Roman"/>
          <w:lang w:val="en-GB"/>
        </w:rPr>
        <w:t xml:space="preserve"> Postlethwayt emphasised the wider influence that long-distance trade with Asia had for Britain’s economic and political development. His defense of the Company monopoly as the most suitable form for competitive trading in the East derived from his conviction of the transformative power that this joint-stock Company had for Britain’s rise to wealth and influence in the world.</w:t>
      </w:r>
      <w:r>
        <w:rPr>
          <w:rStyle w:val="Funotenzeichen"/>
          <w:lang w:val="en-GB"/>
        </w:rPr>
        <w:footnoteReference w:id="2"/>
      </w:r>
      <w:r>
        <w:rPr>
          <w:rFonts w:ascii="Times New Roman" w:hAnsi="Times New Roman" w:cs="Times New Roman"/>
          <w:lang w:val="en-GB"/>
        </w:rPr>
        <w:t xml:space="preserve"> He argued that due to the East India trade ‘shipping and commerce in general has been much </w:t>
      </w:r>
      <w:r>
        <w:rPr>
          <w:rFonts w:ascii="Times New Roman" w:hAnsi="Times New Roman" w:cs="Times New Roman"/>
          <w:lang w:val="en-GB"/>
        </w:rPr>
        <w:lastRenderedPageBreak/>
        <w:t>extended’ to the point that ‘the face of Europe has been entirely changed’</w:t>
      </w:r>
      <w:r>
        <w:rPr>
          <w:rStyle w:val="Funotenzeichen"/>
          <w:lang w:val="en-GB"/>
        </w:rPr>
        <w:footnoteReference w:id="3"/>
      </w:r>
      <w:r>
        <w:rPr>
          <w:rFonts w:ascii="Times New Roman" w:hAnsi="Times New Roman" w:cs="Times New Roman"/>
          <w:lang w:val="en-GB"/>
        </w:rPr>
        <w:t xml:space="preserve">. Economic writers of the eighteenth and historians of the twenty-first centuries seem to agree that goods from the East, both foodstuffs and fine manufactured goods, were powerful catalysts for economic growth and a seemingly irreversible transformation of </w:t>
      </w:r>
      <w:r w:rsidRPr="00DE65EA">
        <w:rPr>
          <w:rFonts w:ascii="Times New Roman" w:hAnsi="Times New Roman" w:cs="Times New Roman"/>
          <w:i/>
          <w:lang w:val="en-GB"/>
        </w:rPr>
        <w:t>ancien régime</w:t>
      </w:r>
      <w:r>
        <w:rPr>
          <w:rFonts w:ascii="Times New Roman" w:hAnsi="Times New Roman" w:cs="Times New Roman"/>
          <w:lang w:val="en-GB"/>
        </w:rPr>
        <w:t xml:space="preserve"> consumer cultures into modern consumer societies.</w:t>
      </w:r>
      <w:r>
        <w:rPr>
          <w:rStyle w:val="Funotenzeichen"/>
          <w:lang w:val="en-GB"/>
        </w:rPr>
        <w:footnoteReference w:id="4"/>
      </w:r>
      <w:r>
        <w:rPr>
          <w:rFonts w:ascii="Times New Roman" w:hAnsi="Times New Roman" w:cs="Times New Roman"/>
          <w:lang w:val="en-GB"/>
        </w:rPr>
        <w:t xml:space="preserve"> Euro-Asian trade, and with it the influx of a wide range of new and desirable consumer goods, were key elements of that transformation, denoting a cultural shift that was felt in all corners of Europe and not only on its northwestern fringes.</w:t>
      </w:r>
      <w:r>
        <w:rPr>
          <w:rStyle w:val="Funotenzeichen"/>
          <w:lang w:val="en-GB"/>
        </w:rPr>
        <w:footnoteReference w:id="5"/>
      </w:r>
      <w:r>
        <w:rPr>
          <w:rFonts w:ascii="Times New Roman" w:hAnsi="Times New Roman" w:cs="Times New Roman"/>
          <w:lang w:val="en-GB"/>
        </w:rPr>
        <w:t xml:space="preserve"> </w:t>
      </w:r>
    </w:p>
    <w:p w14:paraId="507ECFEB" w14:textId="77777777" w:rsidR="003A4724" w:rsidRDefault="003A4724" w:rsidP="003A4724">
      <w:pPr>
        <w:spacing w:line="360" w:lineRule="auto"/>
        <w:jc w:val="both"/>
        <w:rPr>
          <w:rFonts w:ascii="Times New Roman" w:hAnsi="Times New Roman" w:cs="Times New Roman"/>
          <w:lang w:val="en-GB"/>
        </w:rPr>
      </w:pPr>
      <w:r>
        <w:rPr>
          <w:rFonts w:ascii="Times New Roman" w:hAnsi="Times New Roman" w:cs="Times New Roman"/>
          <w:lang w:val="en-GB"/>
        </w:rPr>
        <w:t>Monopoly companies are generally considered as building blocks of this transformative Eastern trade. Atlantic historians in particular use the example of the restrictive East India trade with its ‘single corporate control’ as a foil against which to compare the individual entrepreneurship and highly ‘competitive structure of colonial commerce’ in the New World.</w:t>
      </w:r>
      <w:r>
        <w:rPr>
          <w:rStyle w:val="Funotenzeichen"/>
          <w:lang w:val="en-GB"/>
        </w:rPr>
        <w:footnoteReference w:id="6"/>
      </w:r>
      <w:r>
        <w:rPr>
          <w:rFonts w:ascii="Times New Roman" w:hAnsi="Times New Roman" w:cs="Times New Roman"/>
          <w:lang w:val="en-GB"/>
        </w:rPr>
        <w:t xml:space="preserve"> This contrasting juxtaposition of the two trade systems works, however, only on a meta-level. Its analytical strength ceases if we consider the kinds of business practices and distribution networks that Company servants, including the respective directors of the European East India Companies developed at the very core of this ‘monopoly enterprise’.</w:t>
      </w:r>
      <w:r>
        <w:rPr>
          <w:rStyle w:val="Funotenzeichen"/>
          <w:lang w:val="en-GB"/>
        </w:rPr>
        <w:footnoteReference w:id="7"/>
      </w:r>
      <w:r>
        <w:rPr>
          <w:rFonts w:ascii="Times New Roman" w:hAnsi="Times New Roman" w:cs="Times New Roman"/>
          <w:lang w:val="en-GB"/>
        </w:rPr>
        <w:t xml:space="preserve"> For many </w:t>
      </w:r>
      <w:r w:rsidRPr="008E2F33">
        <w:rPr>
          <w:rFonts w:ascii="Times New Roman" w:hAnsi="Times New Roman" w:cs="Times New Roman"/>
          <w:lang w:val="en-GB"/>
        </w:rPr>
        <w:t>scholars, and not just Atlantic historians, trade monopolies represent a beguilingly simple system. Characterised by corporate control, an efficient bureaucracy and the power to protect national trade privileges, East</w:t>
      </w:r>
      <w:r>
        <w:rPr>
          <w:rFonts w:ascii="Times New Roman" w:hAnsi="Times New Roman" w:cs="Times New Roman"/>
          <w:lang w:val="en-GB"/>
        </w:rPr>
        <w:t xml:space="preserve"> India Companies are often seen as strongholds of mercantilism. By contrast, this paper attempts to question this persistent view on monopolies by focusing on the fickle nature of the Canton trade – as a haven for private enterprise in addition to its long-established image as an arena for inter-Company rivalries. </w:t>
      </w:r>
    </w:p>
    <w:p w14:paraId="2BFB44A9" w14:textId="77777777" w:rsidR="003A4724" w:rsidRDefault="003A4724" w:rsidP="003A4724">
      <w:pPr>
        <w:spacing w:line="360" w:lineRule="auto"/>
        <w:ind w:firstLine="708"/>
        <w:jc w:val="both"/>
        <w:rPr>
          <w:rFonts w:ascii="Times New Roman" w:hAnsi="Times New Roman" w:cs="Times New Roman"/>
          <w:lang w:val="en-GB"/>
        </w:rPr>
      </w:pPr>
      <w:r w:rsidRPr="0053339B">
        <w:rPr>
          <w:rFonts w:ascii="Times New Roman" w:hAnsi="Times New Roman" w:cs="Times New Roman"/>
          <w:lang w:val="en-GB"/>
        </w:rPr>
        <w:t>Instead of regarding monopoly companies as institution</w:t>
      </w:r>
      <w:r>
        <w:rPr>
          <w:rFonts w:ascii="Times New Roman" w:hAnsi="Times New Roman" w:cs="Times New Roman"/>
          <w:lang w:val="en-GB"/>
        </w:rPr>
        <w:t>s with a life of</w:t>
      </w:r>
      <w:r w:rsidRPr="0053339B">
        <w:rPr>
          <w:rFonts w:ascii="Times New Roman" w:hAnsi="Times New Roman" w:cs="Times New Roman"/>
          <w:lang w:val="en-GB"/>
        </w:rPr>
        <w:t xml:space="preserve"> their own, this paper </w:t>
      </w:r>
      <w:r w:rsidRPr="00300484">
        <w:rPr>
          <w:rFonts w:ascii="Times New Roman" w:hAnsi="Times New Roman" w:cs="Times New Roman"/>
          <w:lang w:val="en-GB"/>
        </w:rPr>
        <w:t>develops out of the basic insight that these organizations were formed and shaped by individuals, many of them pursuing their own commercial ventures. That is, merchants and</w:t>
      </w:r>
      <w:r w:rsidRPr="00BA7744">
        <w:rPr>
          <w:rFonts w:ascii="Times New Roman" w:hAnsi="Times New Roman" w:cs="Times New Roman"/>
          <w:lang w:val="en-GB"/>
        </w:rPr>
        <w:t xml:space="preserve"> mariners who plied the Eastern seas in the service of various European East India Companies conducted extensive private trade using</w:t>
      </w:r>
      <w:r>
        <w:rPr>
          <w:rFonts w:ascii="Times New Roman" w:hAnsi="Times New Roman" w:cs="Times New Roman"/>
          <w:lang w:val="en-GB"/>
        </w:rPr>
        <w:t xml:space="preserve"> Company </w:t>
      </w:r>
      <w:r w:rsidRPr="00300484">
        <w:rPr>
          <w:rFonts w:ascii="Times New Roman" w:hAnsi="Times New Roman" w:cs="Times New Roman"/>
          <w:lang w:val="en-GB"/>
        </w:rPr>
        <w:t>resources and their infrastructures</w:t>
      </w:r>
      <w:r>
        <w:rPr>
          <w:rFonts w:ascii="Times New Roman" w:hAnsi="Times New Roman" w:cs="Times New Roman"/>
          <w:lang w:val="en-GB"/>
        </w:rPr>
        <w:t xml:space="preserve"> </w:t>
      </w:r>
      <w:r w:rsidRPr="00BA7744">
        <w:rPr>
          <w:rFonts w:ascii="Times New Roman" w:hAnsi="Times New Roman" w:cs="Times New Roman"/>
          <w:lang w:val="en-GB"/>
        </w:rPr>
        <w:t xml:space="preserve">to accumulate goods that could later be </w:t>
      </w:r>
      <w:r w:rsidRPr="00EC0023">
        <w:rPr>
          <w:rFonts w:ascii="Times New Roman" w:hAnsi="Times New Roman" w:cs="Times New Roman"/>
          <w:lang w:val="en-GB"/>
        </w:rPr>
        <w:t xml:space="preserve">sold with considerable profit in different markets in Asia and Europe. It might be counter-intuitive, but </w:t>
      </w:r>
      <w:r>
        <w:rPr>
          <w:rFonts w:ascii="Times New Roman" w:hAnsi="Times New Roman" w:cs="Times New Roman"/>
          <w:lang w:val="en-GB"/>
        </w:rPr>
        <w:t>British-born C</w:t>
      </w:r>
      <w:r w:rsidRPr="00EC0023">
        <w:rPr>
          <w:rFonts w:ascii="Times New Roman" w:hAnsi="Times New Roman" w:cs="Times New Roman"/>
          <w:lang w:val="en-GB"/>
        </w:rPr>
        <w:t>hina traders did not simply sell of their private trade cargo</w:t>
      </w:r>
      <w:r w:rsidRPr="00EC0023">
        <w:rPr>
          <w:rFonts w:ascii="Times New Roman" w:hAnsi="Times New Roman" w:cs="Times New Roman"/>
          <w:i/>
          <w:lang w:val="en-GB"/>
        </w:rPr>
        <w:t xml:space="preserve"> </w:t>
      </w:r>
      <w:r w:rsidRPr="00EC0023">
        <w:rPr>
          <w:rFonts w:ascii="Times New Roman" w:hAnsi="Times New Roman" w:cs="Times New Roman"/>
          <w:lang w:val="en-GB"/>
        </w:rPr>
        <w:t xml:space="preserve">at Company auctions. Rather, they were also major buyers at these European company sales </w:t>
      </w:r>
      <w:r w:rsidRPr="00EC0023">
        <w:rPr>
          <w:rFonts w:ascii="Times New Roman" w:hAnsi="Times New Roman" w:cs="Times New Roman"/>
          <w:i/>
          <w:lang w:val="en-GB"/>
        </w:rPr>
        <w:t>themselves</w:t>
      </w:r>
      <w:r w:rsidRPr="00EC0023">
        <w:rPr>
          <w:rFonts w:ascii="Times New Roman" w:hAnsi="Times New Roman" w:cs="Times New Roman"/>
          <w:lang w:val="en-GB"/>
        </w:rPr>
        <w:t>. In other words,</w:t>
      </w:r>
      <w:r>
        <w:rPr>
          <w:rFonts w:ascii="Times New Roman" w:hAnsi="Times New Roman" w:cs="Times New Roman"/>
          <w:lang w:val="en-GB"/>
        </w:rPr>
        <w:t xml:space="preserve"> a China supercargo turned wholesaler could profit from the flourishing re-export and smuggling trade that closely linked different markets in Europe. Opportunistic and entrepreneurial </w:t>
      </w:r>
      <w:r w:rsidRPr="00300484">
        <w:rPr>
          <w:rFonts w:ascii="Times New Roman" w:hAnsi="Times New Roman" w:cs="Times New Roman"/>
          <w:lang w:val="en-GB"/>
        </w:rPr>
        <w:t>behaviour among merchant seamen can best be traced in private correspondence, cash books and wills, since official Company records give the misleading impression that ‘insider trading’, smuggling, and cross</w:t>
      </w:r>
      <w:r>
        <w:rPr>
          <w:rFonts w:ascii="Times New Roman" w:hAnsi="Times New Roman" w:cs="Times New Roman"/>
          <w:lang w:val="en-GB"/>
        </w:rPr>
        <w:t>-Company investments were the exception rather than the rule.</w:t>
      </w:r>
      <w:r>
        <w:rPr>
          <w:rStyle w:val="Funotenzeichen"/>
          <w:lang w:val="en-GB"/>
        </w:rPr>
        <w:footnoteReference w:id="8"/>
      </w:r>
      <w:r>
        <w:rPr>
          <w:rFonts w:ascii="Times New Roman" w:hAnsi="Times New Roman" w:cs="Times New Roman"/>
          <w:lang w:val="en-GB"/>
        </w:rPr>
        <w:t xml:space="preserve"> </w:t>
      </w:r>
    </w:p>
    <w:p w14:paraId="6185DC83" w14:textId="77777777" w:rsidR="003A4724" w:rsidRPr="003A4724" w:rsidRDefault="003A4724" w:rsidP="003A4724">
      <w:pPr>
        <w:spacing w:line="360" w:lineRule="auto"/>
        <w:ind w:firstLine="708"/>
        <w:jc w:val="both"/>
        <w:rPr>
          <w:rFonts w:ascii="Times New Roman" w:hAnsi="Times New Roman" w:cs="Times New Roman"/>
          <w:lang w:val="en-GB"/>
        </w:rPr>
      </w:pPr>
      <w:r>
        <w:rPr>
          <w:rFonts w:ascii="Times New Roman" w:hAnsi="Times New Roman" w:cs="Times New Roman"/>
          <w:lang w:val="en-GB"/>
        </w:rPr>
        <w:t>By contrast, this paper argues that such ‘illegal’ activities were actually routine matters for China traders. F</w:t>
      </w:r>
      <w:r w:rsidRPr="00E315C8">
        <w:rPr>
          <w:rFonts w:ascii="Times New Roman" w:hAnsi="Times New Roman" w:cs="Times New Roman"/>
          <w:lang w:val="en-GB"/>
        </w:rPr>
        <w:t>rom a private trade perspective, the East India</w:t>
      </w:r>
      <w:r>
        <w:rPr>
          <w:rFonts w:ascii="Times New Roman" w:hAnsi="Times New Roman" w:cs="Times New Roman"/>
          <w:lang w:val="en-GB"/>
        </w:rPr>
        <w:t xml:space="preserve"> Companies appeared to be no more than shells or, as Andrew MacKillop once put it, the ‘enabling mechanism’ for individual commercial enterprise.</w:t>
      </w:r>
      <w:r>
        <w:rPr>
          <w:rStyle w:val="Funotenzeichen"/>
          <w:lang w:val="en-GB"/>
        </w:rPr>
        <w:footnoteReference w:id="9"/>
      </w:r>
      <w:r>
        <w:rPr>
          <w:rFonts w:ascii="Times New Roman" w:hAnsi="Times New Roman" w:cs="Times New Roman"/>
          <w:lang w:val="en-GB"/>
        </w:rPr>
        <w:t xml:space="preserve"> </w:t>
      </w:r>
      <w:r w:rsidRPr="003A4724">
        <w:rPr>
          <w:rFonts w:ascii="Times New Roman" w:hAnsi="Times New Roman" w:cs="Times New Roman"/>
          <w:lang w:val="en-GB"/>
        </w:rPr>
        <w:t>As this study will show, the entrepreneurial behaviour of merchant mariners was greatly facilitated by the existence of extensive private trade networks that criss-crossed the boundaries of the different Companies. Hence this paper asks how did these private networks of supercargoes and commanders look like? What kind of business practices developed out of the latter’s privileged position as Canton traders? And with whom, other than their immediate employer, did China traders compete or cooperate? In order to answer these questions, it is impossible to study Company servants in isolation from other commercial players and markets in Europe. By contrast, it is necessary to acknowledge that Company supercargoes and commanders were closely integrated into pan-European trade networks through their involvement in different branches of commerce such as banking, insurance, shipping and wholesale trade. In many cases the China trade was simply added to their on-going activities in the intra-European and Atlantic trade.</w:t>
      </w:r>
      <w:r w:rsidRPr="003A4724">
        <w:rPr>
          <w:rStyle w:val="Funotenzeichen"/>
          <w:lang w:val="en-GB"/>
        </w:rPr>
        <w:footnoteReference w:id="10"/>
      </w:r>
      <w:r w:rsidRPr="003A4724">
        <w:rPr>
          <w:rFonts w:ascii="Times New Roman" w:hAnsi="Times New Roman" w:cs="Times New Roman"/>
          <w:lang w:val="en-GB"/>
        </w:rPr>
        <w:t xml:space="preserve"> The complex networks that Company servants developed in Europe thus reflected their diverse commercial interests. At the same time, merchants and mariners actively sought the contact of specialised dealers in Oriental export wares. Indeed, it is the close relationship between China traders and a group of sedentary dealers based in places like Amsterdam, Hamburg, Stockholm and London that helps to explain some of the gaps in the literature on the functioning of markets for Chinese export wares in Europe. </w:t>
      </w:r>
      <w:r w:rsidRPr="003A4724">
        <w:rPr>
          <w:rFonts w:ascii="Times New Roman" w:hAnsi="Times New Roman" w:cs="Times New Roman"/>
        </w:rPr>
        <w:t xml:space="preserve">Carolyn Sargentson’s important study of the trading operations of </w:t>
      </w:r>
      <w:r w:rsidRPr="003A4724">
        <w:rPr>
          <w:rFonts w:ascii="Times New Roman" w:hAnsi="Times New Roman" w:cs="Times New Roman"/>
          <w:i/>
        </w:rPr>
        <w:t>marchand merciers</w:t>
      </w:r>
      <w:r w:rsidRPr="003A4724">
        <w:rPr>
          <w:rFonts w:ascii="Times New Roman" w:hAnsi="Times New Roman" w:cs="Times New Roman"/>
        </w:rPr>
        <w:t xml:space="preserve"> in Paris has pointed to the possible links between French mercers and Dutch suppliers of Eastern luxuries. However, a comprehensive study of the intra-European wholesale trade in Chinese and Japanese export wares still awaits to be written. The transactions between wholesalers and Company servants represent a missing link in the study of urban retailing and helps to understand the ways in which individual merchants could influence the supply of specific goods and qualities.</w:t>
      </w:r>
      <w:r w:rsidRPr="003A4724">
        <w:rPr>
          <w:rStyle w:val="Funotenzeichen"/>
          <w:lang w:val="en-GB"/>
        </w:rPr>
        <w:footnoteReference w:id="11"/>
      </w:r>
    </w:p>
    <w:p w14:paraId="6769749D" w14:textId="77777777" w:rsidR="003A4724" w:rsidRDefault="003A4724" w:rsidP="003A4724">
      <w:pPr>
        <w:spacing w:line="360" w:lineRule="auto"/>
        <w:ind w:firstLine="708"/>
        <w:jc w:val="both"/>
        <w:rPr>
          <w:rFonts w:ascii="Times New Roman" w:hAnsi="Times New Roman" w:cs="Times New Roman"/>
          <w:lang w:val="en-GB"/>
        </w:rPr>
      </w:pPr>
      <w:r w:rsidRPr="003A4724">
        <w:rPr>
          <w:rFonts w:ascii="Times New Roman" w:hAnsi="Times New Roman" w:cs="Times New Roman"/>
          <w:lang w:val="en-GB"/>
        </w:rPr>
        <w:t>To reveal the practicalities of this collaboration between merchant seaman</w:t>
      </w:r>
      <w:r w:rsidRPr="00300484">
        <w:rPr>
          <w:rFonts w:ascii="Times New Roman" w:hAnsi="Times New Roman" w:cs="Times New Roman"/>
          <w:lang w:val="en-GB"/>
        </w:rPr>
        <w:t xml:space="preserve"> and European wholesalers, this paper is divided into three parts. The first section looks at the competitive relationship between</w:t>
      </w:r>
      <w:r>
        <w:rPr>
          <w:rFonts w:ascii="Times New Roman" w:hAnsi="Times New Roman" w:cs="Times New Roman"/>
          <w:lang w:val="en-GB"/>
        </w:rPr>
        <w:t xml:space="preserve"> Company and private trade, at customs and niches, in order to show how European wholesalers came to form partnerships with </w:t>
      </w:r>
      <w:r w:rsidRPr="00C6584F">
        <w:rPr>
          <w:rFonts w:ascii="Times New Roman" w:hAnsi="Times New Roman" w:cs="Times New Roman"/>
          <w:lang w:val="en-GB"/>
        </w:rPr>
        <w:t>individual supercargoes or captains. By taking a closer look at large-scale commissions of silks, the</w:t>
      </w:r>
      <w:r>
        <w:rPr>
          <w:rFonts w:ascii="Times New Roman" w:hAnsi="Times New Roman" w:cs="Times New Roman"/>
          <w:lang w:val="en-GB"/>
        </w:rPr>
        <w:t xml:space="preserve"> crucial role of merchant mariners as commission agents will be explained. The second section moves on to discuss how the partnership between wholesalers and Company servants was extended and transformed when the latter returned to Europe. British Canton traders sold Chinese consumer goods in different markets across Europe. For doing do, they heavily relied upon the good service and local knowledge of factors who </w:t>
      </w:r>
      <w:r w:rsidRPr="00300484">
        <w:rPr>
          <w:rFonts w:ascii="Times New Roman" w:hAnsi="Times New Roman" w:cs="Times New Roman"/>
          <w:lang w:val="en-GB"/>
        </w:rPr>
        <w:t>were (maybe not surprisingly) the same wholesale merchants for whom they carried out private commissions. The fact that eighteenth-century merchants and mariners ‘of the highest credit’ were acting ‘mutually in the capacity of factors for each other’ explains the kind of obligations that arose out of this integration of ‘monopoly traders’ into European wholesale and retail networks.</w:t>
      </w:r>
      <w:r w:rsidRPr="00300484">
        <w:rPr>
          <w:rStyle w:val="Funotenzeichen"/>
          <w:lang w:val="en-GB"/>
        </w:rPr>
        <w:footnoteReference w:id="12"/>
      </w:r>
      <w:r w:rsidRPr="00300484">
        <w:rPr>
          <w:rFonts w:ascii="Times New Roman" w:hAnsi="Times New Roman" w:cs="Times New Roman"/>
          <w:lang w:val="en-GB"/>
        </w:rPr>
        <w:t xml:space="preserve"> Building on the analysis of these obligations, the last section of this paper focuses on the immaterial exchange between both groups and concerns their attempts to predict price developments and changes in demand. As will be shown, both merchant mariners and sedentary dealers were heavily involved in speculation. The correspondence between tea dealers and Company supercargoes will</w:t>
      </w:r>
      <w:r>
        <w:rPr>
          <w:rFonts w:ascii="Times New Roman" w:hAnsi="Times New Roman" w:cs="Times New Roman"/>
          <w:lang w:val="en-GB"/>
        </w:rPr>
        <w:t xml:space="preserve"> thus be analysed with regard to </w:t>
      </w:r>
      <w:r w:rsidRPr="00D118F4">
        <w:rPr>
          <w:rFonts w:ascii="Times New Roman" w:hAnsi="Times New Roman" w:cs="Times New Roman"/>
          <w:lang w:val="en-GB"/>
        </w:rPr>
        <w:t>the hitherto neglected importance of intelli</w:t>
      </w:r>
      <w:r>
        <w:rPr>
          <w:rFonts w:ascii="Times New Roman" w:hAnsi="Times New Roman" w:cs="Times New Roman"/>
          <w:lang w:val="en-GB"/>
        </w:rPr>
        <w:t xml:space="preserve">gence in the China trade. </w:t>
      </w:r>
    </w:p>
    <w:p w14:paraId="53ABA1DF" w14:textId="77777777" w:rsidR="00DC29BC" w:rsidRDefault="00DC29BC"/>
    <w:p w14:paraId="7A6DC4FF" w14:textId="77777777" w:rsidR="003A4724" w:rsidRPr="00A5501A" w:rsidRDefault="003A4724" w:rsidP="003A4724">
      <w:pPr>
        <w:spacing w:line="360" w:lineRule="auto"/>
        <w:jc w:val="both"/>
        <w:rPr>
          <w:rFonts w:ascii="Times New Roman" w:hAnsi="Times New Roman" w:cs="Times New Roman"/>
          <w:b/>
          <w:lang w:val="en-GB"/>
        </w:rPr>
      </w:pPr>
      <w:r w:rsidRPr="00A5501A">
        <w:rPr>
          <w:rFonts w:ascii="Times New Roman" w:hAnsi="Times New Roman" w:cs="Times New Roman"/>
          <w:b/>
          <w:lang w:val="en-GB"/>
        </w:rPr>
        <w:t>Company constraints and private liberties</w:t>
      </w:r>
    </w:p>
    <w:p w14:paraId="602B546F" w14:textId="77777777" w:rsidR="003A4724" w:rsidRDefault="003A4724" w:rsidP="003A4724">
      <w:pPr>
        <w:spacing w:line="360" w:lineRule="auto"/>
        <w:ind w:firstLine="708"/>
        <w:jc w:val="both"/>
        <w:rPr>
          <w:rFonts w:ascii="Times New Roman" w:hAnsi="Times New Roman" w:cs="Times New Roman"/>
          <w:lang w:val="en-GB"/>
        </w:rPr>
      </w:pPr>
      <w:r w:rsidRPr="00A5501A">
        <w:rPr>
          <w:rFonts w:ascii="Times New Roman" w:hAnsi="Times New Roman" w:cs="Times New Roman"/>
          <w:lang w:val="en-GB"/>
        </w:rPr>
        <w:t>In spite of the many restrictions and constraints that were put in place to safeguard the profitability of the char</w:t>
      </w:r>
      <w:r>
        <w:rPr>
          <w:rFonts w:ascii="Times New Roman" w:hAnsi="Times New Roman" w:cs="Times New Roman"/>
          <w:lang w:val="en-GB"/>
        </w:rPr>
        <w:t xml:space="preserve">tered companies, private traders had considerable space for </w:t>
      </w:r>
      <w:r w:rsidRPr="00A5501A">
        <w:rPr>
          <w:rFonts w:ascii="Times New Roman" w:hAnsi="Times New Roman" w:cs="Times New Roman"/>
          <w:lang w:val="en-GB"/>
        </w:rPr>
        <w:t>manoeuvring</w:t>
      </w:r>
      <w:r w:rsidRPr="003A4724">
        <w:rPr>
          <w:rFonts w:ascii="Times New Roman" w:hAnsi="Times New Roman" w:cs="Times New Roman"/>
          <w:lang w:val="en-GB"/>
        </w:rPr>
        <w:t>. Every alteration of private trade regulations created a new set of opportunities that individual company servants were quick to discover and use to their own advantage. For instance, the early attempts made by the English, Ostend, Swedish and Danish companies to standardize their imports from China (by concentrating on a few key products) provided ample opportunities for private merchants to profit from the trade in a wide range of expensive and customized goods such as armorial porcelain, wallpaper, rosewood furniture and lacquerware. The persistent view of historians is that the English Company created from early on an environment</w:t>
      </w:r>
      <w:r>
        <w:rPr>
          <w:rFonts w:ascii="Times New Roman" w:hAnsi="Times New Roman" w:cs="Times New Roman"/>
          <w:lang w:val="en-GB"/>
        </w:rPr>
        <w:t xml:space="preserve"> for ‘regulated opportunities for private enterprise’ whereas the Dutch VOC granted much higher salaries to their servants, but greatly restricted the ‘privilege trade’ in turn. Christiaan Jörg, an expert on Chinese porcelain stated that in the early 1730’s Amsterdam supercargoes were granted on their return journey from Canton ‘up to 5 chests each containing merchandise as well as goods for their personal use.’</w:t>
      </w:r>
      <w:r>
        <w:rPr>
          <w:rStyle w:val="Funotenzeichen"/>
          <w:lang w:val="en-GB"/>
        </w:rPr>
        <w:footnoteReference w:id="13"/>
      </w:r>
      <w:r>
        <w:rPr>
          <w:rFonts w:ascii="Times New Roman" w:hAnsi="Times New Roman" w:cs="Times New Roman"/>
          <w:lang w:val="en-GB"/>
        </w:rPr>
        <w:t xml:space="preserve"> The content of these chests were further restricted to tea and porcelain only. Apparently, only in the 1750s a hierarchical system of renumeration was installed that was similar to the English way of dealing with the commercial pursuits of China traders.</w:t>
      </w:r>
      <w:r>
        <w:rPr>
          <w:rStyle w:val="Funotenzeichen"/>
          <w:lang w:val="en-GB"/>
        </w:rPr>
        <w:footnoteReference w:id="14"/>
      </w:r>
      <w:r>
        <w:rPr>
          <w:rFonts w:ascii="Times New Roman" w:hAnsi="Times New Roman" w:cs="Times New Roman"/>
          <w:lang w:val="en-GB"/>
        </w:rPr>
        <w:t xml:space="preserve"> Although one can doubt, whether these restrictions were actually effective in hindering returning officers to bring goods much in excess, it shows, nevertheless, why Dutch wholesalers could have a strong interest in creating partnerships with private traders who sailed under a different flag.</w:t>
      </w:r>
      <w:r>
        <w:rPr>
          <w:rStyle w:val="Funotenzeichen"/>
          <w:lang w:val="en-GB"/>
        </w:rPr>
        <w:footnoteReference w:id="15"/>
      </w:r>
      <w:r>
        <w:rPr>
          <w:rFonts w:ascii="Times New Roman" w:hAnsi="Times New Roman" w:cs="Times New Roman"/>
          <w:lang w:val="en-GB"/>
        </w:rPr>
        <w:t xml:space="preserve"> </w:t>
      </w:r>
    </w:p>
    <w:p w14:paraId="79531271" w14:textId="77777777" w:rsidR="003A4724" w:rsidRDefault="003A4724" w:rsidP="003A4724">
      <w:pPr>
        <w:spacing w:line="360" w:lineRule="auto"/>
        <w:ind w:firstLine="708"/>
        <w:jc w:val="both"/>
        <w:rPr>
          <w:rFonts w:ascii="Times New Roman" w:hAnsi="Times New Roman" w:cs="Times New Roman"/>
          <w:lang w:val="en-GB"/>
        </w:rPr>
      </w:pPr>
      <w:r>
        <w:rPr>
          <w:rFonts w:ascii="Times New Roman" w:hAnsi="Times New Roman" w:cs="Times New Roman"/>
          <w:lang w:val="en-GB"/>
        </w:rPr>
        <w:t>The English sources on private trade provide possibilites for cross-Company comparisons in this period. On the other side of the channel, a junior supercargo like Richard Moreton was able to declare in 1734 his legitimate private trade to consist of 4 boxes and 8 tubs of tea, 4 chests of porcelain in sets, 3 ‘puncheons of arrack’, 1 chests of ‘joints or walking canes’, 1 case of soy, 2 Tubs of ‘stools of China earthen ware’, 2 large pieces of lacquered furniture in addition to several lacquered clothing chests containing ‘sundries’.</w:t>
      </w:r>
      <w:r>
        <w:rPr>
          <w:rStyle w:val="Funotenzeichen"/>
          <w:lang w:val="en-GB"/>
        </w:rPr>
        <w:footnoteReference w:id="16"/>
      </w:r>
      <w:r>
        <w:rPr>
          <w:rFonts w:ascii="Times New Roman" w:hAnsi="Times New Roman" w:cs="Times New Roman"/>
          <w:lang w:val="en-GB"/>
        </w:rPr>
        <w:t xml:space="preserve"> In terms of storage space, this example roughly accords with what other junior supercargoes declared on average. One has to be careful, however, not to confuse cargo space or tonnage with value. If Moreton’s ‘sundries’ were in fact silks, his investment looks all the more impressive. On his previous journey to China, in 1730, Richard Moreton had brought back silks that were subsequently sold at the September auction of 1732. Having a lower rank at the time of this earlier voyage, his </w:t>
      </w:r>
      <w:r w:rsidRPr="009232D4">
        <w:rPr>
          <w:rFonts w:ascii="Times New Roman" w:hAnsi="Times New Roman" w:cs="Times New Roman"/>
          <w:i/>
          <w:lang w:val="en-GB"/>
        </w:rPr>
        <w:t>pacotille</w:t>
      </w:r>
      <w:r>
        <w:rPr>
          <w:rFonts w:ascii="Times New Roman" w:hAnsi="Times New Roman" w:cs="Times New Roman"/>
          <w:lang w:val="en-GB"/>
        </w:rPr>
        <w:t xml:space="preserve"> was never listed in the official records. Still, we know that he undertook substantial private trade. Due to a law case that arose </w:t>
      </w:r>
      <w:r w:rsidRPr="0025241A">
        <w:rPr>
          <w:rFonts w:ascii="Times New Roman" w:hAnsi="Times New Roman" w:cs="Times New Roman"/>
          <w:lang w:val="en-GB"/>
        </w:rPr>
        <w:t>from a ‘misunderstanding’</w:t>
      </w:r>
      <w:r>
        <w:rPr>
          <w:rFonts w:ascii="Times New Roman" w:hAnsi="Times New Roman" w:cs="Times New Roman"/>
          <w:lang w:val="en-GB"/>
        </w:rPr>
        <w:t xml:space="preserve"> over a parcel of Chinese silks that Moreton promised to sell to two different customers, a list of his stock in the Company private trade warehouse has survived as evidence in the Chancery masters’ exhibits. Although none of his private trade in 1731-32 was officially registered in the </w:t>
      </w:r>
      <w:r w:rsidRPr="00B925A2">
        <w:rPr>
          <w:rFonts w:ascii="Times New Roman" w:hAnsi="Times New Roman" w:cs="Times New Roman"/>
          <w:i/>
          <w:lang w:val="en-GB"/>
        </w:rPr>
        <w:t>China diary and transaction book</w:t>
      </w:r>
      <w:r>
        <w:rPr>
          <w:rFonts w:ascii="Times New Roman" w:hAnsi="Times New Roman" w:cs="Times New Roman"/>
          <w:i/>
          <w:lang w:val="en-GB"/>
        </w:rPr>
        <w:t>s</w:t>
      </w:r>
      <w:r>
        <w:rPr>
          <w:rFonts w:ascii="Times New Roman" w:hAnsi="Times New Roman" w:cs="Times New Roman"/>
          <w:lang w:val="en-GB"/>
        </w:rPr>
        <w:t>, Moreton managed to ship his merchandise to London on four different East Indiamen. At the time that this list was compiled Moreton’s ‘[c]laim in the East India Warehouse’ consisted of 5 chests of fine green and black tea, 6 casks of arrack, several jars containing ‘sweatmeats’, ‘sugar candy’ and ‘nutmegs’, a range of different Chinese silk fabrics, 145 fans, empty porcelain jars, boxes with soy and cane in addition to about five hundred ‘cornelian stones’ and ‘mother-of-pearl beads’.</w:t>
      </w:r>
      <w:r>
        <w:rPr>
          <w:rStyle w:val="Funotenzeichen"/>
          <w:lang w:val="en-GB"/>
        </w:rPr>
        <w:footnoteReference w:id="17"/>
      </w:r>
      <w:r>
        <w:rPr>
          <w:rFonts w:ascii="Times New Roman" w:hAnsi="Times New Roman" w:cs="Times New Roman"/>
          <w:lang w:val="en-GB"/>
        </w:rPr>
        <w:t xml:space="preserve"> If the English Company was more generous with granting freight-free shipping to their employees, the smaller Companies attracted British traders precisely because of the even greater privileges they enjoyed there.</w:t>
      </w:r>
      <w:r>
        <w:rPr>
          <w:rStyle w:val="Funotenzeichen"/>
          <w:lang w:val="en-GB"/>
        </w:rPr>
        <w:footnoteReference w:id="18"/>
      </w:r>
    </w:p>
    <w:p w14:paraId="02F77D61" w14:textId="77777777" w:rsidR="00690936" w:rsidRDefault="003A4724" w:rsidP="00690936">
      <w:pPr>
        <w:spacing w:line="360" w:lineRule="auto"/>
        <w:ind w:firstLine="708"/>
        <w:jc w:val="both"/>
        <w:rPr>
          <w:rFonts w:ascii="Times New Roman" w:hAnsi="Times New Roman" w:cs="Times New Roman"/>
          <w:lang w:val="en-GB"/>
        </w:rPr>
      </w:pPr>
      <w:r>
        <w:rPr>
          <w:rFonts w:ascii="Times New Roman" w:hAnsi="Times New Roman" w:cs="Times New Roman"/>
          <w:lang w:val="en-GB"/>
        </w:rPr>
        <w:t>Knowledge about the differences in private trade regulations in various Companies was widespread among merchant mariners. Not surprisingly, a large number of china traders changed their employer when opportunities arose. Arthur Abercromby, born in Banff in Northern Scotland spent his early career in the EIC, before entering the service of the Swedish Company in 1731. In 1758, he was employed as chief supercargo for three Dutch VOC ships some years after he had officially retired to Richmond, Surrey. John Forbes, like Abercromby a Scot, made and unmade his fortune many times in the service of the English, Swedish and Prussian East India Company before he moved to Venice to rehabilitate his questionable reputation.</w:t>
      </w:r>
      <w:r>
        <w:rPr>
          <w:rStyle w:val="Funotenzeichen"/>
          <w:lang w:val="en-GB"/>
        </w:rPr>
        <w:footnoteReference w:id="19"/>
      </w:r>
      <w:r>
        <w:rPr>
          <w:rFonts w:ascii="Times New Roman" w:hAnsi="Times New Roman" w:cs="Times New Roman"/>
          <w:lang w:val="en-GB"/>
        </w:rPr>
        <w:t xml:space="preserve"> The Berwickshire brothers Abraham and Alexander Hume acted as spearheads for the Ostend Company in India by building factories and a highly successful country-trade network for a syndicate of French, Flemish, Dutch, Irish and Scottish merchants.</w:t>
      </w:r>
      <w:r>
        <w:rPr>
          <w:rStyle w:val="Funotenzeichen"/>
          <w:lang w:val="en-GB"/>
        </w:rPr>
        <w:footnoteReference w:id="20"/>
      </w:r>
      <w:r>
        <w:rPr>
          <w:rFonts w:ascii="Times New Roman" w:hAnsi="Times New Roman" w:cs="Times New Roman"/>
          <w:lang w:val="en-GB"/>
        </w:rPr>
        <w:t xml:space="preserve"> Supercargoes and commanders of East Indiamen were exceptionally skilled navigators and merchants and their trading experience in the East was highly valued not only within the national context. Many more examples of transnational careers could be given to make clear that for China traders there existed a pan-European job market in the first half of the eighteenth century.</w:t>
      </w:r>
      <w:r>
        <w:rPr>
          <w:rStyle w:val="Funotenzeichen"/>
          <w:lang w:val="en-GB"/>
        </w:rPr>
        <w:footnoteReference w:id="21"/>
      </w:r>
      <w:r>
        <w:rPr>
          <w:rFonts w:ascii="Times New Roman" w:hAnsi="Times New Roman" w:cs="Times New Roman"/>
          <w:lang w:val="en-GB"/>
        </w:rPr>
        <w:t xml:space="preserve"> The pursuit of private enterprise often led to the migration of British Company servants to the continent and back. This movement of experts might well have undermined the idea of separate spheres of influence among the different monopoly companies. On a different level, however, it helped to integrate various European and Atlantic markets for Chinese products into one great trading arena.</w:t>
      </w:r>
      <w:r w:rsidR="00690936">
        <w:rPr>
          <w:rFonts w:ascii="Times New Roman" w:hAnsi="Times New Roman" w:cs="Times New Roman"/>
          <w:lang w:val="en-GB"/>
        </w:rPr>
        <w:t xml:space="preserve"> </w:t>
      </w:r>
      <w:r>
        <w:rPr>
          <w:rFonts w:ascii="Times New Roman" w:hAnsi="Times New Roman" w:cs="Times New Roman"/>
          <w:lang w:val="en-GB"/>
        </w:rPr>
        <w:t xml:space="preserve">The contacts that wandering Company servants made abroad did not simply doze off after their return to their homeland. The strong links that Thomas Hall, Charles Pike and other British supercargoes maintained with city-merchants in the Low Countries were crucial for organising their extensive </w:t>
      </w:r>
      <w:r w:rsidR="00690936">
        <w:rPr>
          <w:rFonts w:ascii="Times New Roman" w:hAnsi="Times New Roman" w:cs="Times New Roman"/>
          <w:lang w:val="en-GB"/>
        </w:rPr>
        <w:t xml:space="preserve">wholesale </w:t>
      </w:r>
      <w:r>
        <w:rPr>
          <w:rFonts w:ascii="Times New Roman" w:hAnsi="Times New Roman" w:cs="Times New Roman"/>
          <w:lang w:val="en-GB"/>
        </w:rPr>
        <w:t xml:space="preserve">trade in tea. </w:t>
      </w:r>
    </w:p>
    <w:p w14:paraId="6B919D52" w14:textId="77777777" w:rsidR="003A4724" w:rsidRDefault="003A4724" w:rsidP="00690936">
      <w:pPr>
        <w:spacing w:line="360" w:lineRule="auto"/>
        <w:ind w:firstLine="708"/>
        <w:jc w:val="both"/>
        <w:rPr>
          <w:rFonts w:ascii="Times New Roman" w:hAnsi="Times New Roman" w:cs="Times New Roman"/>
          <w:lang w:val="en-GB"/>
        </w:rPr>
      </w:pPr>
      <w:r>
        <w:rPr>
          <w:rFonts w:ascii="Times New Roman" w:hAnsi="Times New Roman" w:cs="Times New Roman"/>
          <w:lang w:val="en-GB"/>
        </w:rPr>
        <w:t xml:space="preserve">At the same time, commercial decisions of the different European Companies concerning their yearly investments in China had a direct impact on the private trader’s personal buying strategy. By making good use of their correspondence network, commanders and supercargoes gathered information about competing </w:t>
      </w:r>
      <w:r w:rsidRPr="00690936">
        <w:rPr>
          <w:rFonts w:ascii="Times New Roman" w:hAnsi="Times New Roman" w:cs="Times New Roman"/>
          <w:lang w:val="en-GB"/>
        </w:rPr>
        <w:t>orders of silks, rhubarb and different sorts of tea to ‘</w:t>
      </w:r>
      <w:r w:rsidRPr="00690936">
        <w:rPr>
          <w:rFonts w:ascii="Times New Roman" w:hAnsi="Times New Roman" w:cs="Times New Roman"/>
        </w:rPr>
        <w:t>be able to make some Calculation from what others do’.</w:t>
      </w:r>
      <w:r w:rsidRPr="00690936">
        <w:rPr>
          <w:rStyle w:val="Funotenzeichen"/>
        </w:rPr>
        <w:footnoteReference w:id="22"/>
      </w:r>
      <w:r w:rsidRPr="00690936">
        <w:rPr>
          <w:rFonts w:ascii="Times New Roman" w:hAnsi="Times New Roman" w:cs="Times New Roman"/>
          <w:lang w:val="en-GB"/>
        </w:rPr>
        <w:t xml:space="preserve">  Thus, when the </w:t>
      </w:r>
      <w:r w:rsidR="00690936" w:rsidRPr="00690936">
        <w:rPr>
          <w:rFonts w:ascii="Times New Roman" w:hAnsi="Times New Roman" w:cs="Times New Roman"/>
          <w:lang w:val="en-GB"/>
        </w:rPr>
        <w:t>Gentlemen Seventeen</w:t>
      </w:r>
      <w:r w:rsidRPr="00690936">
        <w:rPr>
          <w:rFonts w:ascii="Times New Roman" w:hAnsi="Times New Roman" w:cs="Times New Roman"/>
          <w:lang w:val="en-GB"/>
        </w:rPr>
        <w:t xml:space="preserve"> decided that the VOC would order no silks from China in the trading seasons of 1730-31 and 1733-35, British private traders reacted instantly by buying up silks much in excess to their usual share. To take an example, Francis</w:t>
      </w:r>
      <w:r>
        <w:rPr>
          <w:rFonts w:ascii="Times New Roman" w:hAnsi="Times New Roman" w:cs="Times New Roman"/>
          <w:lang w:val="en-GB"/>
        </w:rPr>
        <w:t xml:space="preserve"> Nelly, commander of the </w:t>
      </w:r>
      <w:r>
        <w:rPr>
          <w:rFonts w:ascii="Times New Roman" w:hAnsi="Times New Roman" w:cs="Times New Roman"/>
          <w:i/>
          <w:lang w:val="en-GB"/>
        </w:rPr>
        <w:t xml:space="preserve">Hartford </w:t>
      </w:r>
      <w:r>
        <w:rPr>
          <w:rFonts w:ascii="Times New Roman" w:hAnsi="Times New Roman" w:cs="Times New Roman"/>
          <w:lang w:val="en-GB"/>
        </w:rPr>
        <w:t xml:space="preserve">bound for Canton in 1730 declared thirty chests of silks as his private venture in the </w:t>
      </w:r>
      <w:r w:rsidRPr="00690936">
        <w:rPr>
          <w:rFonts w:ascii="Times New Roman" w:hAnsi="Times New Roman" w:cs="Times New Roman"/>
          <w:i/>
          <w:lang w:val="en-GB"/>
        </w:rPr>
        <w:t>Canton diary and transaction book.</w:t>
      </w:r>
      <w:r w:rsidRPr="00690936">
        <w:rPr>
          <w:rStyle w:val="Funotenzeichen"/>
          <w:lang w:val="en-GB"/>
        </w:rPr>
        <w:footnoteReference w:id="23"/>
      </w:r>
      <w:r w:rsidRPr="00690936">
        <w:rPr>
          <w:rFonts w:ascii="Times New Roman" w:hAnsi="Times New Roman" w:cs="Times New Roman"/>
          <w:lang w:val="en-GB"/>
        </w:rPr>
        <w:t xml:space="preserve"> The survival of an English sales catalogue from 1732 confirms this very large investment and allows us to obtain more detailed information on the 158 lots of fabrics that were put up for sale on Nelly’s behalf.</w:t>
      </w:r>
      <w:r w:rsidRPr="00690936">
        <w:rPr>
          <w:rStyle w:val="Funotenzeichen"/>
          <w:lang w:val="en-GB"/>
        </w:rPr>
        <w:footnoteReference w:id="24"/>
      </w:r>
      <w:r w:rsidRPr="00690936">
        <w:rPr>
          <w:rFonts w:ascii="Times New Roman" w:hAnsi="Times New Roman" w:cs="Times New Roman"/>
          <w:lang w:val="en-GB"/>
        </w:rPr>
        <w:t xml:space="preserve"> The prices of each lot differed enormously from 3£ for roughly 200 pieces of Chinese cotton cloth to 240-300£ for 28 pieces of embroidered silk for gowns and petticoats.</w:t>
      </w:r>
      <w:r w:rsidRPr="00690936">
        <w:rPr>
          <w:rStyle w:val="Funotenzeichen"/>
          <w:lang w:val="en-GB"/>
        </w:rPr>
        <w:footnoteReference w:id="25"/>
      </w:r>
      <w:r w:rsidRPr="00690936">
        <w:rPr>
          <w:rFonts w:ascii="Times New Roman" w:hAnsi="Times New Roman" w:cs="Times New Roman"/>
          <w:lang w:val="en-GB"/>
        </w:rPr>
        <w:t xml:space="preserve"> Although these textiles were sold in London, they were partly destined for re-export to the continent, where a huge market for silks awaited them/existed. Usually, the VOC would compete for these markets for supplying the urban centres and princely courts of countries that had no direct trade with China.</w:t>
      </w:r>
      <w:r w:rsidRPr="00690936">
        <w:rPr>
          <w:rStyle w:val="Funotenzeichen"/>
          <w:lang w:val="en-GB"/>
        </w:rPr>
        <w:footnoteReference w:id="26"/>
      </w:r>
      <w:r w:rsidRPr="00690936">
        <w:rPr>
          <w:rFonts w:ascii="Times New Roman" w:hAnsi="Times New Roman" w:cs="Times New Roman"/>
          <w:lang w:val="en-GB"/>
        </w:rPr>
        <w:t xml:space="preserve"> Examples like these are perhaps a salutary reminder that the lines of competition</w:t>
      </w:r>
      <w:r>
        <w:rPr>
          <w:rFonts w:ascii="Times New Roman" w:hAnsi="Times New Roman" w:cs="Times New Roman"/>
          <w:lang w:val="en-GB"/>
        </w:rPr>
        <w:t xml:space="preserve"> were also more complex than is usually acknowledged by Company historians.</w:t>
      </w:r>
    </w:p>
    <w:p w14:paraId="4C4D3DA4" w14:textId="77777777" w:rsidR="003A4724" w:rsidRDefault="003A4724" w:rsidP="00690936">
      <w:pPr>
        <w:spacing w:line="360" w:lineRule="auto"/>
        <w:ind w:firstLine="708"/>
        <w:jc w:val="both"/>
        <w:rPr>
          <w:rFonts w:ascii="Times New Roman" w:hAnsi="Times New Roman" w:cs="Times New Roman"/>
          <w:lang w:val="en-GB"/>
        </w:rPr>
      </w:pPr>
      <w:r>
        <w:rPr>
          <w:rFonts w:ascii="Times New Roman" w:hAnsi="Times New Roman" w:cs="Times New Roman"/>
          <w:lang w:val="en-GB"/>
        </w:rPr>
        <w:t xml:space="preserve">Merchant seamen had to be acute businessmen in order to make profits in the highly competitive environment of the China trade. Intelligence concerning the expected supplies and the success of particular goods at public auctions was an essential tool for supercargoes like </w:t>
      </w:r>
      <w:r w:rsidR="00690936">
        <w:rPr>
          <w:rFonts w:ascii="Times New Roman" w:hAnsi="Times New Roman" w:cs="Times New Roman"/>
          <w:lang w:val="en-GB"/>
        </w:rPr>
        <w:t>Charles Irvine</w:t>
      </w:r>
      <w:r w:rsidRPr="00A5501A">
        <w:rPr>
          <w:rFonts w:ascii="Times New Roman" w:hAnsi="Times New Roman" w:cs="Times New Roman"/>
          <w:lang w:val="en-GB"/>
        </w:rPr>
        <w:t xml:space="preserve"> for developing their own buying strategy. Thomas Wilkinson, a Scottish wholesaler and commission agent in Amsterdam, reminded his associate in the Swedish Company of the risks of simply copying other traders instead of focusing on potential niches in the marketplace. In February 1740, shortly before the Swedish China fleet set sail, he wrote: ‘</w:t>
      </w:r>
      <w:r w:rsidRPr="00A5501A">
        <w:rPr>
          <w:rFonts w:ascii="Times New Roman" w:hAnsi="Times New Roman" w:cs="Times New Roman"/>
        </w:rPr>
        <w:t>It is often that you all run upon one &amp; the same thing which makes it cost dear &amp; fetch little’.</w:t>
      </w:r>
      <w:r w:rsidRPr="00A5501A">
        <w:rPr>
          <w:rStyle w:val="Funotenzeichen"/>
        </w:rPr>
        <w:footnoteReference w:id="27"/>
      </w:r>
      <w:r w:rsidRPr="00A5501A">
        <w:rPr>
          <w:rFonts w:ascii="Times New Roman" w:hAnsi="Times New Roman" w:cs="Times New Roman"/>
          <w:lang w:val="en-GB"/>
        </w:rPr>
        <w:t xml:space="preserve"> However, niche markets did not necessarily imply small business. Over the course of the eighteenth century private traders ordered a stunning variety of Chinese export wares ‘</w:t>
      </w:r>
      <w:r w:rsidRPr="00A5501A">
        <w:rPr>
          <w:rFonts w:ascii="Times New Roman" w:hAnsi="Times New Roman" w:cs="Times New Roman"/>
        </w:rPr>
        <w:t>by which the company either cannot gain at all by, or are not so</w:t>
      </w:r>
      <w:r w:rsidRPr="00E315C8">
        <w:rPr>
          <w:rFonts w:ascii="Times New Roman" w:hAnsi="Times New Roman" w:cs="Times New Roman"/>
        </w:rPr>
        <w:t xml:space="preserve"> gainful as </w:t>
      </w:r>
      <w:r>
        <w:rPr>
          <w:rFonts w:ascii="Times New Roman" w:hAnsi="Times New Roman" w:cs="Times New Roman"/>
        </w:rPr>
        <w:t>others they prefer to engage in</w:t>
      </w:r>
      <w:r w:rsidRPr="00E315C8">
        <w:rPr>
          <w:rFonts w:ascii="Times New Roman" w:hAnsi="Times New Roman" w:cs="Times New Roman"/>
        </w:rPr>
        <w:t>’</w:t>
      </w:r>
      <w:r>
        <w:rPr>
          <w:rFonts w:ascii="Times New Roman" w:hAnsi="Times New Roman" w:cs="Times New Roman"/>
        </w:rPr>
        <w:t>.</w:t>
      </w:r>
      <w:r>
        <w:rPr>
          <w:rStyle w:val="Funotenzeichen"/>
        </w:rPr>
        <w:footnoteReference w:id="28"/>
      </w:r>
      <w:r w:rsidR="00690936">
        <w:rPr>
          <w:rFonts w:ascii="Times New Roman" w:hAnsi="Times New Roman" w:cs="Times New Roman"/>
        </w:rPr>
        <w:t xml:space="preserve"> </w:t>
      </w:r>
      <w:r>
        <w:rPr>
          <w:rFonts w:ascii="Times New Roman" w:hAnsi="Times New Roman" w:cs="Times New Roman"/>
          <w:lang w:val="en-GB"/>
        </w:rPr>
        <w:t xml:space="preserve">With the partial exemption of the French and Dutch East India </w:t>
      </w:r>
      <w:r w:rsidRPr="00690936">
        <w:rPr>
          <w:rFonts w:ascii="Times New Roman" w:hAnsi="Times New Roman" w:cs="Times New Roman"/>
          <w:lang w:val="en-GB"/>
        </w:rPr>
        <w:t>Companies, who regularly included things like fans, lacquerware and wallpaper into their shopping lists,</w:t>
      </w:r>
      <w:r>
        <w:rPr>
          <w:rFonts w:ascii="Times New Roman" w:hAnsi="Times New Roman" w:cs="Times New Roman"/>
          <w:lang w:val="en-GB"/>
        </w:rPr>
        <w:t xml:space="preserve"> the general trend for the Companies was to reduce the range of commodities to a few fairly standardised products. The English East India Company, for instance, narrowed their portfolio considerably and invested in the 1770s only in tea, cheap blue &amp; white porcelain, raw and woven silks.</w:t>
      </w:r>
      <w:r>
        <w:rPr>
          <w:rStyle w:val="Funotenzeichen"/>
          <w:lang w:val="en-GB"/>
        </w:rPr>
        <w:footnoteReference w:id="29"/>
      </w:r>
      <w:r>
        <w:rPr>
          <w:rFonts w:ascii="Times New Roman" w:hAnsi="Times New Roman" w:cs="Times New Roman"/>
          <w:lang w:val="en-GB"/>
        </w:rPr>
        <w:t xml:space="preserve"> By contrast, British private traders kept a very wide portfolio by dealing in customized, high-end products or fashionable souvenirs in addition to goods like arrack, gunpowder and gold. In setting the scene for the kinds of transactions that were made under the large umbrella of private </w:t>
      </w:r>
      <w:r w:rsidRPr="00690936">
        <w:rPr>
          <w:rFonts w:ascii="Times New Roman" w:hAnsi="Times New Roman" w:cs="Times New Roman"/>
          <w:lang w:val="en-GB"/>
        </w:rPr>
        <w:t>trade,</w:t>
      </w:r>
      <w:r w:rsidR="00690936" w:rsidRPr="00690936">
        <w:rPr>
          <w:rFonts w:ascii="Times New Roman" w:hAnsi="Times New Roman" w:cs="Times New Roman"/>
          <w:lang w:val="en-GB"/>
        </w:rPr>
        <w:t xml:space="preserve"> we</w:t>
      </w:r>
      <w:r w:rsidR="00690936">
        <w:rPr>
          <w:rFonts w:ascii="Times New Roman" w:hAnsi="Times New Roman" w:cs="Times New Roman"/>
          <w:lang w:val="en-GB"/>
        </w:rPr>
        <w:t xml:space="preserve"> will now move on to consider one commercial strategy that linked wholesalers and Company servants in more detail.</w:t>
      </w:r>
    </w:p>
    <w:p w14:paraId="4A4287E1" w14:textId="77777777" w:rsidR="00690936" w:rsidRPr="00690936" w:rsidRDefault="00690936" w:rsidP="00690936">
      <w:pPr>
        <w:spacing w:line="360" w:lineRule="auto"/>
        <w:ind w:firstLine="708"/>
        <w:jc w:val="both"/>
        <w:rPr>
          <w:rFonts w:ascii="Times New Roman" w:hAnsi="Times New Roman" w:cs="Times New Roman"/>
        </w:rPr>
      </w:pPr>
    </w:p>
    <w:p w14:paraId="7563B1A1" w14:textId="77777777" w:rsidR="00690936" w:rsidRDefault="00690936" w:rsidP="00690936">
      <w:pPr>
        <w:spacing w:line="360" w:lineRule="auto"/>
        <w:jc w:val="both"/>
        <w:rPr>
          <w:rFonts w:ascii="Times New Roman" w:hAnsi="Times New Roman" w:cs="Times New Roman"/>
          <w:b/>
          <w:lang w:val="en-GB"/>
        </w:rPr>
      </w:pPr>
      <w:r w:rsidRPr="000731FB">
        <w:rPr>
          <w:rFonts w:ascii="Times New Roman" w:hAnsi="Times New Roman" w:cs="Times New Roman"/>
          <w:b/>
          <w:lang w:val="en-GB"/>
        </w:rPr>
        <w:t>Large-scale commissions and the link between wholesalers and merchant-mariners</w:t>
      </w:r>
    </w:p>
    <w:p w14:paraId="0CA2671A" w14:textId="77777777" w:rsidR="00690936" w:rsidRDefault="00690936" w:rsidP="00690936">
      <w:pPr>
        <w:spacing w:line="360" w:lineRule="auto"/>
        <w:ind w:firstLine="708"/>
        <w:jc w:val="both"/>
        <w:rPr>
          <w:rFonts w:ascii="Times New Roman" w:hAnsi="Times New Roman" w:cs="Times New Roman"/>
          <w:lang w:val="en-GB"/>
        </w:rPr>
      </w:pPr>
      <w:r w:rsidRPr="004D6B7E">
        <w:rPr>
          <w:rFonts w:ascii="Times New Roman" w:hAnsi="Times New Roman" w:cs="Times New Roman"/>
          <w:lang w:val="en-GB"/>
        </w:rPr>
        <w:t>This section touches on is the often-overlooked fact that wholesalers exercised</w:t>
      </w:r>
      <w:r w:rsidRPr="00BA7744">
        <w:rPr>
          <w:rFonts w:ascii="Times New Roman" w:hAnsi="Times New Roman" w:cs="Times New Roman"/>
          <w:lang w:val="en-GB"/>
        </w:rPr>
        <w:t xml:space="preserve"> direct influence on what was to be supplied from China by placing large-scale orders with </w:t>
      </w:r>
      <w:r w:rsidRPr="003F75DD">
        <w:rPr>
          <w:rFonts w:ascii="Times New Roman" w:hAnsi="Times New Roman" w:cs="Times New Roman"/>
          <w:lang w:val="en-GB"/>
        </w:rPr>
        <w:t>supercargoes and captains of East Indiamen who managed to get an appointment for one of the ‘plum voyages’ to Canton. Thus, private trade (which is usually very much marginalised in the Company literature) – became the loophole through which individual merchants could experiment with changing consumer demands. Agreements between members of the maritime elite and one or more merchant houses usually grew out of an already close business relationship between both parties, and has to be seen in the context of the frequent exchange of favours and commitments between them</w:t>
      </w:r>
      <w:r w:rsidRPr="00BA7744">
        <w:rPr>
          <w:rFonts w:ascii="Times New Roman" w:hAnsi="Times New Roman" w:cs="Times New Roman"/>
          <w:lang w:val="en-GB"/>
        </w:rPr>
        <w:t>. In this particular constellation, mariners played the role of the mediator or</w:t>
      </w:r>
      <w:r>
        <w:rPr>
          <w:rFonts w:ascii="Times New Roman" w:hAnsi="Times New Roman" w:cs="Times New Roman"/>
          <w:lang w:val="en-GB"/>
        </w:rPr>
        <w:t xml:space="preserve"> </w:t>
      </w:r>
      <w:r w:rsidRPr="003F75DD">
        <w:rPr>
          <w:rFonts w:ascii="Times New Roman" w:hAnsi="Times New Roman" w:cs="Times New Roman"/>
          <w:lang w:val="en-GB"/>
        </w:rPr>
        <w:t>commission agent (who charged</w:t>
      </w:r>
      <w:r w:rsidRPr="00BA7744">
        <w:rPr>
          <w:rFonts w:ascii="Times New Roman" w:hAnsi="Times New Roman" w:cs="Times New Roman"/>
          <w:lang w:val="en-GB"/>
        </w:rPr>
        <w:t xml:space="preserve"> a service fee or claimed a share in the sale of the goods). This kind of business partnership will be explored by using material from one of my case studies on a Scottish network of Company servants and city-merchants active in Gothenburg, Amsterdam &amp; London.</w:t>
      </w:r>
    </w:p>
    <w:p w14:paraId="4D59FC6E" w14:textId="77777777" w:rsidR="00690936" w:rsidRPr="00BA7744" w:rsidRDefault="00690936" w:rsidP="00690936">
      <w:pPr>
        <w:spacing w:line="360" w:lineRule="auto"/>
        <w:jc w:val="both"/>
        <w:rPr>
          <w:rFonts w:ascii="Times New Roman" w:hAnsi="Times New Roman" w:cs="Times New Roman"/>
          <w:lang w:val="en-GB"/>
        </w:rPr>
      </w:pPr>
      <w:r w:rsidRPr="00BA7744">
        <w:rPr>
          <w:rFonts w:ascii="Times New Roman" w:hAnsi="Times New Roman" w:cs="Times New Roman"/>
          <w:lang w:val="en-GB"/>
        </w:rPr>
        <w:t>These partnerships between merchants and mariners took the form of large-scale commissions by means of which capital for the purchase was provided beforehand by the city-merchant. In turn, Company servants promised that they would use their privileged buying right at Company auctions in order to secure the commissioned lot at previously arranged terms. These kind of transactions were one of the mechanisms used by merchants and mariners to complement each</w:t>
      </w:r>
      <w:r>
        <w:rPr>
          <w:rFonts w:ascii="Times New Roman" w:hAnsi="Times New Roman" w:cs="Times New Roman"/>
          <w:lang w:val="en-GB"/>
        </w:rPr>
        <w:t xml:space="preserve"> </w:t>
      </w:r>
      <w:r w:rsidR="00225733">
        <w:rPr>
          <w:rFonts w:ascii="Times New Roman" w:hAnsi="Times New Roman" w:cs="Times New Roman"/>
          <w:lang w:val="en-GB"/>
        </w:rPr>
        <w:t>others expertises and privileges</w:t>
      </w:r>
      <w:r w:rsidRPr="00BA7744">
        <w:rPr>
          <w:rFonts w:ascii="Times New Roman" w:hAnsi="Times New Roman" w:cs="Times New Roman"/>
          <w:lang w:val="en-GB"/>
        </w:rPr>
        <w:t>.</w:t>
      </w:r>
      <w:r>
        <w:rPr>
          <w:rFonts w:ascii="Times New Roman" w:hAnsi="Times New Roman" w:cs="Times New Roman"/>
          <w:lang w:val="en-GB"/>
        </w:rPr>
        <w:t xml:space="preserve"> </w:t>
      </w:r>
      <w:r w:rsidRPr="00BA7744">
        <w:rPr>
          <w:rFonts w:ascii="Times New Roman" w:hAnsi="Times New Roman" w:cs="Times New Roman"/>
          <w:lang w:val="en-GB"/>
        </w:rPr>
        <w:t>Wholesalers provided insider knowledge on potential markets, price elasticity and lo</w:t>
      </w:r>
      <w:r w:rsidR="00225733">
        <w:rPr>
          <w:rFonts w:ascii="Times New Roman" w:hAnsi="Times New Roman" w:cs="Times New Roman"/>
          <w:lang w:val="en-GB"/>
        </w:rPr>
        <w:t xml:space="preserve">cal taste – insights </w:t>
      </w:r>
      <w:r w:rsidRPr="00BA7744">
        <w:rPr>
          <w:rFonts w:ascii="Times New Roman" w:hAnsi="Times New Roman" w:cs="Times New Roman"/>
          <w:lang w:val="en-GB"/>
        </w:rPr>
        <w:t xml:space="preserve">that very few merchant seamen had because of their </w:t>
      </w:r>
      <w:r w:rsidR="00225733">
        <w:rPr>
          <w:rFonts w:ascii="Times New Roman" w:hAnsi="Times New Roman" w:cs="Times New Roman"/>
          <w:lang w:val="en-GB"/>
        </w:rPr>
        <w:t>erratic</w:t>
      </w:r>
      <w:r w:rsidRPr="00BA7744">
        <w:rPr>
          <w:rFonts w:ascii="Times New Roman" w:hAnsi="Times New Roman" w:cs="Times New Roman"/>
          <w:lang w:val="en-GB"/>
        </w:rPr>
        <w:t xml:space="preserve"> </w:t>
      </w:r>
      <w:r w:rsidR="00225733">
        <w:rPr>
          <w:rFonts w:ascii="Times New Roman" w:hAnsi="Times New Roman" w:cs="Times New Roman"/>
          <w:lang w:val="en-GB"/>
        </w:rPr>
        <w:t>lifestyle</w:t>
      </w:r>
      <w:r w:rsidRPr="00BA7744">
        <w:rPr>
          <w:rFonts w:ascii="Times New Roman" w:hAnsi="Times New Roman" w:cs="Times New Roman"/>
          <w:lang w:val="en-GB"/>
        </w:rPr>
        <w:t xml:space="preserve">. </w:t>
      </w:r>
      <w:r w:rsidR="00225733">
        <w:rPr>
          <w:rFonts w:ascii="Times New Roman" w:hAnsi="Times New Roman" w:cs="Times New Roman"/>
          <w:lang w:val="en-GB"/>
        </w:rPr>
        <w:t>Valuable information about commercial developments</w:t>
      </w:r>
      <w:r w:rsidRPr="00BA7744">
        <w:rPr>
          <w:rFonts w:ascii="Times New Roman" w:hAnsi="Times New Roman" w:cs="Times New Roman"/>
          <w:lang w:val="en-GB"/>
        </w:rPr>
        <w:t xml:space="preserve"> </w:t>
      </w:r>
      <w:r w:rsidR="00225733">
        <w:rPr>
          <w:rFonts w:ascii="Times New Roman" w:hAnsi="Times New Roman" w:cs="Times New Roman"/>
          <w:lang w:val="en-GB"/>
        </w:rPr>
        <w:t>was</w:t>
      </w:r>
      <w:bookmarkStart w:id="0" w:name="_GoBack"/>
      <w:bookmarkEnd w:id="0"/>
      <w:r w:rsidRPr="00BA7744">
        <w:rPr>
          <w:rFonts w:ascii="Times New Roman" w:hAnsi="Times New Roman" w:cs="Times New Roman"/>
          <w:lang w:val="en-GB"/>
        </w:rPr>
        <w:t xml:space="preserve"> transmitted in written form, often with material artefacts such as fabric samples attached to them. </w:t>
      </w:r>
      <w:r w:rsidR="00225733">
        <w:rPr>
          <w:rFonts w:ascii="Times New Roman" w:hAnsi="Times New Roman" w:cs="Times New Roman"/>
          <w:lang w:val="en-GB"/>
        </w:rPr>
        <w:t xml:space="preserve">Charles Irvine was regularly furnished with extensive </w:t>
      </w:r>
      <w:r w:rsidRPr="00BA7744">
        <w:rPr>
          <w:rFonts w:ascii="Times New Roman" w:hAnsi="Times New Roman" w:cs="Times New Roman"/>
          <w:lang w:val="en-GB"/>
        </w:rPr>
        <w:t xml:space="preserve">lists </w:t>
      </w:r>
      <w:r w:rsidR="00225733">
        <w:rPr>
          <w:rFonts w:ascii="Times New Roman" w:hAnsi="Times New Roman" w:cs="Times New Roman"/>
          <w:lang w:val="en-GB"/>
        </w:rPr>
        <w:t>regarding</w:t>
      </w:r>
      <w:r w:rsidRPr="00BA7744">
        <w:rPr>
          <w:rFonts w:ascii="Times New Roman" w:hAnsi="Times New Roman" w:cs="Times New Roman"/>
          <w:lang w:val="en-GB"/>
        </w:rPr>
        <w:t xml:space="preserve"> the goods </w:t>
      </w:r>
      <w:r w:rsidR="00225733">
        <w:rPr>
          <w:rFonts w:ascii="Times New Roman" w:hAnsi="Times New Roman" w:cs="Times New Roman"/>
          <w:lang w:val="en-GB"/>
        </w:rPr>
        <w:t xml:space="preserve">that were </w:t>
      </w:r>
      <w:r w:rsidRPr="00BA7744">
        <w:rPr>
          <w:rFonts w:ascii="Times New Roman" w:hAnsi="Times New Roman" w:cs="Times New Roman"/>
          <w:lang w:val="en-GB"/>
        </w:rPr>
        <w:t>needed for specific markets</w:t>
      </w:r>
      <w:r w:rsidR="00225733">
        <w:rPr>
          <w:rFonts w:ascii="Times New Roman" w:hAnsi="Times New Roman" w:cs="Times New Roman"/>
          <w:lang w:val="en-GB"/>
        </w:rPr>
        <w:t xml:space="preserve"> including</w:t>
      </w:r>
      <w:r w:rsidRPr="00BA7744">
        <w:rPr>
          <w:rFonts w:ascii="Times New Roman" w:hAnsi="Times New Roman" w:cs="Times New Roman"/>
          <w:lang w:val="en-GB"/>
        </w:rPr>
        <w:t xml:space="preserve"> detailed assortment</w:t>
      </w:r>
      <w:r w:rsidR="00225733">
        <w:rPr>
          <w:rFonts w:ascii="Times New Roman" w:hAnsi="Times New Roman" w:cs="Times New Roman"/>
          <w:lang w:val="en-GB"/>
        </w:rPr>
        <w:t>s</w:t>
      </w:r>
      <w:r w:rsidRPr="00BA7744">
        <w:rPr>
          <w:rFonts w:ascii="Times New Roman" w:hAnsi="Times New Roman" w:cs="Times New Roman"/>
          <w:lang w:val="en-GB"/>
        </w:rPr>
        <w:t xml:space="preserve"> of silk fabrics </w:t>
      </w:r>
      <w:r w:rsidR="00225733">
        <w:rPr>
          <w:rFonts w:ascii="Times New Roman" w:hAnsi="Times New Roman" w:cs="Times New Roman"/>
          <w:lang w:val="en-GB"/>
        </w:rPr>
        <w:t xml:space="preserve">noting the precise </w:t>
      </w:r>
      <w:r w:rsidRPr="00BA7744">
        <w:rPr>
          <w:rFonts w:ascii="Times New Roman" w:hAnsi="Times New Roman" w:cs="Times New Roman"/>
          <w:lang w:val="en-GB"/>
        </w:rPr>
        <w:t>colour, quality and patterns and provided patterns on paper to ease the communication with Chinese merchants and painters.</w:t>
      </w:r>
    </w:p>
    <w:p w14:paraId="1035D358" w14:textId="77777777" w:rsidR="003A4724" w:rsidRDefault="003A4724"/>
    <w:sectPr w:rsidR="003A4724" w:rsidSect="00033939">
      <w:footerReference w:type="even" r:id="rId7"/>
      <w:footerReference w:type="default" r:id="rId8"/>
      <w:pgSz w:w="11900" w:h="16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4E1AFF" w14:textId="77777777" w:rsidR="00690936" w:rsidRDefault="00690936" w:rsidP="003A4724">
      <w:r>
        <w:separator/>
      </w:r>
    </w:p>
  </w:endnote>
  <w:endnote w:type="continuationSeparator" w:id="0">
    <w:p w14:paraId="50456BD8" w14:textId="77777777" w:rsidR="00690936" w:rsidRDefault="00690936" w:rsidP="003A47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9AD4C2" w14:textId="77777777" w:rsidR="00690936" w:rsidRDefault="00690936" w:rsidP="003A4724">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47E0EA8C" w14:textId="77777777" w:rsidR="00690936" w:rsidRDefault="00690936" w:rsidP="003A4724">
    <w:pPr>
      <w:pStyle w:val="Fuzeil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E2FE5" w14:textId="77777777" w:rsidR="00690936" w:rsidRDefault="00690936" w:rsidP="003A4724">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separate"/>
    </w:r>
    <w:r w:rsidR="00225733">
      <w:rPr>
        <w:rStyle w:val="Seitenzahl"/>
        <w:noProof/>
      </w:rPr>
      <w:t>1</w:t>
    </w:r>
    <w:r>
      <w:rPr>
        <w:rStyle w:val="Seitenzahl"/>
      </w:rPr>
      <w:fldChar w:fldCharType="end"/>
    </w:r>
  </w:p>
  <w:p w14:paraId="5A201591" w14:textId="77777777" w:rsidR="00690936" w:rsidRDefault="00690936" w:rsidP="003A4724">
    <w:pPr>
      <w:pStyle w:val="Fuzeil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F9801A" w14:textId="77777777" w:rsidR="00690936" w:rsidRDefault="00690936" w:rsidP="003A4724">
      <w:r>
        <w:separator/>
      </w:r>
    </w:p>
  </w:footnote>
  <w:footnote w:type="continuationSeparator" w:id="0">
    <w:p w14:paraId="7B115578" w14:textId="77777777" w:rsidR="00690936" w:rsidRDefault="00690936" w:rsidP="003A4724">
      <w:r>
        <w:continuationSeparator/>
      </w:r>
    </w:p>
  </w:footnote>
  <w:footnote w:id="1">
    <w:p w14:paraId="54E38443" w14:textId="77777777" w:rsidR="00690936" w:rsidRPr="002019C9" w:rsidRDefault="00690936" w:rsidP="003A4724">
      <w:pPr>
        <w:pStyle w:val="Funotentext"/>
        <w:jc w:val="both"/>
        <w:rPr>
          <w:rFonts w:ascii="Times New Roman" w:hAnsi="Times New Roman" w:cs="Times New Roman"/>
        </w:rPr>
      </w:pPr>
      <w:r w:rsidRPr="002019C9">
        <w:rPr>
          <w:rStyle w:val="Funotenzeichen"/>
        </w:rPr>
        <w:footnoteRef/>
      </w:r>
      <w:r w:rsidRPr="002019C9">
        <w:rPr>
          <w:rFonts w:ascii="Times New Roman" w:hAnsi="Times New Roman" w:cs="Times New Roman"/>
        </w:rPr>
        <w:t xml:space="preserve"> Malachy Postlethwayt, The Universal Dictionary of Trade and Commerce, translated from the French of the celebrated Monsieur Savary ... with large additions and improvements, incorporated throughout the whole work ; which more particularly accommodate the same to the trade and navigation of these kingdoms, and the laws, customs, and usages, to which all traders are subject, 2nd edition, vol. 1 of 2 (London: John Knapton, 1757), page 685.</w:t>
      </w:r>
    </w:p>
  </w:footnote>
  <w:footnote w:id="2">
    <w:p w14:paraId="3755DFF9" w14:textId="77777777" w:rsidR="00690936" w:rsidRPr="002019C9" w:rsidRDefault="00690936" w:rsidP="003A4724">
      <w:pPr>
        <w:pStyle w:val="Funotentext"/>
        <w:jc w:val="both"/>
        <w:rPr>
          <w:rFonts w:ascii="Times New Roman" w:hAnsi="Times New Roman"/>
        </w:rPr>
      </w:pPr>
      <w:r w:rsidRPr="002019C9">
        <w:rPr>
          <w:rStyle w:val="Funotenzeichen"/>
        </w:rPr>
        <w:footnoteRef/>
      </w:r>
      <w:r w:rsidRPr="002019C9">
        <w:rPr>
          <w:rFonts w:ascii="Times New Roman" w:hAnsi="Times New Roman" w:cs="Times New Roman"/>
        </w:rPr>
        <w:t xml:space="preserve"> Crucially, Postlethway is aware of the considerable amount of private trade that is carried on ‘under the company’s licence and authority’. </w:t>
      </w:r>
      <w:r w:rsidRPr="002019C9">
        <w:rPr>
          <w:rFonts w:ascii="Times New Roman" w:hAnsi="Times New Roman"/>
        </w:rPr>
        <w:t>In fact, the author regards private trade as being necessary and desirable, but in order to flourish private trade has to be regulated and protected by an organization that sets rules, builds forts and stations and has the military might to saveguard British interests against other European nations. Ibid., p. 683; see also pp. 684-5.</w:t>
      </w:r>
    </w:p>
  </w:footnote>
  <w:footnote w:id="3">
    <w:p w14:paraId="747E20EE" w14:textId="77777777" w:rsidR="00690936" w:rsidRPr="002019C9" w:rsidRDefault="00690936" w:rsidP="003A4724">
      <w:pPr>
        <w:pStyle w:val="Funotentext"/>
        <w:jc w:val="both"/>
        <w:rPr>
          <w:rFonts w:ascii="Times New Roman" w:hAnsi="Times New Roman"/>
        </w:rPr>
      </w:pPr>
      <w:r w:rsidRPr="002019C9">
        <w:rPr>
          <w:rStyle w:val="Funotenzeichen"/>
        </w:rPr>
        <w:footnoteRef/>
      </w:r>
      <w:r w:rsidRPr="002019C9">
        <w:rPr>
          <w:rFonts w:ascii="Times New Roman" w:hAnsi="Times New Roman"/>
        </w:rPr>
        <w:t xml:space="preserve"> Ibid., p.685.</w:t>
      </w:r>
    </w:p>
  </w:footnote>
  <w:footnote w:id="4">
    <w:p w14:paraId="25C2439F" w14:textId="77777777" w:rsidR="00690936" w:rsidRPr="00300484" w:rsidRDefault="00690936" w:rsidP="003A4724">
      <w:pPr>
        <w:pStyle w:val="Funotentext"/>
        <w:jc w:val="both"/>
        <w:rPr>
          <w:rFonts w:ascii="Times New Roman" w:hAnsi="Times New Roman"/>
        </w:rPr>
      </w:pPr>
      <w:r w:rsidRPr="002019C9">
        <w:rPr>
          <w:rStyle w:val="Funotenzeichen"/>
        </w:rPr>
        <w:footnoteRef/>
      </w:r>
      <w:r w:rsidRPr="002019C9">
        <w:rPr>
          <w:rFonts w:ascii="Times New Roman" w:hAnsi="Times New Roman"/>
        </w:rPr>
        <w:t xml:space="preserve"> During the late seventeenth and eighteenth centuries increasing proportions of the urban middle classes in Europe became conspicuous consumers of ‘new’ or ‘semi-luxuries’. Maxine Berg, Jan de Vries and many other historians of Europe have conceptualised this new consumer culture in contrast to the consumption and circulation of prestige goods that were long imported and produced for the refined taste of royal courts. See, for instance Jan de Vries, </w:t>
      </w:r>
      <w:r w:rsidRPr="002019C9">
        <w:rPr>
          <w:rFonts w:ascii="Times New Roman" w:hAnsi="Times New Roman"/>
          <w:i/>
        </w:rPr>
        <w:t>The Industrious Revolution</w:t>
      </w:r>
      <w:r w:rsidRPr="00300484">
        <w:rPr>
          <w:rFonts w:ascii="Times New Roman" w:hAnsi="Times New Roman"/>
          <w:i/>
        </w:rPr>
        <w:t>: Consumer Behaviour and the Household Economy, 1650 to the Present</w:t>
      </w:r>
      <w:r w:rsidRPr="00300484">
        <w:rPr>
          <w:rFonts w:ascii="Times New Roman" w:hAnsi="Times New Roman"/>
        </w:rPr>
        <w:t xml:space="preserve"> (Cambridge, 2008); Maxine Berg, ‘New commodities, luxuries and their consumers in eighteenth-century England' in Maxine Berg and Helen Clifford (eds.), </w:t>
      </w:r>
      <w:r w:rsidRPr="00300484">
        <w:rPr>
          <w:rFonts w:ascii="Times New Roman" w:hAnsi="Times New Roman"/>
          <w:i/>
        </w:rPr>
        <w:t>Consumers and luxury: Consumer culture in Europe 1650-1850</w:t>
      </w:r>
      <w:r w:rsidRPr="00300484">
        <w:rPr>
          <w:rFonts w:ascii="Times New Roman" w:hAnsi="Times New Roman"/>
        </w:rPr>
        <w:t xml:space="preserve"> (Manchester, 1999).</w:t>
      </w:r>
    </w:p>
  </w:footnote>
  <w:footnote w:id="5">
    <w:p w14:paraId="28A8F9AA" w14:textId="77777777" w:rsidR="00690936" w:rsidRPr="002019C9" w:rsidRDefault="00690936" w:rsidP="003A4724">
      <w:pPr>
        <w:pStyle w:val="Funotentext"/>
        <w:jc w:val="both"/>
        <w:rPr>
          <w:rFonts w:ascii="Times New Roman" w:hAnsi="Times New Roman"/>
        </w:rPr>
      </w:pPr>
      <w:r w:rsidRPr="00300484">
        <w:rPr>
          <w:rStyle w:val="Funotenzeichen"/>
        </w:rPr>
        <w:footnoteRef/>
      </w:r>
      <w:r w:rsidRPr="00300484">
        <w:rPr>
          <w:rFonts w:ascii="Times New Roman" w:hAnsi="Times New Roman"/>
        </w:rPr>
        <w:t xml:space="preserve"> See, for instance, Rengenier C. Rittersma (ed.), Luxury in the Low Countries: Miscellaneous Reflections on Netherlandish Material Culture, 1500 to the Present (2011</w:t>
      </w:r>
      <w:r w:rsidRPr="002019C9">
        <w:rPr>
          <w:rFonts w:ascii="Times New Roman" w:hAnsi="Times New Roman"/>
        </w:rPr>
        <w:t xml:space="preserve">); Daniel L. Purdy, The Tyranny of Elegance: Consumer Cosmopolitanism in the Era of Goethe (1998), Natacha Coquery, ‘The Language of Success: Marketing and Distributing Semi-luxury Goods in Eighteenth-Century Paris’, </w:t>
      </w:r>
      <w:r w:rsidRPr="002019C9">
        <w:rPr>
          <w:rFonts w:ascii="Times New Roman" w:hAnsi="Times New Roman"/>
          <w:i/>
        </w:rPr>
        <w:t>Journal of Design History</w:t>
      </w:r>
      <w:r w:rsidRPr="002019C9">
        <w:rPr>
          <w:rFonts w:ascii="Times New Roman" w:hAnsi="Times New Roman"/>
        </w:rPr>
        <w:t>, 17:1 (2004), pp. 71-89.</w:t>
      </w:r>
    </w:p>
  </w:footnote>
  <w:footnote w:id="6">
    <w:p w14:paraId="757EAC7F" w14:textId="77777777" w:rsidR="00690936" w:rsidRPr="002019C9" w:rsidRDefault="00690936" w:rsidP="003A4724">
      <w:pPr>
        <w:jc w:val="both"/>
        <w:rPr>
          <w:rFonts w:ascii="Times New Roman" w:hAnsi="Times New Roman"/>
          <w:sz w:val="20"/>
          <w:szCs w:val="20"/>
          <w:lang w:val="en-GB"/>
        </w:rPr>
      </w:pPr>
      <w:r w:rsidRPr="002019C9">
        <w:rPr>
          <w:rStyle w:val="Funotenzeichen"/>
          <w:sz w:val="20"/>
          <w:szCs w:val="20"/>
          <w:lang w:val="en-GB"/>
        </w:rPr>
        <w:footnoteRef/>
      </w:r>
      <w:r w:rsidRPr="002019C9">
        <w:rPr>
          <w:rFonts w:ascii="Times New Roman" w:hAnsi="Times New Roman"/>
          <w:sz w:val="20"/>
          <w:szCs w:val="20"/>
          <w:lang w:val="en-GB"/>
        </w:rPr>
        <w:t xml:space="preserve"> Nuala Zahedieh, </w:t>
      </w:r>
      <w:r w:rsidRPr="002019C9">
        <w:rPr>
          <w:rFonts w:ascii="Times New Roman" w:hAnsi="Times New Roman"/>
          <w:i/>
          <w:sz w:val="20"/>
          <w:szCs w:val="20"/>
          <w:lang w:val="en-GB"/>
        </w:rPr>
        <w:t>The Capital and the Colonies: London and the Atlantic Economy, 1660-1700</w:t>
      </w:r>
      <w:r w:rsidRPr="002019C9">
        <w:rPr>
          <w:rFonts w:ascii="Times New Roman" w:hAnsi="Times New Roman"/>
          <w:sz w:val="20"/>
          <w:szCs w:val="20"/>
          <w:lang w:val="en-GB"/>
        </w:rPr>
        <w:t xml:space="preserve"> (Cambridge, 2010), p.55.</w:t>
      </w:r>
    </w:p>
  </w:footnote>
  <w:footnote w:id="7">
    <w:p w14:paraId="17AC77C1" w14:textId="77777777" w:rsidR="00690936" w:rsidRPr="003A4724" w:rsidRDefault="00690936" w:rsidP="003A4724">
      <w:pPr>
        <w:pStyle w:val="Funotentext"/>
        <w:jc w:val="both"/>
        <w:rPr>
          <w:rFonts w:ascii="Times New Roman" w:hAnsi="Times New Roman" w:cs="Times New Roman"/>
          <w:lang w:val="de-DE"/>
        </w:rPr>
      </w:pPr>
      <w:r w:rsidRPr="003A4724">
        <w:rPr>
          <w:rStyle w:val="Funotenzeichen"/>
        </w:rPr>
        <w:footnoteRef/>
      </w:r>
      <w:r w:rsidRPr="003A4724">
        <w:rPr>
          <w:rFonts w:ascii="Times New Roman" w:hAnsi="Times New Roman" w:cs="Times New Roman"/>
        </w:rPr>
        <w:t xml:space="preserve"> Issues of malfeasance, corruption and the general lack of control over Company servants abroad corresponds to the so-called principal-agent problem in economic game theory. Although considered as widespread, disloyal or self-interested behaviour is still treated as an anomalie in much of the scholarly writing on the Companies. Few historians fundamentally query that monopolies and thus the ‘rules of the game’ were successfully defended by the individual Company headquarters. Some exceptions exist for the South-Asian context, see Ian Bruce Watson, </w:t>
      </w:r>
      <w:r w:rsidRPr="003A4724">
        <w:rPr>
          <w:rFonts w:ascii="Times New Roman" w:hAnsi="Times New Roman" w:cs="Times New Roman"/>
          <w:i/>
        </w:rPr>
        <w:t>Foundation for Empire: English Private Trade in India, 1659-1760</w:t>
      </w:r>
      <w:r w:rsidRPr="003A4724">
        <w:rPr>
          <w:rFonts w:ascii="Times New Roman" w:hAnsi="Times New Roman" w:cs="Times New Roman"/>
        </w:rPr>
        <w:t xml:space="preserve"> (New Delhi, 1980); and more recently, Emily Erikson and Peter Bearman, ‘Malfeasance and the Foundations for Global Trade: The Structure of English Trade in the East Indies, 1601-1833’, </w:t>
      </w:r>
      <w:r w:rsidRPr="003A4724">
        <w:rPr>
          <w:rFonts w:ascii="Times New Roman" w:hAnsi="Times New Roman" w:cs="Times New Roman"/>
          <w:i/>
        </w:rPr>
        <w:t xml:space="preserve">American Journal of Sociology, </w:t>
      </w:r>
      <w:r w:rsidRPr="003A4724">
        <w:rPr>
          <w:rFonts w:ascii="Times New Roman" w:hAnsi="Times New Roman" w:cs="Times New Roman"/>
        </w:rPr>
        <w:t xml:space="preserve">112:1 (2006), pp. 195-230; </w:t>
      </w:r>
      <w:r w:rsidRPr="003A4724">
        <w:rPr>
          <w:rFonts w:ascii="Times New Roman" w:hAnsi="Times New Roman" w:cs="Times New Roman"/>
          <w:lang w:val="de-DE"/>
        </w:rPr>
        <w:t xml:space="preserve">H. V. Bowen, ‘Privilege and Profit: Commanders of East Indiamen as Private Traders, Entrepreneurs and Smugglers, 1760-1813’, </w:t>
      </w:r>
      <w:r w:rsidRPr="003A4724">
        <w:rPr>
          <w:rFonts w:ascii="Times New Roman" w:hAnsi="Times New Roman" w:cs="Times New Roman"/>
          <w:i/>
          <w:lang w:val="de-DE"/>
        </w:rPr>
        <w:t>International Journal of Maritime History</w:t>
      </w:r>
      <w:r w:rsidRPr="003A4724">
        <w:rPr>
          <w:rFonts w:ascii="Times New Roman" w:hAnsi="Times New Roman" w:cs="Times New Roman"/>
          <w:lang w:val="de-DE"/>
        </w:rPr>
        <w:t xml:space="preserve">, XIX, No. 2 (2007), pp. 43-88; Chris Nierstrasz, </w:t>
      </w:r>
      <w:r w:rsidRPr="003A4724">
        <w:rPr>
          <w:rFonts w:ascii="Times New Roman" w:hAnsi="Times New Roman" w:cs="Times New Roman"/>
          <w:i/>
          <w:lang w:val="de-DE"/>
        </w:rPr>
        <w:t>In the Shadow of the Company. The Dutch East India Company and ist Servants in the Period of its Decline, 1740-1796</w:t>
      </w:r>
      <w:r w:rsidRPr="003A4724">
        <w:rPr>
          <w:rFonts w:ascii="Times New Roman" w:hAnsi="Times New Roman" w:cs="Times New Roman"/>
          <w:lang w:val="de-DE"/>
        </w:rPr>
        <w:t xml:space="preserve"> (Leiden and Boston, 2012).</w:t>
      </w:r>
    </w:p>
    <w:p w14:paraId="4E7AE514" w14:textId="77777777" w:rsidR="00690936" w:rsidRPr="002019C9" w:rsidRDefault="00690936" w:rsidP="003A4724">
      <w:pPr>
        <w:pStyle w:val="Funotentext"/>
        <w:jc w:val="both"/>
        <w:rPr>
          <w:rFonts w:ascii="Times New Roman" w:hAnsi="Times New Roman"/>
        </w:rPr>
      </w:pPr>
    </w:p>
  </w:footnote>
  <w:footnote w:id="8">
    <w:p w14:paraId="5BB3126C" w14:textId="77777777" w:rsidR="00690936" w:rsidRPr="002019C9" w:rsidRDefault="00690936" w:rsidP="003A4724">
      <w:pPr>
        <w:jc w:val="both"/>
        <w:rPr>
          <w:rFonts w:ascii="Times New Roman" w:hAnsi="Times New Roman" w:cs="Times New Roman"/>
          <w:b/>
          <w:sz w:val="20"/>
          <w:szCs w:val="20"/>
          <w:lang w:val="en-GB"/>
        </w:rPr>
      </w:pPr>
      <w:r w:rsidRPr="002019C9">
        <w:rPr>
          <w:rStyle w:val="Funotenzeichen"/>
          <w:sz w:val="20"/>
          <w:szCs w:val="20"/>
          <w:lang w:val="en-GB"/>
        </w:rPr>
        <w:footnoteRef/>
      </w:r>
      <w:r w:rsidRPr="002019C9">
        <w:rPr>
          <w:rFonts w:ascii="Times New Roman" w:hAnsi="Times New Roman" w:cs="Times New Roman"/>
          <w:sz w:val="20"/>
          <w:szCs w:val="20"/>
          <w:lang w:val="en-GB"/>
        </w:rPr>
        <w:t xml:space="preserve"> The few law cases that were initiated against individual commanders or supercargoes were clearly intended as cautionary tales for other China traders. The punishment, however, was never as harsh as one might think. The story of James Naish who brought gold from China much in excess and was accused of a range of other fraudulent activities by a fellow supercargo is recounted in several book on the China trade. See, for instance, Conrad Gill, </w:t>
      </w:r>
      <w:r w:rsidRPr="002019C9">
        <w:rPr>
          <w:rFonts w:ascii="Times New Roman" w:hAnsi="Times New Roman" w:cs="Times New Roman"/>
          <w:i/>
          <w:sz w:val="20"/>
          <w:szCs w:val="20"/>
          <w:lang w:val="en-GB"/>
        </w:rPr>
        <w:t>Merchants and Mariners of the 18th Century</w:t>
      </w:r>
      <w:r w:rsidRPr="002019C9">
        <w:rPr>
          <w:rFonts w:ascii="Times New Roman" w:hAnsi="Times New Roman" w:cs="Times New Roman"/>
          <w:sz w:val="20"/>
          <w:szCs w:val="20"/>
          <w:lang w:val="en-GB"/>
        </w:rPr>
        <w:t>, (Westport, 1961, repr. 1978), chapter 9.</w:t>
      </w:r>
    </w:p>
  </w:footnote>
  <w:footnote w:id="9">
    <w:p w14:paraId="7FD6911F" w14:textId="77777777" w:rsidR="00690936" w:rsidRPr="002019C9" w:rsidRDefault="00690936" w:rsidP="003A4724">
      <w:pPr>
        <w:pStyle w:val="Funotentext"/>
        <w:rPr>
          <w:rFonts w:ascii="Times New Roman" w:hAnsi="Times New Roman"/>
        </w:rPr>
      </w:pPr>
      <w:r w:rsidRPr="002019C9">
        <w:rPr>
          <w:rStyle w:val="Funotenzeichen"/>
        </w:rPr>
        <w:footnoteRef/>
      </w:r>
      <w:r w:rsidRPr="002019C9">
        <w:rPr>
          <w:rFonts w:ascii="Times New Roman" w:hAnsi="Times New Roman"/>
        </w:rPr>
        <w:t xml:space="preserve"> </w:t>
      </w:r>
      <w:r w:rsidRPr="002019C9">
        <w:rPr>
          <w:rFonts w:ascii="Times New Roman" w:hAnsi="Times New Roman" w:cs="Times New Roman"/>
        </w:rPr>
        <w:t>Andrew MacKillop</w:t>
      </w:r>
      <w:r w:rsidRPr="003A4724">
        <w:rPr>
          <w:rFonts w:ascii="Times New Roman" w:hAnsi="Times New Roman" w:cs="Times New Roman"/>
        </w:rPr>
        <w:t>, discussant at the ‘Comparing Companies’ workshop, University of</w:t>
      </w:r>
      <w:r w:rsidRPr="002019C9">
        <w:rPr>
          <w:rFonts w:ascii="Times New Roman" w:hAnsi="Times New Roman" w:cs="Times New Roman"/>
        </w:rPr>
        <w:t xml:space="preserve"> Warwick, 2011, etc.</w:t>
      </w:r>
    </w:p>
  </w:footnote>
  <w:footnote w:id="10">
    <w:p w14:paraId="658A54EF" w14:textId="77777777" w:rsidR="00690936" w:rsidRPr="003A4724" w:rsidRDefault="00690936" w:rsidP="003A4724">
      <w:pPr>
        <w:pStyle w:val="Funotentext"/>
        <w:jc w:val="both"/>
        <w:rPr>
          <w:rFonts w:ascii="Times New Roman" w:hAnsi="Times New Roman" w:cs="Times New Roman"/>
          <w:lang w:val="de-DE"/>
        </w:rPr>
      </w:pPr>
      <w:r w:rsidRPr="003A4724">
        <w:rPr>
          <w:rStyle w:val="Funotenzeichen"/>
        </w:rPr>
        <w:footnoteRef/>
      </w:r>
      <w:r w:rsidRPr="003A4724">
        <w:rPr>
          <w:rFonts w:ascii="Times New Roman" w:hAnsi="Times New Roman" w:cs="Times New Roman"/>
        </w:rPr>
        <w:t xml:space="preserve"> </w:t>
      </w:r>
      <w:r w:rsidRPr="003A4724">
        <w:rPr>
          <w:rFonts w:ascii="Times New Roman" w:hAnsi="Times New Roman" w:cs="Times New Roman"/>
          <w:lang w:val="de-DE"/>
        </w:rPr>
        <w:t xml:space="preserve">Nathaniel Elwick, Nathaniel Torriano, George Arbuthnot and Charles Irvine were all British-born China supercargoes in the 1720s and 1730s who kept their profile as ‘French’ wine merchants. Among the larger group of china traders, there were iron merchants, slave traders, drapers, shipping magnates, and cod-fishers. The networks that China traders built in these other branches of business could be highly relevant for their private trade in Chinese goods, especially in facilitating the smuggling of tea to Scotland, Ireland and Northern England. </w:t>
      </w:r>
    </w:p>
  </w:footnote>
  <w:footnote w:id="11">
    <w:p w14:paraId="06E94CA3" w14:textId="77777777" w:rsidR="00690936" w:rsidRPr="00BF5AFD" w:rsidRDefault="00690936" w:rsidP="003A4724">
      <w:pPr>
        <w:pStyle w:val="Funotentext"/>
        <w:jc w:val="both"/>
        <w:rPr>
          <w:rFonts w:ascii="Times New Roman" w:hAnsi="Times New Roman" w:cs="Times New Roman"/>
          <w:lang w:val="de-DE"/>
        </w:rPr>
      </w:pPr>
      <w:r w:rsidRPr="003A4724">
        <w:rPr>
          <w:rStyle w:val="Funotenzeichen"/>
        </w:rPr>
        <w:footnoteRef/>
      </w:r>
      <w:r w:rsidRPr="003A4724">
        <w:rPr>
          <w:rFonts w:ascii="Times New Roman" w:hAnsi="Times New Roman" w:cs="Times New Roman"/>
          <w:lang w:val="de-DE"/>
        </w:rPr>
        <w:t xml:space="preserve">See Carolyn Sargentson, </w:t>
      </w:r>
      <w:r w:rsidRPr="003A4724">
        <w:rPr>
          <w:rFonts w:ascii="Times New Roman" w:hAnsi="Times New Roman" w:cs="Times New Roman"/>
          <w:i/>
          <w:lang w:val="de-DE"/>
        </w:rPr>
        <w:t>Merchants and Luxury Markets: The Marchand Mercier of Eighteenth-Century Paris</w:t>
      </w:r>
      <w:r w:rsidRPr="003A4724">
        <w:rPr>
          <w:rFonts w:ascii="Times New Roman" w:hAnsi="Times New Roman" w:cs="Times New Roman"/>
          <w:lang w:val="de-DE"/>
        </w:rPr>
        <w:t xml:space="preserve"> (London, 1996).</w:t>
      </w:r>
    </w:p>
  </w:footnote>
  <w:footnote w:id="12">
    <w:p w14:paraId="3F2DCDB3" w14:textId="77777777" w:rsidR="00690936" w:rsidRPr="0015533B" w:rsidRDefault="00690936" w:rsidP="003A4724">
      <w:pPr>
        <w:pStyle w:val="Funotentext"/>
        <w:jc w:val="both"/>
        <w:rPr>
          <w:rFonts w:ascii="Times New Roman" w:hAnsi="Times New Roman" w:cs="Times New Roman"/>
        </w:rPr>
      </w:pPr>
      <w:r w:rsidRPr="0015533B">
        <w:rPr>
          <w:rStyle w:val="Funotenzeichen"/>
        </w:rPr>
        <w:footnoteRef/>
      </w:r>
      <w:r w:rsidRPr="0015533B">
        <w:rPr>
          <w:rFonts w:ascii="Times New Roman" w:hAnsi="Times New Roman" w:cs="Times New Roman"/>
        </w:rPr>
        <w:t xml:space="preserve"> Postlethwayt, p. 761. Entry on ‘factors, agents, and supercargoes’.</w:t>
      </w:r>
    </w:p>
  </w:footnote>
  <w:footnote w:id="13">
    <w:p w14:paraId="5B39269D" w14:textId="77777777" w:rsidR="00690936" w:rsidRPr="009D367B" w:rsidRDefault="00690936" w:rsidP="003A4724">
      <w:pPr>
        <w:pStyle w:val="Funotentext"/>
        <w:jc w:val="both"/>
        <w:rPr>
          <w:rFonts w:ascii="Times New Roman" w:hAnsi="Times New Roman" w:cs="Times New Roman"/>
          <w:lang w:val="de-DE"/>
        </w:rPr>
      </w:pPr>
      <w:r w:rsidRPr="009D367B">
        <w:rPr>
          <w:rStyle w:val="Funotenzeichen"/>
        </w:rPr>
        <w:footnoteRef/>
      </w:r>
      <w:r w:rsidRPr="009D367B">
        <w:rPr>
          <w:rFonts w:ascii="Times New Roman" w:hAnsi="Times New Roman" w:cs="Times New Roman"/>
        </w:rPr>
        <w:t xml:space="preserve"> </w:t>
      </w:r>
      <w:r w:rsidRPr="009D367B">
        <w:rPr>
          <w:rFonts w:ascii="Times New Roman" w:hAnsi="Times New Roman" w:cs="Times New Roman"/>
          <w:lang w:val="de-DE"/>
        </w:rPr>
        <w:t xml:space="preserve">C. J. A. Jörg, </w:t>
      </w:r>
      <w:r w:rsidRPr="009D367B">
        <w:rPr>
          <w:rFonts w:ascii="Times New Roman" w:hAnsi="Times New Roman" w:cs="Times New Roman"/>
          <w:i/>
          <w:lang w:val="de-DE"/>
        </w:rPr>
        <w:t>Porcelain and the Dutch China Trade</w:t>
      </w:r>
      <w:r w:rsidRPr="009D367B">
        <w:rPr>
          <w:rFonts w:ascii="Times New Roman" w:hAnsi="Times New Roman" w:cs="Times New Roman"/>
          <w:lang w:val="de-DE"/>
        </w:rPr>
        <w:t xml:space="preserve"> (The Hague, 1982), p. 22.</w:t>
      </w:r>
    </w:p>
  </w:footnote>
  <w:footnote w:id="14">
    <w:p w14:paraId="3A8B4607" w14:textId="77777777" w:rsidR="00690936" w:rsidRPr="00225733" w:rsidRDefault="00690936" w:rsidP="00225733">
      <w:pPr>
        <w:pStyle w:val="Funotentext"/>
        <w:jc w:val="both"/>
        <w:rPr>
          <w:rFonts w:ascii="Times New Roman" w:hAnsi="Times New Roman" w:cs="Times New Roman"/>
          <w:lang w:val="de-DE"/>
        </w:rPr>
      </w:pPr>
      <w:r w:rsidRPr="00225733">
        <w:rPr>
          <w:rStyle w:val="Funotenzeichen"/>
        </w:rPr>
        <w:footnoteRef/>
      </w:r>
      <w:r w:rsidRPr="00225733">
        <w:rPr>
          <w:rFonts w:ascii="Times New Roman" w:hAnsi="Times New Roman" w:cs="Times New Roman"/>
        </w:rPr>
        <w:t xml:space="preserve"> The private trade allowance of commanders in the English East India Company rose from about 13 tons in the 1730’s to 38 tons in 1774-75. The private trade of supercargoes, by contrast, decreased officially after 1740, when they received a larger share on Company sales profits by means of granting them an ‘allowance’ to put capital in the Company stock. Still, considerable amounts were imported, often declared as ‘presents’, goods of ‘personal use’ or commissions from others. See, on regulations in this period, Earl H. Pritchard, ‘Private Trade between England and China in the Eighteenth Century (1680-1833)’, </w:t>
      </w:r>
      <w:r w:rsidRPr="00225733">
        <w:rPr>
          <w:rFonts w:ascii="Times New Roman" w:hAnsi="Times New Roman" w:cs="Times New Roman"/>
          <w:i/>
        </w:rPr>
        <w:t>Journal of the Economic and Social History of the Orient</w:t>
      </w:r>
      <w:r w:rsidRPr="00225733">
        <w:rPr>
          <w:rFonts w:ascii="Times New Roman" w:hAnsi="Times New Roman" w:cs="Times New Roman"/>
        </w:rPr>
        <w:t>, 1:1 (1957), p. 117-121.</w:t>
      </w:r>
    </w:p>
  </w:footnote>
  <w:footnote w:id="15">
    <w:p w14:paraId="0C0A5117" w14:textId="77777777" w:rsidR="00690936" w:rsidRPr="00225733" w:rsidRDefault="00690936" w:rsidP="00225733">
      <w:pPr>
        <w:pStyle w:val="Funotentext"/>
        <w:jc w:val="both"/>
        <w:rPr>
          <w:rFonts w:ascii="Times New Roman" w:hAnsi="Times New Roman" w:cs="Times New Roman"/>
          <w:lang w:val="de-DE"/>
        </w:rPr>
      </w:pPr>
      <w:r w:rsidRPr="00225733">
        <w:rPr>
          <w:rStyle w:val="Funotenzeichen"/>
        </w:rPr>
        <w:footnoteRef/>
      </w:r>
      <w:r w:rsidRPr="00225733">
        <w:rPr>
          <w:rFonts w:ascii="Times New Roman" w:hAnsi="Times New Roman" w:cs="Times New Roman"/>
        </w:rPr>
        <w:t xml:space="preserve"> </w:t>
      </w:r>
      <w:r w:rsidRPr="00225733">
        <w:rPr>
          <w:rFonts w:ascii="Times New Roman" w:hAnsi="Times New Roman" w:cs="Times New Roman"/>
          <w:lang w:val="de-DE"/>
        </w:rPr>
        <w:t>The partnerships that feature in this paper are predominantly formed between European wholesalers and British-born members of the Ostend and Swedish East India Companies.</w:t>
      </w:r>
    </w:p>
  </w:footnote>
  <w:footnote w:id="16">
    <w:p w14:paraId="02D58AF8" w14:textId="77777777" w:rsidR="00690936" w:rsidRPr="009D367B" w:rsidRDefault="00690936" w:rsidP="003A4724">
      <w:pPr>
        <w:pStyle w:val="Funotentext"/>
        <w:jc w:val="both"/>
        <w:rPr>
          <w:rFonts w:ascii="Times New Roman" w:hAnsi="Times New Roman" w:cs="Times New Roman"/>
          <w:lang w:val="de-DE"/>
        </w:rPr>
      </w:pPr>
      <w:r w:rsidRPr="009D367B">
        <w:rPr>
          <w:rStyle w:val="Funotenzeichen"/>
        </w:rPr>
        <w:footnoteRef/>
      </w:r>
      <w:r w:rsidRPr="009D367B">
        <w:rPr>
          <w:rFonts w:ascii="Times New Roman" w:hAnsi="Times New Roman" w:cs="Times New Roman"/>
        </w:rPr>
        <w:t xml:space="preserve"> </w:t>
      </w:r>
      <w:r w:rsidRPr="009D367B">
        <w:rPr>
          <w:rFonts w:ascii="Times New Roman" w:hAnsi="Times New Roman" w:cs="Times New Roman"/>
          <w:lang w:val="de-DE"/>
        </w:rPr>
        <w:t>IOR/G/12/38 1734-36, p.</w:t>
      </w:r>
    </w:p>
  </w:footnote>
  <w:footnote w:id="17">
    <w:p w14:paraId="5540F4A1" w14:textId="77777777" w:rsidR="00690936" w:rsidRPr="009D367B" w:rsidRDefault="00690936" w:rsidP="003A4724">
      <w:pPr>
        <w:pStyle w:val="Funotentext"/>
        <w:jc w:val="both"/>
        <w:rPr>
          <w:rFonts w:ascii="Times New Roman" w:hAnsi="Times New Roman" w:cs="Times New Roman"/>
          <w:lang w:val="de-DE"/>
        </w:rPr>
      </w:pPr>
      <w:r w:rsidRPr="009D367B">
        <w:rPr>
          <w:rStyle w:val="Funotenzeichen"/>
        </w:rPr>
        <w:footnoteRef/>
      </w:r>
      <w:r w:rsidRPr="009D367B">
        <w:rPr>
          <w:rFonts w:ascii="Times New Roman" w:hAnsi="Times New Roman" w:cs="Times New Roman"/>
        </w:rPr>
        <w:t xml:space="preserve"> </w:t>
      </w:r>
      <w:r w:rsidRPr="009D367B">
        <w:rPr>
          <w:rFonts w:ascii="Times New Roman" w:hAnsi="Times New Roman" w:cs="Times New Roman"/>
          <w:lang w:val="de-DE"/>
        </w:rPr>
        <w:t xml:space="preserve">‘Richard Moreton’s Claim in the East India Warehouse’, </w:t>
      </w:r>
      <w:r>
        <w:rPr>
          <w:rFonts w:ascii="Times New Roman" w:hAnsi="Times New Roman" w:cs="Times New Roman"/>
          <w:lang w:val="de-DE"/>
        </w:rPr>
        <w:t>one folio.</w:t>
      </w:r>
      <w:r w:rsidRPr="009D367B">
        <w:rPr>
          <w:rFonts w:ascii="Times New Roman" w:hAnsi="Times New Roman" w:cs="Times New Roman"/>
          <w:lang w:val="de-DE"/>
        </w:rPr>
        <w:t xml:space="preserve"> </w:t>
      </w:r>
      <w:r w:rsidRPr="009D367B">
        <w:rPr>
          <w:rFonts w:ascii="Times New Roman" w:hAnsi="Times New Roman" w:cs="Times New Roman"/>
          <w:i/>
        </w:rPr>
        <w:t>The National Archives</w:t>
      </w:r>
      <w:r w:rsidRPr="009D367B">
        <w:rPr>
          <w:rFonts w:ascii="Times New Roman" w:hAnsi="Times New Roman" w:cs="Times New Roman"/>
        </w:rPr>
        <w:t>, Kew, Chancery masters’ records, C103/192 Moreton vs. Newnam.</w:t>
      </w:r>
    </w:p>
  </w:footnote>
  <w:footnote w:id="18">
    <w:p w14:paraId="37F5A898" w14:textId="77777777" w:rsidR="00690936" w:rsidRPr="00AE5982" w:rsidRDefault="00690936" w:rsidP="003A4724">
      <w:pPr>
        <w:pStyle w:val="Funotentext"/>
        <w:jc w:val="both"/>
        <w:rPr>
          <w:rFonts w:ascii="Times New Roman" w:hAnsi="Times New Roman" w:cs="Times New Roman"/>
          <w:lang w:val="de-DE"/>
        </w:rPr>
      </w:pPr>
      <w:r w:rsidRPr="00AE5982">
        <w:rPr>
          <w:rStyle w:val="Funotenzeichen"/>
        </w:rPr>
        <w:footnoteRef/>
      </w:r>
      <w:r w:rsidRPr="00AE5982">
        <w:rPr>
          <w:rFonts w:ascii="Times New Roman" w:hAnsi="Times New Roman" w:cs="Times New Roman"/>
        </w:rPr>
        <w:t xml:space="preserve"> </w:t>
      </w:r>
      <w:r w:rsidRPr="00AE5982">
        <w:rPr>
          <w:rFonts w:ascii="Times New Roman" w:hAnsi="Times New Roman" w:cs="Times New Roman"/>
          <w:lang w:val="de-DE"/>
        </w:rPr>
        <w:t xml:space="preserve">The personal records of Charles Irvine contain a comprehensive list of British-born supercargoes, writers, surgeons and officers who were employed by the Swedish East India Company during their first charter that ended in 1746. 19 men are listed as supercargoes and writers, 15 as officers and midshipmen, </w:t>
      </w:r>
      <w:r>
        <w:rPr>
          <w:rFonts w:ascii="Times New Roman" w:hAnsi="Times New Roman" w:cs="Times New Roman"/>
          <w:lang w:val="de-DE"/>
        </w:rPr>
        <w:t xml:space="preserve">in addition to </w:t>
      </w:r>
      <w:r w:rsidRPr="00AE5982">
        <w:rPr>
          <w:rFonts w:ascii="Times New Roman" w:hAnsi="Times New Roman" w:cs="Times New Roman"/>
          <w:lang w:val="de-DE"/>
        </w:rPr>
        <w:t xml:space="preserve">2 ‘chirurgiens’, 3 ‘charpentiers’ and 5 ‘matelots et garcons’. James Ford Bell Library, Minneapolis, </w:t>
      </w:r>
      <w:r w:rsidRPr="00AE5982">
        <w:rPr>
          <w:rFonts w:ascii="Times New Roman" w:hAnsi="Times New Roman" w:cs="Times New Roman"/>
          <w:i/>
          <w:lang w:val="de-DE"/>
        </w:rPr>
        <w:t>Charles Irvine Correspondence,</w:t>
      </w:r>
      <w:r w:rsidRPr="00AE5982">
        <w:rPr>
          <w:rFonts w:ascii="Times New Roman" w:hAnsi="Times New Roman" w:cs="Times New Roman"/>
          <w:lang w:val="de-DE"/>
        </w:rPr>
        <w:t xml:space="preserve"> Letter book and A</w:t>
      </w:r>
      <w:r>
        <w:rPr>
          <w:rFonts w:ascii="Times New Roman" w:hAnsi="Times New Roman" w:cs="Times New Roman"/>
          <w:lang w:val="de-DE"/>
        </w:rPr>
        <w:t>ccount book</w:t>
      </w:r>
      <w:r w:rsidRPr="00AE5982">
        <w:rPr>
          <w:rFonts w:ascii="Times New Roman" w:hAnsi="Times New Roman" w:cs="Times New Roman"/>
          <w:lang w:val="de-DE"/>
        </w:rPr>
        <w:t>, Legal Documents and unclassified papers.</w:t>
      </w:r>
      <w:r>
        <w:rPr>
          <w:rFonts w:ascii="Times New Roman" w:hAnsi="Times New Roman" w:cs="Times New Roman"/>
          <w:lang w:val="de-DE"/>
        </w:rPr>
        <w:t xml:space="preserve"> The same box contains the ‘Instructions for the voyage of the ship Three Crowns, 1736-37’ and the copy letterbook for said journey listing the vast amounts of private trade that individual traders had in the Swedish Company.</w:t>
      </w:r>
    </w:p>
  </w:footnote>
  <w:footnote w:id="19">
    <w:p w14:paraId="6651B379" w14:textId="77777777" w:rsidR="00690936" w:rsidRPr="00225733" w:rsidRDefault="00690936" w:rsidP="00225733">
      <w:pPr>
        <w:pStyle w:val="Funotentext"/>
        <w:jc w:val="both"/>
        <w:rPr>
          <w:rFonts w:ascii="Times New Roman" w:hAnsi="Times New Roman" w:cs="Times New Roman"/>
          <w:lang w:val="de-DE"/>
        </w:rPr>
      </w:pPr>
      <w:r w:rsidRPr="00225733">
        <w:rPr>
          <w:rStyle w:val="Funotenzeichen"/>
        </w:rPr>
        <w:footnoteRef/>
      </w:r>
      <w:r w:rsidRPr="00225733">
        <w:rPr>
          <w:rFonts w:ascii="Times New Roman" w:hAnsi="Times New Roman" w:cs="Times New Roman"/>
        </w:rPr>
        <w:t xml:space="preserve"> </w:t>
      </w:r>
      <w:r w:rsidRPr="00225733">
        <w:rPr>
          <w:rFonts w:ascii="Times New Roman" w:hAnsi="Times New Roman" w:cs="Times New Roman"/>
          <w:lang w:val="de-DE"/>
        </w:rPr>
        <w:t xml:space="preserve">See, for more details on the career of John Forbes, Douglass Catterell, </w:t>
      </w:r>
    </w:p>
  </w:footnote>
  <w:footnote w:id="20">
    <w:p w14:paraId="675F0425" w14:textId="77777777" w:rsidR="00690936" w:rsidRPr="00225733" w:rsidRDefault="00690936" w:rsidP="00225733">
      <w:pPr>
        <w:pStyle w:val="Funotentext"/>
        <w:jc w:val="both"/>
        <w:rPr>
          <w:rFonts w:ascii="Times New Roman" w:hAnsi="Times New Roman" w:cs="Times New Roman"/>
          <w:lang w:val="de-DE"/>
        </w:rPr>
      </w:pPr>
      <w:r w:rsidRPr="00225733">
        <w:rPr>
          <w:rStyle w:val="Funotenzeichen"/>
        </w:rPr>
        <w:footnoteRef/>
      </w:r>
      <w:r w:rsidRPr="00225733">
        <w:rPr>
          <w:rFonts w:ascii="Times New Roman" w:hAnsi="Times New Roman" w:cs="Times New Roman"/>
        </w:rPr>
        <w:t xml:space="preserve"> They errected six trading stations in the 1720’s including one at Coblom on the Coromandel Coast and one at Kassimbazar in Bengal. </w:t>
      </w:r>
      <w:r w:rsidRPr="00225733">
        <w:rPr>
          <w:rFonts w:ascii="Times New Roman" w:hAnsi="Times New Roman" w:cs="Times New Roman"/>
          <w:lang w:val="de-DE"/>
        </w:rPr>
        <w:t xml:space="preserve">See Conrad Gill, </w:t>
      </w:r>
      <w:r w:rsidRPr="00225733">
        <w:rPr>
          <w:rFonts w:ascii="Times New Roman" w:hAnsi="Times New Roman" w:cs="Times New Roman"/>
          <w:i/>
          <w:lang w:val="de-DE"/>
        </w:rPr>
        <w:t>Merchants and Mariners of the 18th Century</w:t>
      </w:r>
      <w:r w:rsidRPr="00225733">
        <w:rPr>
          <w:rFonts w:ascii="Times New Roman" w:hAnsi="Times New Roman" w:cs="Times New Roman"/>
          <w:lang w:val="de-DE"/>
        </w:rPr>
        <w:t xml:space="preserve"> (1961), p. 45-47.</w:t>
      </w:r>
    </w:p>
  </w:footnote>
  <w:footnote w:id="21">
    <w:p w14:paraId="432EDB74" w14:textId="77777777" w:rsidR="00690936" w:rsidRPr="00225733" w:rsidRDefault="00690936" w:rsidP="00225733">
      <w:pPr>
        <w:pStyle w:val="Funotentext"/>
        <w:jc w:val="both"/>
        <w:rPr>
          <w:rFonts w:ascii="Times New Roman" w:hAnsi="Times New Roman" w:cs="Times New Roman"/>
          <w:lang w:val="de-DE"/>
        </w:rPr>
      </w:pPr>
      <w:r w:rsidRPr="00225733">
        <w:rPr>
          <w:rStyle w:val="Funotenzeichen"/>
        </w:rPr>
        <w:footnoteRef/>
      </w:r>
      <w:r w:rsidRPr="00225733">
        <w:rPr>
          <w:rFonts w:ascii="Times New Roman" w:hAnsi="Times New Roman" w:cs="Times New Roman"/>
        </w:rPr>
        <w:t xml:space="preserve"> Conrad Gill has written about the lives of a small group of notorious border-crossers that include the British-born captains and supercargoes Thomas Hall, Robert Hewer and James Naish, Charles Morford, James Tobin and others who were active in Ostende in the 1720s before transferring their capital and experience to the Swedish or English Companies. See, </w:t>
      </w:r>
      <w:r w:rsidRPr="00225733">
        <w:rPr>
          <w:rFonts w:ascii="Times New Roman" w:hAnsi="Times New Roman" w:cs="Times New Roman"/>
          <w:lang w:val="de-DE"/>
        </w:rPr>
        <w:t xml:space="preserve">Conrad Gill, </w:t>
      </w:r>
      <w:r w:rsidRPr="00225733">
        <w:rPr>
          <w:rFonts w:ascii="Times New Roman" w:hAnsi="Times New Roman" w:cs="Times New Roman"/>
          <w:i/>
          <w:lang w:val="de-DE"/>
        </w:rPr>
        <w:t>Merchants and Mariners of the 18th Century</w:t>
      </w:r>
      <w:r w:rsidRPr="00225733">
        <w:rPr>
          <w:rFonts w:ascii="Times New Roman" w:hAnsi="Times New Roman" w:cs="Times New Roman"/>
          <w:lang w:val="de-DE"/>
        </w:rPr>
        <w:t xml:space="preserve"> (1961).</w:t>
      </w:r>
    </w:p>
  </w:footnote>
  <w:footnote w:id="22">
    <w:p w14:paraId="77A5CD13" w14:textId="77777777" w:rsidR="00690936" w:rsidRPr="00225733" w:rsidRDefault="00690936" w:rsidP="00225733">
      <w:pPr>
        <w:jc w:val="both"/>
        <w:rPr>
          <w:rFonts w:ascii="Times New Roman" w:hAnsi="Times New Roman" w:cs="Times New Roman"/>
          <w:sz w:val="20"/>
          <w:szCs w:val="20"/>
          <w:lang w:val="en-GB"/>
        </w:rPr>
      </w:pPr>
      <w:r w:rsidRPr="00225733">
        <w:rPr>
          <w:rStyle w:val="Funotenzeichen"/>
          <w:sz w:val="20"/>
          <w:szCs w:val="20"/>
          <w:lang w:val="en-GB"/>
        </w:rPr>
        <w:footnoteRef/>
      </w:r>
      <w:r w:rsidRPr="00225733">
        <w:rPr>
          <w:rFonts w:ascii="Times New Roman" w:hAnsi="Times New Roman" w:cs="Times New Roman"/>
          <w:sz w:val="20"/>
          <w:szCs w:val="20"/>
          <w:lang w:val="en-GB"/>
        </w:rPr>
        <w:t xml:space="preserve"> Thomas Wilkinson (Amsterdam) to Charles Irvine (Gothenburg), 19 February 1740, James Ford Bell Library, Minneapolis, </w:t>
      </w:r>
      <w:r w:rsidRPr="00225733">
        <w:rPr>
          <w:rFonts w:ascii="Times New Roman" w:hAnsi="Times New Roman" w:cs="Times New Roman"/>
          <w:i/>
          <w:sz w:val="20"/>
          <w:szCs w:val="20"/>
          <w:lang w:val="en-GB"/>
        </w:rPr>
        <w:t>Charles Irvine Correspondence</w:t>
      </w:r>
      <w:r w:rsidRPr="00225733">
        <w:rPr>
          <w:rFonts w:ascii="Times New Roman" w:hAnsi="Times New Roman" w:cs="Times New Roman"/>
          <w:sz w:val="20"/>
          <w:szCs w:val="20"/>
          <w:lang w:val="en-GB"/>
        </w:rPr>
        <w:t>, Box 1a, CIC/1740/36a.</w:t>
      </w:r>
    </w:p>
  </w:footnote>
  <w:footnote w:id="23">
    <w:p w14:paraId="2EB94D3C" w14:textId="77777777" w:rsidR="00690936" w:rsidRPr="007B121E" w:rsidRDefault="00690936" w:rsidP="003A4724">
      <w:pPr>
        <w:pStyle w:val="Funotentext"/>
        <w:jc w:val="both"/>
        <w:rPr>
          <w:rFonts w:ascii="Times New Roman" w:hAnsi="Times New Roman" w:cs="Times New Roman"/>
        </w:rPr>
      </w:pPr>
      <w:r w:rsidRPr="007B121E">
        <w:rPr>
          <w:rStyle w:val="Funotenzeichen"/>
        </w:rPr>
        <w:footnoteRef/>
      </w:r>
      <w:r w:rsidRPr="007B121E">
        <w:rPr>
          <w:rFonts w:ascii="Times New Roman" w:hAnsi="Times New Roman" w:cs="Times New Roman"/>
        </w:rPr>
        <w:t xml:space="preserve"> Francis Nelly died at Canton, but his goods were sold at the Company auction in September 1732 for the benefit of his heirs, giving us concrete insights of the assortment of silks in these 30 chests. In addition to wrought silks, Nelly had registered a range of other commodities including 125 chests and 1095 bundles of chinaware, 10 chests of lacquerware, 58 small chests and 118 tubs of tea and a good deal of arrack, fans and coarse cloth. See, IOR/G/12/31 p. 224. </w:t>
      </w:r>
    </w:p>
  </w:footnote>
  <w:footnote w:id="24">
    <w:p w14:paraId="15D4D00A" w14:textId="77777777" w:rsidR="00690936" w:rsidRPr="007B121E" w:rsidRDefault="00690936" w:rsidP="003A4724">
      <w:pPr>
        <w:pStyle w:val="Funotentext"/>
        <w:jc w:val="both"/>
        <w:rPr>
          <w:rFonts w:ascii="Times New Roman" w:hAnsi="Times New Roman" w:cs="Times New Roman"/>
        </w:rPr>
      </w:pPr>
      <w:r w:rsidRPr="007B121E">
        <w:rPr>
          <w:rStyle w:val="Funotenzeichen"/>
        </w:rPr>
        <w:footnoteRef/>
      </w:r>
      <w:r w:rsidRPr="007B121E">
        <w:rPr>
          <w:rFonts w:ascii="Times New Roman" w:hAnsi="Times New Roman" w:cs="Times New Roman"/>
        </w:rPr>
        <w:t xml:space="preserve"> A single lot could contain as little as four pieces of silks including ready-made silk banyansword-belts or shoes. The average lot, however, encompassed about twenty differently coloured pieces of the same type of silk such as painted taffeta or damask, thus allowing the buyer to fit out an entire room with matching textiles. </w:t>
      </w:r>
      <w:r w:rsidRPr="007B121E">
        <w:rPr>
          <w:rFonts w:ascii="Times New Roman" w:hAnsi="Times New Roman" w:cs="Times New Roman"/>
          <w:i/>
        </w:rPr>
        <w:t>The National Archives</w:t>
      </w:r>
      <w:r w:rsidRPr="007B121E">
        <w:rPr>
          <w:rFonts w:ascii="Times New Roman" w:hAnsi="Times New Roman" w:cs="Times New Roman"/>
        </w:rPr>
        <w:t>, Kew, Chancery masters’ records, C103/192 Moreton vs. Newnam, Printed sales catalogue announcing that the merchandise can be seen ‘at the Warehouse behind the East-India House, in Lime-Street’.</w:t>
      </w:r>
    </w:p>
  </w:footnote>
  <w:footnote w:id="25">
    <w:p w14:paraId="203DCFEC" w14:textId="77777777" w:rsidR="00690936" w:rsidRPr="007B121E" w:rsidRDefault="00690936" w:rsidP="003A4724">
      <w:pPr>
        <w:pStyle w:val="Funotentext"/>
        <w:jc w:val="both"/>
        <w:rPr>
          <w:rFonts w:ascii="Times New Roman" w:hAnsi="Times New Roman" w:cs="Times New Roman"/>
        </w:rPr>
      </w:pPr>
      <w:r w:rsidRPr="007B121E">
        <w:rPr>
          <w:rStyle w:val="Funotenzeichen"/>
        </w:rPr>
        <w:footnoteRef/>
      </w:r>
      <w:r w:rsidRPr="007B121E">
        <w:rPr>
          <w:rFonts w:ascii="Times New Roman" w:hAnsi="Times New Roman" w:cs="Times New Roman"/>
        </w:rPr>
        <w:t xml:space="preserve"> Ibid., esp., p. 71-87.</w:t>
      </w:r>
    </w:p>
  </w:footnote>
  <w:footnote w:id="26">
    <w:p w14:paraId="7E5E64BA" w14:textId="77777777" w:rsidR="00690936" w:rsidRPr="00690936" w:rsidRDefault="00690936" w:rsidP="003A4724">
      <w:pPr>
        <w:pStyle w:val="Funotentext"/>
        <w:jc w:val="both"/>
        <w:rPr>
          <w:rFonts w:ascii="Times New Roman" w:hAnsi="Times New Roman" w:cs="Times New Roman"/>
        </w:rPr>
      </w:pPr>
      <w:r w:rsidRPr="007B121E">
        <w:rPr>
          <w:rStyle w:val="Funotenzeichen"/>
        </w:rPr>
        <w:footnoteRef/>
      </w:r>
      <w:r w:rsidRPr="007B121E">
        <w:rPr>
          <w:rFonts w:ascii="Times New Roman" w:hAnsi="Times New Roman" w:cs="Times New Roman"/>
        </w:rPr>
        <w:t xml:space="preserve"> The China trade of the Prussian East India Company in the early 1750’s was a short-lived enterprise, but it shows how transnational the activities of </w:t>
      </w:r>
      <w:r w:rsidRPr="00690936">
        <w:rPr>
          <w:rFonts w:ascii="Times New Roman" w:hAnsi="Times New Roman" w:cs="Times New Roman"/>
        </w:rPr>
        <w:t>Company servants were, since the new Company with its headquarter in Emden was established, financed and manned with British, Dutch and French personnel.</w:t>
      </w:r>
    </w:p>
  </w:footnote>
  <w:footnote w:id="27">
    <w:p w14:paraId="064B252A" w14:textId="77777777" w:rsidR="00690936" w:rsidRPr="00690936" w:rsidRDefault="00690936" w:rsidP="003A4724">
      <w:pPr>
        <w:pStyle w:val="Funotentext"/>
        <w:jc w:val="both"/>
        <w:rPr>
          <w:rFonts w:ascii="Times New Roman" w:hAnsi="Times New Roman" w:cs="Times New Roman"/>
        </w:rPr>
      </w:pPr>
      <w:r w:rsidRPr="00690936">
        <w:rPr>
          <w:rStyle w:val="Funotenzeichen"/>
        </w:rPr>
        <w:footnoteRef/>
      </w:r>
      <w:r w:rsidRPr="00690936">
        <w:rPr>
          <w:rFonts w:ascii="Times New Roman" w:hAnsi="Times New Roman" w:cs="Times New Roman"/>
        </w:rPr>
        <w:t xml:space="preserve"> Thomas Wilkinson (Amsterdam) to Charles Irvine (Gothenburg), 19 February 1740, Box 1, CIC/1740/36a.</w:t>
      </w:r>
    </w:p>
  </w:footnote>
  <w:footnote w:id="28">
    <w:p w14:paraId="0BDD7DD3" w14:textId="77777777" w:rsidR="00690936" w:rsidRPr="002019C9" w:rsidRDefault="00690936" w:rsidP="003A4724">
      <w:pPr>
        <w:pStyle w:val="Funotentext"/>
        <w:jc w:val="both"/>
        <w:rPr>
          <w:rFonts w:ascii="Times New Roman" w:hAnsi="Times New Roman" w:cs="Times New Roman"/>
        </w:rPr>
      </w:pPr>
      <w:r w:rsidRPr="00690936">
        <w:rPr>
          <w:rStyle w:val="Funotenzeichen"/>
        </w:rPr>
        <w:footnoteRef/>
      </w:r>
      <w:r w:rsidRPr="00690936">
        <w:rPr>
          <w:rFonts w:ascii="Times New Roman" w:hAnsi="Times New Roman" w:cs="Times New Roman"/>
        </w:rPr>
        <w:t xml:space="preserve"> Postlethwayt, p. 683; see also pp. 684-5.</w:t>
      </w:r>
    </w:p>
  </w:footnote>
  <w:footnote w:id="29">
    <w:p w14:paraId="4B30B8A8" w14:textId="77777777" w:rsidR="00690936" w:rsidRPr="002019C9" w:rsidRDefault="00690936" w:rsidP="003A4724">
      <w:pPr>
        <w:pStyle w:val="Funotentext"/>
        <w:rPr>
          <w:rFonts w:ascii="Times New Roman" w:hAnsi="Times New Roman"/>
        </w:rPr>
      </w:pPr>
      <w:r w:rsidRPr="00225733">
        <w:rPr>
          <w:rStyle w:val="Funotenzeichen"/>
        </w:rPr>
        <w:footnoteRef/>
      </w:r>
      <w:r w:rsidR="00225733" w:rsidRPr="00225733">
        <w:rPr>
          <w:rFonts w:ascii="Times New Roman" w:hAnsi="Times New Roman"/>
        </w:rPr>
        <w:t xml:space="preserve"> See Anthony</w:t>
      </w:r>
      <w:r w:rsidRPr="00225733">
        <w:rPr>
          <w:rFonts w:ascii="Times New Roman" w:hAnsi="Times New Roman"/>
        </w:rPr>
        <w:t xml:space="preserve"> Farrington, </w:t>
      </w:r>
      <w:r w:rsidRPr="00225733">
        <w:rPr>
          <w:rFonts w:ascii="Times New Roman" w:hAnsi="Times New Roman"/>
          <w:i/>
        </w:rPr>
        <w:t>Trading Places</w:t>
      </w:r>
      <w:r w:rsidR="00225733" w:rsidRPr="00225733">
        <w:rPr>
          <w:rFonts w:ascii="Times New Roman" w:hAnsi="Times New Roman"/>
          <w:i/>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4724"/>
    <w:rsid w:val="00033939"/>
    <w:rsid w:val="00225733"/>
    <w:rsid w:val="003A4724"/>
    <w:rsid w:val="0052241F"/>
    <w:rsid w:val="00690936"/>
    <w:rsid w:val="00DC29BC"/>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BAF548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3A472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unotenzeichen">
    <w:name w:val="footnote reference"/>
    <w:basedOn w:val="Absatzstandardschriftart"/>
    <w:uiPriority w:val="99"/>
    <w:rsid w:val="003A4724"/>
    <w:rPr>
      <w:rFonts w:ascii="Times New Roman" w:hAnsi="Times New Roman" w:cs="Times New Roman"/>
      <w:vertAlign w:val="superscript"/>
    </w:rPr>
  </w:style>
  <w:style w:type="paragraph" w:styleId="Funotentext">
    <w:name w:val="footnote text"/>
    <w:basedOn w:val="Standard"/>
    <w:link w:val="FunotentextZeichen"/>
    <w:uiPriority w:val="99"/>
    <w:unhideWhenUsed/>
    <w:rsid w:val="003A4724"/>
    <w:rPr>
      <w:rFonts w:eastAsiaTheme="minorHAnsi"/>
      <w:sz w:val="20"/>
      <w:szCs w:val="20"/>
      <w:lang w:val="en-GB" w:eastAsia="en-US"/>
    </w:rPr>
  </w:style>
  <w:style w:type="character" w:customStyle="1" w:styleId="FunotentextZeichen">
    <w:name w:val="Fußnotentext Zeichen"/>
    <w:basedOn w:val="Absatzstandardschriftart"/>
    <w:link w:val="Funotentext"/>
    <w:uiPriority w:val="99"/>
    <w:rsid w:val="003A4724"/>
    <w:rPr>
      <w:rFonts w:eastAsiaTheme="minorHAnsi"/>
      <w:sz w:val="20"/>
      <w:szCs w:val="20"/>
      <w:lang w:val="en-GB" w:eastAsia="en-US"/>
    </w:rPr>
  </w:style>
  <w:style w:type="paragraph" w:styleId="Fuzeile">
    <w:name w:val="footer"/>
    <w:basedOn w:val="Standard"/>
    <w:link w:val="FuzeileZeichen"/>
    <w:uiPriority w:val="99"/>
    <w:unhideWhenUsed/>
    <w:rsid w:val="003A4724"/>
    <w:pPr>
      <w:tabs>
        <w:tab w:val="center" w:pos="4536"/>
        <w:tab w:val="right" w:pos="9072"/>
      </w:tabs>
    </w:pPr>
  </w:style>
  <w:style w:type="character" w:customStyle="1" w:styleId="FuzeileZeichen">
    <w:name w:val="Fußzeile Zeichen"/>
    <w:basedOn w:val="Absatzstandardschriftart"/>
    <w:link w:val="Fuzeile"/>
    <w:uiPriority w:val="99"/>
    <w:rsid w:val="003A4724"/>
  </w:style>
  <w:style w:type="character" w:styleId="Seitenzahl">
    <w:name w:val="page number"/>
    <w:basedOn w:val="Absatzstandardschriftart"/>
    <w:uiPriority w:val="99"/>
    <w:semiHidden/>
    <w:unhideWhenUsed/>
    <w:rsid w:val="003A472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3A472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unotenzeichen">
    <w:name w:val="footnote reference"/>
    <w:basedOn w:val="Absatzstandardschriftart"/>
    <w:uiPriority w:val="99"/>
    <w:rsid w:val="003A4724"/>
    <w:rPr>
      <w:rFonts w:ascii="Times New Roman" w:hAnsi="Times New Roman" w:cs="Times New Roman"/>
      <w:vertAlign w:val="superscript"/>
    </w:rPr>
  </w:style>
  <w:style w:type="paragraph" w:styleId="Funotentext">
    <w:name w:val="footnote text"/>
    <w:basedOn w:val="Standard"/>
    <w:link w:val="FunotentextZeichen"/>
    <w:uiPriority w:val="99"/>
    <w:unhideWhenUsed/>
    <w:rsid w:val="003A4724"/>
    <w:rPr>
      <w:rFonts w:eastAsiaTheme="minorHAnsi"/>
      <w:sz w:val="20"/>
      <w:szCs w:val="20"/>
      <w:lang w:val="en-GB" w:eastAsia="en-US"/>
    </w:rPr>
  </w:style>
  <w:style w:type="character" w:customStyle="1" w:styleId="FunotentextZeichen">
    <w:name w:val="Fußnotentext Zeichen"/>
    <w:basedOn w:val="Absatzstandardschriftart"/>
    <w:link w:val="Funotentext"/>
    <w:uiPriority w:val="99"/>
    <w:rsid w:val="003A4724"/>
    <w:rPr>
      <w:rFonts w:eastAsiaTheme="minorHAnsi"/>
      <w:sz w:val="20"/>
      <w:szCs w:val="20"/>
      <w:lang w:val="en-GB" w:eastAsia="en-US"/>
    </w:rPr>
  </w:style>
  <w:style w:type="paragraph" w:styleId="Fuzeile">
    <w:name w:val="footer"/>
    <w:basedOn w:val="Standard"/>
    <w:link w:val="FuzeileZeichen"/>
    <w:uiPriority w:val="99"/>
    <w:unhideWhenUsed/>
    <w:rsid w:val="003A4724"/>
    <w:pPr>
      <w:tabs>
        <w:tab w:val="center" w:pos="4536"/>
        <w:tab w:val="right" w:pos="9072"/>
      </w:tabs>
    </w:pPr>
  </w:style>
  <w:style w:type="character" w:customStyle="1" w:styleId="FuzeileZeichen">
    <w:name w:val="Fußzeile Zeichen"/>
    <w:basedOn w:val="Absatzstandardschriftart"/>
    <w:link w:val="Fuzeile"/>
    <w:uiPriority w:val="99"/>
    <w:rsid w:val="003A4724"/>
  </w:style>
  <w:style w:type="character" w:styleId="Seitenzahl">
    <w:name w:val="page number"/>
    <w:basedOn w:val="Absatzstandardschriftart"/>
    <w:uiPriority w:val="99"/>
    <w:semiHidden/>
    <w:unhideWhenUsed/>
    <w:rsid w:val="003A47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2955</Words>
  <Characters>18620</Characters>
  <Application>Microsoft Macintosh Word</Application>
  <DocSecurity>0</DocSecurity>
  <Lines>155</Lines>
  <Paragraphs>43</Paragraphs>
  <ScaleCrop>false</ScaleCrop>
  <Company/>
  <LinksUpToDate>false</LinksUpToDate>
  <CharactersWithSpaces>21532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Norbert Fellinger</dc:creator>
  <cp:keywords/>
  <dc:description/>
  <cp:lastModifiedBy>Norbert Fellinger</cp:lastModifiedBy>
  <cp:revision>2</cp:revision>
  <dcterms:created xsi:type="dcterms:W3CDTF">2012-12-20T10:50:00Z</dcterms:created>
  <dcterms:modified xsi:type="dcterms:W3CDTF">2012-12-20T11:28:00Z</dcterms:modified>
</cp:coreProperties>
</file>