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181949" w14:textId="77777777" w:rsidR="000161E9" w:rsidRDefault="000161E9" w:rsidP="00EB7757">
      <w:pPr>
        <w:pStyle w:val="Body1"/>
        <w:ind w:right="-64"/>
        <w:rPr>
          <w:rFonts w:ascii="Arial" w:hAnsi="Arial" w:cs="Arial"/>
          <w:b/>
          <w:bCs/>
          <w:sz w:val="22"/>
          <w:szCs w:val="22"/>
        </w:rPr>
      </w:pPr>
      <w:r>
        <w:rPr>
          <w:rFonts w:ascii="Arial" w:hAnsi="Arial" w:cs="Arial"/>
          <w:b/>
          <w:bCs/>
          <w:sz w:val="22"/>
          <w:szCs w:val="22"/>
        </w:rPr>
        <w:t>‘The Empire is not w</w:t>
      </w:r>
      <w:r w:rsidR="00EB7757">
        <w:rPr>
          <w:rFonts w:ascii="Arial" w:hAnsi="Arial" w:cs="Arial"/>
          <w:b/>
          <w:bCs/>
          <w:sz w:val="22"/>
          <w:szCs w:val="22"/>
        </w:rPr>
        <w:t>hite’: Nairobi, public health, s</w:t>
      </w:r>
      <w:r>
        <w:rPr>
          <w:rFonts w:ascii="Arial" w:hAnsi="Arial" w:cs="Arial"/>
          <w:b/>
          <w:bCs/>
          <w:sz w:val="22"/>
          <w:szCs w:val="22"/>
        </w:rPr>
        <w:t>egregation and competing visions of a plural society, 1907-1923</w:t>
      </w:r>
    </w:p>
    <w:p w14:paraId="568ED7A4" w14:textId="77777777" w:rsidR="000161E9" w:rsidRPr="00045A39" w:rsidRDefault="000161E9" w:rsidP="00EB7757">
      <w:pPr>
        <w:rPr>
          <w:rFonts w:ascii="Arial" w:hAnsi="Arial" w:cs="Arial"/>
          <w:bCs/>
          <w:sz w:val="22"/>
          <w:szCs w:val="22"/>
        </w:rPr>
      </w:pPr>
      <w:r w:rsidRPr="00045A39">
        <w:rPr>
          <w:rFonts w:ascii="Arial" w:hAnsi="Arial" w:cs="Arial"/>
          <w:bCs/>
          <w:sz w:val="22"/>
          <w:szCs w:val="22"/>
        </w:rPr>
        <w:t>Dr Anna Greenwood, Associate Professor, University of Nottingham</w:t>
      </w:r>
    </w:p>
    <w:p w14:paraId="40F38B6A" w14:textId="77777777" w:rsidR="000161E9" w:rsidRDefault="000161E9" w:rsidP="000161E9">
      <w:pPr>
        <w:pStyle w:val="Body1"/>
        <w:spacing w:line="360" w:lineRule="auto"/>
        <w:ind w:left="1134" w:right="859"/>
        <w:rPr>
          <w:rFonts w:ascii="Arial" w:hAnsi="Arial" w:cs="Arial"/>
          <w:b/>
          <w:bCs/>
          <w:sz w:val="22"/>
          <w:szCs w:val="22"/>
        </w:rPr>
      </w:pPr>
    </w:p>
    <w:p w14:paraId="5A383D5E" w14:textId="77777777" w:rsidR="000161E9" w:rsidRDefault="000161E9" w:rsidP="000161E9">
      <w:pPr>
        <w:rPr>
          <w:rFonts w:ascii="Arial" w:hAnsi="Arial" w:cs="Arial"/>
          <w:bCs/>
          <w:sz w:val="22"/>
          <w:szCs w:val="22"/>
        </w:rPr>
      </w:pPr>
    </w:p>
    <w:p w14:paraId="3A973383" w14:textId="7D4A745C" w:rsidR="00EB7757" w:rsidRDefault="00EB7757" w:rsidP="00EB7757">
      <w:pPr>
        <w:rPr>
          <w:rFonts w:ascii="Arial" w:hAnsi="Arial" w:cs="Arial"/>
          <w:sz w:val="22"/>
          <w:szCs w:val="22"/>
        </w:rPr>
      </w:pPr>
      <w:r>
        <w:rPr>
          <w:rFonts w:ascii="Arial" w:hAnsi="Arial" w:cs="Arial"/>
          <w:sz w:val="22"/>
          <w:szCs w:val="22"/>
        </w:rPr>
        <w:t xml:space="preserve">The historiography of colonial Kenya </w:t>
      </w:r>
      <w:r w:rsidRPr="00EB7757">
        <w:rPr>
          <w:rFonts w:ascii="Arial" w:hAnsi="Arial" w:cs="Arial"/>
          <w:sz w:val="22"/>
          <w:szCs w:val="22"/>
        </w:rPr>
        <w:t>has focused on the inequitable relationship between the white colonisers and their black colonial subjects, with less work analysing the diverse Kenyan Asian population, and even less addressing the social history of the colony as a vibrant plural society</w:t>
      </w:r>
      <w:r w:rsidR="0061374B">
        <w:rPr>
          <w:rFonts w:ascii="Arial" w:hAnsi="Arial" w:cs="Arial"/>
          <w:sz w:val="22"/>
          <w:szCs w:val="22"/>
        </w:rPr>
        <w:t>,</w:t>
      </w:r>
      <w:r w:rsidR="005E5039">
        <w:rPr>
          <w:rFonts w:ascii="Arial" w:hAnsi="Arial" w:cs="Arial"/>
          <w:sz w:val="22"/>
          <w:szCs w:val="22"/>
        </w:rPr>
        <w:t xml:space="preserve"> built on transnational migration</w:t>
      </w:r>
      <w:r w:rsidRPr="00EB7757">
        <w:rPr>
          <w:rFonts w:ascii="Arial" w:hAnsi="Arial" w:cs="Arial"/>
          <w:sz w:val="22"/>
          <w:szCs w:val="22"/>
        </w:rPr>
        <w:t>. Historical accounts have concentrated on issues pertinent to, or from the perspective of, one community, unwittingly prioritising black/white binaries and rarely describing the complicated dynamics of multiculturalism that occurred c</w:t>
      </w:r>
      <w:r>
        <w:rPr>
          <w:rFonts w:ascii="Arial" w:hAnsi="Arial" w:cs="Arial"/>
          <w:sz w:val="22"/>
          <w:szCs w:val="22"/>
        </w:rPr>
        <w:t>onsequent to colonialism.</w:t>
      </w:r>
      <w:r w:rsidRPr="00EB7757">
        <w:rPr>
          <w:rFonts w:ascii="Arial" w:hAnsi="Arial" w:cs="Arial"/>
          <w:sz w:val="22"/>
          <w:szCs w:val="22"/>
        </w:rPr>
        <w:t xml:space="preserve"> This is despite the fact that, from the early 1900s, black, brown and white people found themselves living in unaccustomed proximity in Kenya, meaning that the negotiation of space became an issue of pressing political concern, especially in the new urban centres</w:t>
      </w:r>
      <w:r w:rsidR="00335578">
        <w:rPr>
          <w:rFonts w:ascii="Arial" w:hAnsi="Arial" w:cs="Arial"/>
          <w:sz w:val="22"/>
          <w:szCs w:val="22"/>
        </w:rPr>
        <w:t>,</w:t>
      </w:r>
      <w:r w:rsidR="00B97AEB">
        <w:rPr>
          <w:rFonts w:ascii="Arial" w:hAnsi="Arial" w:cs="Arial"/>
          <w:sz w:val="22"/>
          <w:szCs w:val="22"/>
        </w:rPr>
        <w:t xml:space="preserve"> and particularly in the capital Nairobi</w:t>
      </w:r>
      <w:r w:rsidRPr="00EB7757">
        <w:rPr>
          <w:rFonts w:ascii="Arial" w:hAnsi="Arial" w:cs="Arial"/>
          <w:sz w:val="22"/>
          <w:szCs w:val="22"/>
        </w:rPr>
        <w:t xml:space="preserve">. </w:t>
      </w:r>
    </w:p>
    <w:p w14:paraId="55A005CD" w14:textId="77777777" w:rsidR="00EB7757" w:rsidRDefault="00EB7757" w:rsidP="00EB7757">
      <w:pPr>
        <w:rPr>
          <w:rFonts w:ascii="Arial" w:hAnsi="Arial" w:cs="Arial"/>
          <w:sz w:val="22"/>
          <w:szCs w:val="22"/>
        </w:rPr>
      </w:pPr>
    </w:p>
    <w:p w14:paraId="41475106" w14:textId="4EE91ACD" w:rsidR="00EB7757" w:rsidRDefault="00EB7757" w:rsidP="00EB7757">
      <w:pPr>
        <w:rPr>
          <w:rFonts w:ascii="Arial" w:hAnsi="Arial" w:cs="Arial"/>
          <w:color w:val="1A1A1A"/>
          <w:sz w:val="22"/>
          <w:szCs w:val="22"/>
        </w:rPr>
      </w:pPr>
      <w:r w:rsidRPr="00EB7757">
        <w:rPr>
          <w:rFonts w:ascii="Arial" w:hAnsi="Arial" w:cs="Arial"/>
          <w:sz w:val="22"/>
          <w:szCs w:val="22"/>
        </w:rPr>
        <w:t xml:space="preserve">Furthermore, the negative implications of sharing residential spaces were often framed as a public health hazard, with Indians (conveniently </w:t>
      </w:r>
      <w:r w:rsidR="00B97AEB">
        <w:rPr>
          <w:rFonts w:ascii="Arial" w:hAnsi="Arial" w:cs="Arial"/>
          <w:sz w:val="22"/>
          <w:szCs w:val="22"/>
        </w:rPr>
        <w:t>all grouped</w:t>
      </w:r>
      <w:r w:rsidRPr="00EB7757">
        <w:rPr>
          <w:rFonts w:ascii="Arial" w:hAnsi="Arial" w:cs="Arial"/>
          <w:sz w:val="22"/>
          <w:szCs w:val="22"/>
        </w:rPr>
        <w:t xml:space="preserve"> together) singled out as the most worrisome transmitters of disease. Segregation—literally dividing cities up into ethnic zones—was suggested as the best means to order </w:t>
      </w:r>
      <w:r w:rsidR="00335578">
        <w:rPr>
          <w:rFonts w:ascii="Arial" w:hAnsi="Arial" w:cs="Arial"/>
          <w:sz w:val="22"/>
          <w:szCs w:val="22"/>
        </w:rPr>
        <w:t>Nairobi</w:t>
      </w:r>
      <w:r w:rsidRPr="00EB7757">
        <w:rPr>
          <w:rFonts w:ascii="Arial" w:hAnsi="Arial" w:cs="Arial"/>
          <w:sz w:val="22"/>
          <w:szCs w:val="22"/>
        </w:rPr>
        <w:t xml:space="preserve"> to counter the perceived pathological threat presented by its Indian inhabitants. This paper looks at </w:t>
      </w:r>
      <w:r w:rsidR="00335578">
        <w:rPr>
          <w:rFonts w:ascii="Arial" w:hAnsi="Arial" w:cs="Arial"/>
          <w:sz w:val="22"/>
          <w:szCs w:val="22"/>
        </w:rPr>
        <w:t xml:space="preserve">segregative </w:t>
      </w:r>
      <w:r w:rsidRPr="00EB7757">
        <w:rPr>
          <w:rFonts w:ascii="Arial" w:hAnsi="Arial" w:cs="Arial"/>
          <w:sz w:val="22"/>
          <w:szCs w:val="22"/>
        </w:rPr>
        <w:t xml:space="preserve">recommendations </w:t>
      </w:r>
      <w:r w:rsidR="00B97AEB">
        <w:rPr>
          <w:rFonts w:ascii="Arial" w:hAnsi="Arial" w:cs="Arial"/>
          <w:sz w:val="22"/>
          <w:szCs w:val="22"/>
        </w:rPr>
        <w:t xml:space="preserve">made by metropolitan sanitary expert Professor William Simpson. </w:t>
      </w:r>
      <w:r w:rsidR="0061374B">
        <w:rPr>
          <w:rFonts w:ascii="Arial" w:hAnsi="Arial" w:cs="Arial"/>
          <w:sz w:val="22"/>
          <w:szCs w:val="22"/>
        </w:rPr>
        <w:t>His</w:t>
      </w:r>
      <w:r w:rsidR="00B97AEB">
        <w:rPr>
          <w:rFonts w:ascii="Arial" w:hAnsi="Arial" w:cs="Arial"/>
          <w:sz w:val="22"/>
          <w:szCs w:val="22"/>
        </w:rPr>
        <w:t xml:space="preserve"> resulting</w:t>
      </w:r>
      <w:r w:rsidRPr="00EB7757">
        <w:rPr>
          <w:rFonts w:ascii="Arial" w:hAnsi="Arial" w:cs="Arial"/>
          <w:sz w:val="22"/>
          <w:szCs w:val="22"/>
        </w:rPr>
        <w:t xml:space="preserve"> </w:t>
      </w:r>
      <w:r w:rsidRPr="00EB7757">
        <w:rPr>
          <w:rFonts w:ascii="Arial" w:hAnsi="Arial" w:cs="Arial"/>
          <w:i/>
          <w:sz w:val="22"/>
          <w:szCs w:val="22"/>
        </w:rPr>
        <w:t>Report on Sanitary Matters in the East Africa Protectorate, Uganda and Zanzibar</w:t>
      </w:r>
      <w:r w:rsidR="00B97AEB">
        <w:rPr>
          <w:rFonts w:ascii="Arial" w:hAnsi="Arial" w:cs="Arial"/>
          <w:i/>
          <w:sz w:val="22"/>
          <w:szCs w:val="22"/>
        </w:rPr>
        <w:t xml:space="preserve"> </w:t>
      </w:r>
      <w:r w:rsidR="00B97AEB" w:rsidRPr="00B97AEB">
        <w:rPr>
          <w:rFonts w:ascii="Arial" w:hAnsi="Arial" w:cs="Arial"/>
          <w:sz w:val="22"/>
          <w:szCs w:val="22"/>
        </w:rPr>
        <w:t>(1915)</w:t>
      </w:r>
      <w:r w:rsidRPr="00B97AEB">
        <w:rPr>
          <w:rFonts w:ascii="Arial" w:hAnsi="Arial" w:cs="Arial"/>
          <w:sz w:val="22"/>
          <w:szCs w:val="22"/>
        </w:rPr>
        <w:t>,</w:t>
      </w:r>
      <w:r w:rsidRPr="00EB7757">
        <w:rPr>
          <w:rFonts w:ascii="Arial" w:hAnsi="Arial" w:cs="Arial"/>
          <w:sz w:val="22"/>
          <w:szCs w:val="22"/>
        </w:rPr>
        <w:t xml:space="preserve"> </w:t>
      </w:r>
      <w:r w:rsidRPr="00EB7757">
        <w:rPr>
          <w:rFonts w:ascii="Arial" w:hAnsi="Arial" w:cs="Arial"/>
          <w:color w:val="1A1A1A"/>
          <w:sz w:val="22"/>
          <w:szCs w:val="22"/>
        </w:rPr>
        <w:t>did not constitute anything more than a recommendation, but it nevertheless became an authoritative statement of medical expertise. Despite the fact that Simpson’s segregation plan was ultimately rejected, the report was regularly cited as exemplary, in both East Africa and the British parliament, until the 1930s</w:t>
      </w:r>
    </w:p>
    <w:p w14:paraId="67FC27D9" w14:textId="77777777" w:rsidR="009504F2" w:rsidRDefault="009504F2" w:rsidP="00EB7757">
      <w:pPr>
        <w:rPr>
          <w:rFonts w:ascii="Arial" w:hAnsi="Arial" w:cs="Arial"/>
          <w:color w:val="1A1A1A"/>
          <w:sz w:val="22"/>
          <w:szCs w:val="22"/>
        </w:rPr>
      </w:pPr>
    </w:p>
    <w:p w14:paraId="4F919369" w14:textId="67B8C13D" w:rsidR="009504F2" w:rsidRPr="00C03312" w:rsidRDefault="009504F2" w:rsidP="009504F2">
      <w:pPr>
        <w:rPr>
          <w:rFonts w:ascii="Arial" w:hAnsi="Arial" w:cs="Arial"/>
          <w:sz w:val="22"/>
          <w:szCs w:val="22"/>
        </w:rPr>
      </w:pPr>
      <w:r w:rsidRPr="009504F2">
        <w:rPr>
          <w:rFonts w:ascii="Arial" w:hAnsi="Arial" w:cs="Arial"/>
          <w:color w:val="1A1A1A"/>
          <w:sz w:val="22"/>
          <w:szCs w:val="22"/>
        </w:rPr>
        <w:t>T</w:t>
      </w:r>
      <w:r w:rsidR="00EB7757" w:rsidRPr="009504F2">
        <w:rPr>
          <w:rFonts w:ascii="Arial" w:hAnsi="Arial" w:cs="Arial"/>
          <w:color w:val="1A1A1A"/>
          <w:sz w:val="22"/>
          <w:szCs w:val="22"/>
        </w:rPr>
        <w:t xml:space="preserve">his case study </w:t>
      </w:r>
      <w:r w:rsidR="00B97AEB">
        <w:rPr>
          <w:rFonts w:ascii="Arial" w:hAnsi="Arial" w:cs="Arial"/>
          <w:color w:val="1A1A1A"/>
          <w:sz w:val="22"/>
          <w:szCs w:val="22"/>
        </w:rPr>
        <w:t xml:space="preserve">sheds </w:t>
      </w:r>
      <w:r w:rsidR="00EB7757" w:rsidRPr="009504F2">
        <w:rPr>
          <w:rFonts w:ascii="Arial" w:hAnsi="Arial" w:cs="Arial"/>
          <w:color w:val="1A1A1A"/>
          <w:sz w:val="22"/>
          <w:szCs w:val="22"/>
        </w:rPr>
        <w:t xml:space="preserve">light on three discursive avenues </w:t>
      </w:r>
      <w:r w:rsidR="005E5039">
        <w:rPr>
          <w:rFonts w:ascii="Arial" w:hAnsi="Arial" w:cs="Arial"/>
          <w:color w:val="1A1A1A"/>
          <w:sz w:val="22"/>
          <w:szCs w:val="22"/>
        </w:rPr>
        <w:t>for</w:t>
      </w:r>
      <w:r w:rsidR="00EB7757" w:rsidRPr="009504F2">
        <w:rPr>
          <w:rFonts w:ascii="Arial" w:hAnsi="Arial" w:cs="Arial"/>
          <w:color w:val="1A1A1A"/>
          <w:sz w:val="22"/>
          <w:szCs w:val="22"/>
        </w:rPr>
        <w:t xml:space="preserve"> reflection. First</w:t>
      </w:r>
      <w:r w:rsidRPr="009504F2">
        <w:rPr>
          <w:rFonts w:ascii="Arial" w:hAnsi="Arial" w:cs="Arial"/>
          <w:color w:val="1A1A1A"/>
          <w:sz w:val="22"/>
          <w:szCs w:val="22"/>
        </w:rPr>
        <w:t>,</w:t>
      </w:r>
      <w:r w:rsidR="00EB7757" w:rsidRPr="009504F2">
        <w:rPr>
          <w:rFonts w:ascii="Arial" w:hAnsi="Arial" w:cs="Arial"/>
          <w:color w:val="1A1A1A"/>
          <w:sz w:val="22"/>
          <w:szCs w:val="22"/>
        </w:rPr>
        <w:t xml:space="preserve"> it </w:t>
      </w:r>
      <w:r w:rsidR="00B97AEB" w:rsidRPr="009504F2">
        <w:rPr>
          <w:rFonts w:ascii="Arial" w:hAnsi="Arial" w:cs="Arial"/>
          <w:color w:val="1A1A1A"/>
          <w:sz w:val="22"/>
          <w:szCs w:val="22"/>
        </w:rPr>
        <w:t>exposes</w:t>
      </w:r>
      <w:r w:rsidR="00EB7757" w:rsidRPr="009504F2">
        <w:rPr>
          <w:rFonts w:ascii="Arial" w:hAnsi="Arial" w:cs="Arial"/>
          <w:color w:val="1A1A1A"/>
          <w:sz w:val="22"/>
          <w:szCs w:val="22"/>
        </w:rPr>
        <w:t xml:space="preserve"> the </w:t>
      </w:r>
      <w:r w:rsidRPr="009504F2">
        <w:rPr>
          <w:rFonts w:ascii="Arial" w:hAnsi="Arial" w:cs="Arial"/>
          <w:color w:val="1A1A1A"/>
          <w:sz w:val="22"/>
          <w:szCs w:val="22"/>
        </w:rPr>
        <w:t xml:space="preserve">ethnic </w:t>
      </w:r>
      <w:r w:rsidR="00EB7757" w:rsidRPr="009504F2">
        <w:rPr>
          <w:rFonts w:ascii="Arial" w:hAnsi="Arial" w:cs="Arial"/>
          <w:color w:val="1A1A1A"/>
          <w:sz w:val="22"/>
          <w:szCs w:val="22"/>
        </w:rPr>
        <w:t xml:space="preserve">complexity of </w:t>
      </w:r>
      <w:r w:rsidR="00B97AEB">
        <w:rPr>
          <w:rFonts w:ascii="Arial" w:hAnsi="Arial" w:cs="Arial"/>
          <w:color w:val="1A1A1A"/>
          <w:sz w:val="22"/>
          <w:szCs w:val="22"/>
        </w:rPr>
        <w:t>much of the British Empire.</w:t>
      </w:r>
      <w:r w:rsidR="00EB7757" w:rsidRPr="009504F2">
        <w:rPr>
          <w:rFonts w:ascii="Arial" w:hAnsi="Arial" w:cs="Arial"/>
          <w:color w:val="1A1A1A"/>
          <w:sz w:val="22"/>
          <w:szCs w:val="22"/>
        </w:rPr>
        <w:t xml:space="preserve"> Empire was much more than </w:t>
      </w:r>
      <w:r w:rsidR="00B97AEB">
        <w:rPr>
          <w:rFonts w:ascii="Arial" w:hAnsi="Arial" w:cs="Arial"/>
          <w:color w:val="1A1A1A"/>
          <w:sz w:val="22"/>
          <w:szCs w:val="22"/>
        </w:rPr>
        <w:t xml:space="preserve">a </w:t>
      </w:r>
      <w:r w:rsidR="00EB7757" w:rsidRPr="009504F2">
        <w:rPr>
          <w:rFonts w:ascii="Arial" w:hAnsi="Arial" w:cs="Arial"/>
          <w:color w:val="1A1A1A"/>
          <w:sz w:val="22"/>
          <w:szCs w:val="22"/>
        </w:rPr>
        <w:t xml:space="preserve">mother country ruling </w:t>
      </w:r>
      <w:r w:rsidR="00B97AEB">
        <w:rPr>
          <w:rFonts w:ascii="Arial" w:hAnsi="Arial" w:cs="Arial"/>
          <w:color w:val="1A1A1A"/>
          <w:sz w:val="22"/>
          <w:szCs w:val="22"/>
        </w:rPr>
        <w:t xml:space="preserve">ethnically </w:t>
      </w:r>
      <w:r w:rsidR="00C03312">
        <w:rPr>
          <w:rFonts w:ascii="Arial" w:hAnsi="Arial" w:cs="Arial"/>
          <w:color w:val="1A1A1A"/>
          <w:sz w:val="22"/>
          <w:szCs w:val="22"/>
        </w:rPr>
        <w:t>cohesive</w:t>
      </w:r>
      <w:r w:rsidR="00B97AEB">
        <w:rPr>
          <w:rFonts w:ascii="Arial" w:hAnsi="Arial" w:cs="Arial"/>
          <w:color w:val="1A1A1A"/>
          <w:sz w:val="22"/>
          <w:szCs w:val="22"/>
        </w:rPr>
        <w:t xml:space="preserve"> </w:t>
      </w:r>
      <w:r w:rsidR="00EB7757" w:rsidRPr="009504F2">
        <w:rPr>
          <w:rFonts w:ascii="Arial" w:hAnsi="Arial" w:cs="Arial"/>
          <w:color w:val="1A1A1A"/>
          <w:sz w:val="22"/>
          <w:szCs w:val="22"/>
        </w:rPr>
        <w:t>indigenous peoples</w:t>
      </w:r>
      <w:r w:rsidR="00335578">
        <w:rPr>
          <w:rFonts w:ascii="Arial" w:hAnsi="Arial" w:cs="Arial"/>
          <w:color w:val="1A1A1A"/>
          <w:sz w:val="22"/>
          <w:szCs w:val="22"/>
        </w:rPr>
        <w:t xml:space="preserve">. Instead it </w:t>
      </w:r>
      <w:r w:rsidR="005E5039">
        <w:rPr>
          <w:rFonts w:ascii="Arial" w:hAnsi="Arial" w:cs="Arial"/>
          <w:color w:val="1A1A1A"/>
          <w:sz w:val="22"/>
          <w:szCs w:val="22"/>
        </w:rPr>
        <w:t>was</w:t>
      </w:r>
      <w:r w:rsidR="00EB7757" w:rsidRPr="009504F2">
        <w:rPr>
          <w:rFonts w:ascii="Arial" w:hAnsi="Arial" w:cs="Arial"/>
          <w:color w:val="1A1A1A"/>
          <w:sz w:val="22"/>
          <w:szCs w:val="22"/>
        </w:rPr>
        <w:t xml:space="preserve"> a melting pot of competing social, cultural and political claims</w:t>
      </w:r>
      <w:r w:rsidR="00B97AEB">
        <w:rPr>
          <w:rFonts w:ascii="Arial" w:hAnsi="Arial" w:cs="Arial"/>
          <w:color w:val="1A1A1A"/>
          <w:sz w:val="22"/>
          <w:szCs w:val="22"/>
        </w:rPr>
        <w:t xml:space="preserve"> as different ethnicities migrated and moved within it</w:t>
      </w:r>
      <w:r w:rsidRPr="009504F2">
        <w:rPr>
          <w:rFonts w:ascii="Arial" w:hAnsi="Arial" w:cs="Arial"/>
          <w:color w:val="1A1A1A"/>
          <w:sz w:val="22"/>
          <w:szCs w:val="22"/>
        </w:rPr>
        <w:t>.</w:t>
      </w:r>
      <w:r w:rsidR="00EB7757" w:rsidRPr="009504F2">
        <w:rPr>
          <w:rFonts w:ascii="Arial" w:hAnsi="Arial" w:cs="Arial"/>
          <w:color w:val="1A1A1A"/>
          <w:sz w:val="22"/>
          <w:szCs w:val="22"/>
        </w:rPr>
        <w:t xml:space="preserve"> Second, this </w:t>
      </w:r>
      <w:r w:rsidRPr="009504F2">
        <w:rPr>
          <w:rFonts w:ascii="Arial" w:hAnsi="Arial" w:cs="Arial"/>
          <w:color w:val="1A1A1A"/>
          <w:sz w:val="22"/>
          <w:szCs w:val="22"/>
        </w:rPr>
        <w:t xml:space="preserve">case </w:t>
      </w:r>
      <w:r w:rsidR="00EB7757" w:rsidRPr="009504F2">
        <w:rPr>
          <w:rFonts w:ascii="Arial" w:hAnsi="Arial" w:cs="Arial"/>
          <w:color w:val="1A1A1A"/>
          <w:sz w:val="22"/>
          <w:szCs w:val="22"/>
        </w:rPr>
        <w:t xml:space="preserve">shows that </w:t>
      </w:r>
      <w:r w:rsidR="005E5039">
        <w:rPr>
          <w:rFonts w:ascii="Arial" w:hAnsi="Arial" w:cs="Arial"/>
          <w:color w:val="1A1A1A"/>
          <w:sz w:val="22"/>
          <w:szCs w:val="22"/>
        </w:rPr>
        <w:t>transnational influence was two-way. Colonial p</w:t>
      </w:r>
      <w:r w:rsidR="00EB7757" w:rsidRPr="009504F2">
        <w:rPr>
          <w:rFonts w:ascii="Arial" w:hAnsi="Arial" w:cs="Arial"/>
          <w:color w:val="1A1A1A"/>
          <w:sz w:val="22"/>
          <w:szCs w:val="22"/>
        </w:rPr>
        <w:t>olicies</w:t>
      </w:r>
      <w:r w:rsidR="005E5039">
        <w:rPr>
          <w:rFonts w:ascii="Arial" w:hAnsi="Arial" w:cs="Arial"/>
          <w:color w:val="1A1A1A"/>
          <w:sz w:val="22"/>
          <w:szCs w:val="22"/>
        </w:rPr>
        <w:t>, and reactions to them,</w:t>
      </w:r>
      <w:r w:rsidR="00EB7757" w:rsidRPr="009504F2">
        <w:rPr>
          <w:rFonts w:ascii="Arial" w:hAnsi="Arial" w:cs="Arial"/>
          <w:color w:val="1A1A1A"/>
          <w:sz w:val="22"/>
          <w:szCs w:val="22"/>
        </w:rPr>
        <w:t xml:space="preserve"> were formed responsively to local conditions</w:t>
      </w:r>
      <w:r w:rsidR="0074472E" w:rsidRPr="009504F2">
        <w:rPr>
          <w:rFonts w:ascii="Arial" w:hAnsi="Arial" w:cs="Arial"/>
          <w:color w:val="1A1A1A"/>
          <w:sz w:val="22"/>
          <w:szCs w:val="22"/>
        </w:rPr>
        <w:t xml:space="preserve"> and the networks of Empire were</w:t>
      </w:r>
      <w:r w:rsidRPr="009504F2">
        <w:rPr>
          <w:rFonts w:ascii="Arial" w:hAnsi="Arial" w:cs="Arial"/>
          <w:color w:val="1A1A1A"/>
          <w:sz w:val="22"/>
          <w:szCs w:val="22"/>
        </w:rPr>
        <w:t xml:space="preserve"> continually being reworked and reformed </w:t>
      </w:r>
      <w:r w:rsidR="00FB07DF">
        <w:rPr>
          <w:rFonts w:ascii="Arial" w:hAnsi="Arial" w:cs="Arial"/>
          <w:color w:val="1A1A1A"/>
          <w:sz w:val="22"/>
          <w:szCs w:val="22"/>
        </w:rPr>
        <w:t>both</w:t>
      </w:r>
      <w:r w:rsidRPr="009504F2">
        <w:rPr>
          <w:rFonts w:ascii="Arial" w:hAnsi="Arial" w:cs="Arial"/>
          <w:color w:val="1A1A1A"/>
          <w:sz w:val="22"/>
          <w:szCs w:val="22"/>
        </w:rPr>
        <w:t xml:space="preserve"> pragmatic</w:t>
      </w:r>
      <w:r w:rsidR="00FB07DF">
        <w:rPr>
          <w:rFonts w:ascii="Arial" w:hAnsi="Arial" w:cs="Arial"/>
          <w:color w:val="1A1A1A"/>
          <w:sz w:val="22"/>
          <w:szCs w:val="22"/>
        </w:rPr>
        <w:t>ally and rhetorically</w:t>
      </w:r>
      <w:r w:rsidRPr="009504F2">
        <w:rPr>
          <w:rFonts w:ascii="Arial" w:hAnsi="Arial" w:cs="Arial"/>
          <w:color w:val="1A1A1A"/>
          <w:sz w:val="22"/>
          <w:szCs w:val="22"/>
        </w:rPr>
        <w:t>.</w:t>
      </w:r>
      <w:r w:rsidRPr="009504F2">
        <w:rPr>
          <w:rFonts w:ascii="Arial" w:hAnsi="Arial" w:cs="Arial"/>
          <w:sz w:val="22"/>
          <w:szCs w:val="22"/>
        </w:rPr>
        <w:t xml:space="preserve"> </w:t>
      </w:r>
      <w:r w:rsidR="00EB7757" w:rsidRPr="009504F2">
        <w:rPr>
          <w:rFonts w:ascii="Arial" w:hAnsi="Arial" w:cs="Arial"/>
          <w:color w:val="1A1A1A"/>
          <w:sz w:val="22"/>
          <w:szCs w:val="22"/>
        </w:rPr>
        <w:t>Lastly</w:t>
      </w:r>
      <w:r w:rsidRPr="009504F2">
        <w:rPr>
          <w:rFonts w:ascii="Arial" w:hAnsi="Arial" w:cs="Arial"/>
          <w:color w:val="1A1A1A"/>
          <w:sz w:val="22"/>
          <w:szCs w:val="22"/>
        </w:rPr>
        <w:t xml:space="preserve">, the </w:t>
      </w:r>
      <w:r w:rsidR="00C03312">
        <w:rPr>
          <w:rFonts w:ascii="Arial" w:hAnsi="Arial" w:cs="Arial"/>
          <w:color w:val="1A1A1A"/>
          <w:sz w:val="22"/>
          <w:szCs w:val="22"/>
        </w:rPr>
        <w:t>debates around segregation are used</w:t>
      </w:r>
      <w:r w:rsidRPr="009504F2">
        <w:rPr>
          <w:rFonts w:ascii="Arial" w:hAnsi="Arial" w:cs="Arial"/>
          <w:color w:val="1A1A1A"/>
          <w:sz w:val="22"/>
          <w:szCs w:val="22"/>
        </w:rPr>
        <w:t xml:space="preserve"> to</w:t>
      </w:r>
      <w:r w:rsidR="00EB7757" w:rsidRPr="009504F2">
        <w:rPr>
          <w:rFonts w:ascii="Arial" w:hAnsi="Arial" w:cs="Arial"/>
          <w:color w:val="1A1A1A"/>
          <w:sz w:val="22"/>
          <w:szCs w:val="22"/>
        </w:rPr>
        <w:t xml:space="preserve"> </w:t>
      </w:r>
      <w:r w:rsidR="00C03312">
        <w:rPr>
          <w:rFonts w:ascii="Arial" w:hAnsi="Arial" w:cs="Arial"/>
          <w:color w:val="1A1A1A"/>
          <w:sz w:val="22"/>
          <w:szCs w:val="22"/>
        </w:rPr>
        <w:t xml:space="preserve">show how </w:t>
      </w:r>
      <w:r w:rsidR="00C03312" w:rsidRPr="009504F2">
        <w:rPr>
          <w:rFonts w:ascii="Arial" w:hAnsi="Arial" w:cs="Arial"/>
          <w:sz w:val="22"/>
          <w:szCs w:val="22"/>
        </w:rPr>
        <w:t>power and decision-making did not always operate via racially predictable avenues during the colonial encounter</w:t>
      </w:r>
      <w:r w:rsidR="00C03312">
        <w:rPr>
          <w:rFonts w:ascii="Arial" w:hAnsi="Arial" w:cs="Arial"/>
          <w:sz w:val="22"/>
          <w:szCs w:val="22"/>
        </w:rPr>
        <w:t>.</w:t>
      </w:r>
      <w:r w:rsidR="00C03312" w:rsidRPr="009504F2">
        <w:rPr>
          <w:rFonts w:ascii="Arial" w:hAnsi="Arial" w:cs="Arial"/>
          <w:color w:val="1A1A1A"/>
          <w:sz w:val="22"/>
          <w:szCs w:val="22"/>
        </w:rPr>
        <w:t xml:space="preserve"> </w:t>
      </w:r>
      <w:r w:rsidR="00C03312">
        <w:rPr>
          <w:rFonts w:ascii="Arial" w:hAnsi="Arial" w:cs="Arial"/>
          <w:color w:val="1A1A1A"/>
          <w:sz w:val="22"/>
          <w:szCs w:val="22"/>
        </w:rPr>
        <w:t>In fact it is overly simplistic to group</w:t>
      </w:r>
      <w:r w:rsidRPr="009504F2">
        <w:rPr>
          <w:rFonts w:ascii="Arial" w:hAnsi="Arial" w:cs="Arial"/>
          <w:sz w:val="22"/>
          <w:szCs w:val="22"/>
        </w:rPr>
        <w:t xml:space="preserve"> people of shared </w:t>
      </w:r>
      <w:r w:rsidRPr="00C03312">
        <w:rPr>
          <w:rFonts w:ascii="Arial" w:hAnsi="Arial" w:cs="Arial"/>
          <w:sz w:val="22"/>
          <w:szCs w:val="22"/>
        </w:rPr>
        <w:t xml:space="preserve">ethnicity together in terms of social and political responses, or </w:t>
      </w:r>
      <w:r w:rsidR="00FB07DF">
        <w:rPr>
          <w:rFonts w:ascii="Arial" w:hAnsi="Arial" w:cs="Arial"/>
          <w:sz w:val="22"/>
          <w:szCs w:val="22"/>
        </w:rPr>
        <w:t>even to assume</w:t>
      </w:r>
      <w:r w:rsidRPr="00C03312">
        <w:rPr>
          <w:rFonts w:ascii="Arial" w:hAnsi="Arial" w:cs="Arial"/>
          <w:sz w:val="22"/>
          <w:szCs w:val="22"/>
        </w:rPr>
        <w:t xml:space="preserve"> that </w:t>
      </w:r>
      <w:r w:rsidR="0061374B">
        <w:rPr>
          <w:rFonts w:ascii="Arial" w:hAnsi="Arial" w:cs="Arial"/>
          <w:sz w:val="22"/>
          <w:szCs w:val="22"/>
        </w:rPr>
        <w:t xml:space="preserve">the </w:t>
      </w:r>
      <w:r w:rsidRPr="00C03312">
        <w:rPr>
          <w:rFonts w:ascii="Arial" w:hAnsi="Arial" w:cs="Arial"/>
          <w:sz w:val="22"/>
          <w:szCs w:val="22"/>
        </w:rPr>
        <w:t>publically articulated stances</w:t>
      </w:r>
      <w:r w:rsidR="00FB07DF">
        <w:rPr>
          <w:rFonts w:ascii="Arial" w:hAnsi="Arial" w:cs="Arial"/>
          <w:sz w:val="22"/>
          <w:szCs w:val="22"/>
        </w:rPr>
        <w:t xml:space="preserve"> of any one group</w:t>
      </w:r>
      <w:r w:rsidRPr="00C03312">
        <w:rPr>
          <w:rFonts w:ascii="Arial" w:hAnsi="Arial" w:cs="Arial"/>
          <w:sz w:val="22"/>
          <w:szCs w:val="22"/>
        </w:rPr>
        <w:t xml:space="preserve"> necessarily reflect</w:t>
      </w:r>
      <w:r w:rsidR="00FB07DF">
        <w:rPr>
          <w:rFonts w:ascii="Arial" w:hAnsi="Arial" w:cs="Arial"/>
          <w:sz w:val="22"/>
          <w:szCs w:val="22"/>
        </w:rPr>
        <w:t>ed</w:t>
      </w:r>
      <w:r w:rsidRPr="00C03312">
        <w:rPr>
          <w:rFonts w:ascii="Arial" w:hAnsi="Arial" w:cs="Arial"/>
          <w:sz w:val="22"/>
          <w:szCs w:val="22"/>
        </w:rPr>
        <w:t xml:space="preserve"> </w:t>
      </w:r>
      <w:r w:rsidR="00C03312" w:rsidRPr="00C03312">
        <w:rPr>
          <w:rFonts w:ascii="Arial" w:hAnsi="Arial" w:cs="Arial"/>
          <w:sz w:val="22"/>
          <w:szCs w:val="22"/>
        </w:rPr>
        <w:t xml:space="preserve">their </w:t>
      </w:r>
      <w:r w:rsidRPr="00C03312">
        <w:rPr>
          <w:rFonts w:ascii="Arial" w:hAnsi="Arial" w:cs="Arial"/>
          <w:sz w:val="22"/>
          <w:szCs w:val="22"/>
        </w:rPr>
        <w:t>lived experiences on the ground.</w:t>
      </w:r>
      <w:bookmarkStart w:id="0" w:name="_GoBack"/>
      <w:bookmarkEnd w:id="0"/>
    </w:p>
    <w:p w14:paraId="1ED10C59" w14:textId="77777777" w:rsidR="00EB7757" w:rsidRPr="00EB7757" w:rsidRDefault="00EB7757" w:rsidP="00EB7757">
      <w:pPr>
        <w:rPr>
          <w:rFonts w:ascii="Arial" w:hAnsi="Arial" w:cs="Arial"/>
          <w:sz w:val="22"/>
          <w:szCs w:val="22"/>
        </w:rPr>
      </w:pPr>
    </w:p>
    <w:p w14:paraId="54D366B5" w14:textId="77777777" w:rsidR="0074472E" w:rsidRDefault="0074472E" w:rsidP="000161E9">
      <w:pPr>
        <w:rPr>
          <w:rFonts w:ascii="Arial" w:hAnsi="Arial" w:cs="Arial"/>
          <w:bCs/>
          <w:sz w:val="22"/>
          <w:szCs w:val="22"/>
        </w:rPr>
      </w:pPr>
    </w:p>
    <w:p w14:paraId="54B70B2F" w14:textId="77777777" w:rsidR="000161E9" w:rsidRPr="00045A39" w:rsidRDefault="000161E9" w:rsidP="000161E9">
      <w:pPr>
        <w:rPr>
          <w:sz w:val="22"/>
          <w:szCs w:val="22"/>
        </w:rPr>
      </w:pPr>
    </w:p>
    <w:p w14:paraId="0D34ED5C" w14:textId="77777777" w:rsidR="003A4BB2" w:rsidRDefault="003A4BB2"/>
    <w:sectPr w:rsidR="003A4BB2" w:rsidSect="00497ED3">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13BAD9" w14:textId="77777777" w:rsidR="005E5039" w:rsidRDefault="005E5039" w:rsidP="000161E9">
      <w:r>
        <w:separator/>
      </w:r>
    </w:p>
  </w:endnote>
  <w:endnote w:type="continuationSeparator" w:id="0">
    <w:p w14:paraId="225331EA" w14:textId="77777777" w:rsidR="005E5039" w:rsidRDefault="005E5039" w:rsidP="000161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SimSun">
    <w:altName w:val="宋体"/>
    <w:charset w:val="86"/>
    <w:family w:val="auto"/>
    <w:pitch w:val="variable"/>
    <w:sig w:usb0="00000003" w:usb1="288F0000" w:usb2="00000016" w:usb3="00000000" w:csb0="00040001"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828962" w14:textId="77777777" w:rsidR="005E5039" w:rsidRDefault="005E5039" w:rsidP="000161E9">
      <w:r>
        <w:separator/>
      </w:r>
    </w:p>
  </w:footnote>
  <w:footnote w:type="continuationSeparator" w:id="0">
    <w:p w14:paraId="5BB1F8B8" w14:textId="77777777" w:rsidR="005E5039" w:rsidRDefault="005E5039" w:rsidP="000161E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1E9"/>
    <w:rsid w:val="000161E9"/>
    <w:rsid w:val="00335578"/>
    <w:rsid w:val="003A4BB2"/>
    <w:rsid w:val="00497ED3"/>
    <w:rsid w:val="005E5039"/>
    <w:rsid w:val="0061374B"/>
    <w:rsid w:val="0074472E"/>
    <w:rsid w:val="009504F2"/>
    <w:rsid w:val="00B97AEB"/>
    <w:rsid w:val="00C03312"/>
    <w:rsid w:val="00EB7757"/>
    <w:rsid w:val="00FB07D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D7E7A9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61E9"/>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Char Char Char Char,Char Char Char1,Char Char,Char Char1,footnote text Char,Char, Char Char Char, Char Char, Char"/>
    <w:basedOn w:val="Normal"/>
    <w:link w:val="FootnoteTextChar"/>
    <w:uiPriority w:val="99"/>
    <w:rsid w:val="000161E9"/>
    <w:rPr>
      <w:rFonts w:ascii="Times New Roman" w:eastAsia="SimSun" w:hAnsi="Times New Roman" w:cs="Times New Roman"/>
      <w:sz w:val="20"/>
      <w:szCs w:val="20"/>
      <w:lang w:val="x-none" w:eastAsia="zh-CN"/>
    </w:rPr>
  </w:style>
  <w:style w:type="character" w:customStyle="1" w:styleId="FootnoteTextChar">
    <w:name w:val="Footnote Text Char"/>
    <w:aliases w:val="Char Char Char Char Char1,Char Char Char1 Char2,Char Char Char2,Char Char1 Char2,footnote text Char Char2,Char Char3, Char Char Char Char, Char Char Char1, Char Char1,footnote text Char Char,Char Char2"/>
    <w:basedOn w:val="DefaultParagraphFont"/>
    <w:link w:val="FootnoteText"/>
    <w:uiPriority w:val="99"/>
    <w:rsid w:val="000161E9"/>
    <w:rPr>
      <w:rFonts w:ascii="Times New Roman" w:eastAsia="SimSun" w:hAnsi="Times New Roman" w:cs="Times New Roman"/>
      <w:sz w:val="20"/>
      <w:szCs w:val="20"/>
      <w:lang w:val="x-none" w:eastAsia="zh-CN"/>
    </w:rPr>
  </w:style>
  <w:style w:type="character" w:styleId="FootnoteReference">
    <w:name w:val="footnote reference"/>
    <w:uiPriority w:val="99"/>
    <w:rsid w:val="000161E9"/>
    <w:rPr>
      <w:vertAlign w:val="superscript"/>
    </w:rPr>
  </w:style>
  <w:style w:type="paragraph" w:customStyle="1" w:styleId="Body1">
    <w:name w:val="Body 1"/>
    <w:rsid w:val="000161E9"/>
    <w:rPr>
      <w:rFonts w:ascii="Helvetica" w:eastAsia="Arial Unicode MS" w:hAnsi="Helvetica" w:cs="Times New Roman"/>
      <w:color w:val="000000"/>
      <w:szCs w:val="20"/>
      <w:lang w:val="en-GB"/>
    </w:rPr>
  </w:style>
  <w:style w:type="paragraph" w:styleId="NormalWeb">
    <w:name w:val="Normal (Web)"/>
    <w:basedOn w:val="Normal"/>
    <w:uiPriority w:val="99"/>
    <w:unhideWhenUsed/>
    <w:rsid w:val="00EB7757"/>
    <w:pPr>
      <w:spacing w:before="100" w:beforeAutospacing="1" w:after="100" w:afterAutospacing="1"/>
    </w:pPr>
    <w:rPr>
      <w:rFonts w:ascii="Times" w:eastAsia="SimSun"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61E9"/>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Char Char Char Char,Char Char Char1,Char Char,Char Char1,footnote text Char,Char, Char Char Char, Char Char, Char"/>
    <w:basedOn w:val="Normal"/>
    <w:link w:val="FootnoteTextChar"/>
    <w:uiPriority w:val="99"/>
    <w:rsid w:val="000161E9"/>
    <w:rPr>
      <w:rFonts w:ascii="Times New Roman" w:eastAsia="SimSun" w:hAnsi="Times New Roman" w:cs="Times New Roman"/>
      <w:sz w:val="20"/>
      <w:szCs w:val="20"/>
      <w:lang w:val="x-none" w:eastAsia="zh-CN"/>
    </w:rPr>
  </w:style>
  <w:style w:type="character" w:customStyle="1" w:styleId="FootnoteTextChar">
    <w:name w:val="Footnote Text Char"/>
    <w:aliases w:val="Char Char Char Char Char1,Char Char Char1 Char2,Char Char Char2,Char Char1 Char2,footnote text Char Char2,Char Char3, Char Char Char Char, Char Char Char1, Char Char1,footnote text Char Char,Char Char2"/>
    <w:basedOn w:val="DefaultParagraphFont"/>
    <w:link w:val="FootnoteText"/>
    <w:uiPriority w:val="99"/>
    <w:rsid w:val="000161E9"/>
    <w:rPr>
      <w:rFonts w:ascii="Times New Roman" w:eastAsia="SimSun" w:hAnsi="Times New Roman" w:cs="Times New Roman"/>
      <w:sz w:val="20"/>
      <w:szCs w:val="20"/>
      <w:lang w:val="x-none" w:eastAsia="zh-CN"/>
    </w:rPr>
  </w:style>
  <w:style w:type="character" w:styleId="FootnoteReference">
    <w:name w:val="footnote reference"/>
    <w:uiPriority w:val="99"/>
    <w:rsid w:val="000161E9"/>
    <w:rPr>
      <w:vertAlign w:val="superscript"/>
    </w:rPr>
  </w:style>
  <w:style w:type="paragraph" w:customStyle="1" w:styleId="Body1">
    <w:name w:val="Body 1"/>
    <w:rsid w:val="000161E9"/>
    <w:rPr>
      <w:rFonts w:ascii="Helvetica" w:eastAsia="Arial Unicode MS" w:hAnsi="Helvetica" w:cs="Times New Roman"/>
      <w:color w:val="000000"/>
      <w:szCs w:val="20"/>
      <w:lang w:val="en-GB"/>
    </w:rPr>
  </w:style>
  <w:style w:type="paragraph" w:styleId="NormalWeb">
    <w:name w:val="Normal (Web)"/>
    <w:basedOn w:val="Normal"/>
    <w:uiPriority w:val="99"/>
    <w:unhideWhenUsed/>
    <w:rsid w:val="00EB7757"/>
    <w:pPr>
      <w:spacing w:before="100" w:beforeAutospacing="1" w:after="100" w:afterAutospacing="1"/>
    </w:pPr>
    <w:rPr>
      <w:rFonts w:ascii="Times" w:eastAsia="SimSun"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TotalTime>
  <Pages>1</Pages>
  <Words>475</Words>
  <Characters>2609</Characters>
  <Application>Microsoft Macintosh Word</Application>
  <DocSecurity>0</DocSecurity>
  <Lines>43</Lines>
  <Paragraphs>4</Paragraphs>
  <ScaleCrop>false</ScaleCrop>
  <Company/>
  <LinksUpToDate>false</LinksUpToDate>
  <CharactersWithSpaces>3080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Greenwood</dc:creator>
  <cp:keywords/>
  <dc:description/>
  <cp:lastModifiedBy>Anna Greenwood</cp:lastModifiedBy>
  <cp:revision>5</cp:revision>
  <dcterms:created xsi:type="dcterms:W3CDTF">2018-02-16T08:00:00Z</dcterms:created>
  <dcterms:modified xsi:type="dcterms:W3CDTF">2018-02-16T11:39:00Z</dcterms:modified>
</cp:coreProperties>
</file>