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3EF75" w14:textId="7BA3ADBA" w:rsidR="00406A47" w:rsidRPr="00864FC4" w:rsidRDefault="00864FC4" w:rsidP="00864FC4">
      <w:pPr>
        <w:spacing w:line="480" w:lineRule="auto"/>
        <w:jc w:val="center"/>
        <w:rPr>
          <w:rFonts w:ascii="Bell MT" w:hAnsi="Bell MT"/>
          <w:b/>
          <w:bCs/>
          <w:sz w:val="24"/>
          <w:szCs w:val="24"/>
        </w:rPr>
      </w:pPr>
      <w:r w:rsidRPr="00864FC4">
        <w:rPr>
          <w:rFonts w:ascii="Bell MT" w:hAnsi="Bell MT"/>
          <w:b/>
          <w:bCs/>
          <w:sz w:val="24"/>
          <w:szCs w:val="24"/>
        </w:rPr>
        <w:t>Accessing Touch</w:t>
      </w:r>
    </w:p>
    <w:p w14:paraId="33B08210" w14:textId="514CA032" w:rsidR="00587C3C" w:rsidRDefault="005F7247" w:rsidP="002E32F2">
      <w:pPr>
        <w:spacing w:line="480" w:lineRule="auto"/>
        <w:rPr>
          <w:rFonts w:ascii="Bell MT" w:hAnsi="Bell MT"/>
          <w:sz w:val="24"/>
          <w:szCs w:val="24"/>
        </w:rPr>
      </w:pPr>
      <w:r w:rsidRPr="005F7247">
        <w:rPr>
          <w:rFonts w:ascii="Bell MT" w:hAnsi="Bell MT"/>
          <w:sz w:val="24"/>
          <w:szCs w:val="24"/>
        </w:rPr>
        <w:t>This piece is loosely</w:t>
      </w:r>
      <w:r>
        <w:rPr>
          <w:rFonts w:ascii="Bell MT" w:hAnsi="Bell MT"/>
          <w:sz w:val="24"/>
          <w:szCs w:val="24"/>
        </w:rPr>
        <w:t xml:space="preserve"> </w:t>
      </w:r>
      <w:r w:rsidR="00406A47">
        <w:rPr>
          <w:rFonts w:ascii="Bell MT" w:hAnsi="Bell MT"/>
          <w:sz w:val="24"/>
          <w:szCs w:val="24"/>
        </w:rPr>
        <w:t>inspired by</w:t>
      </w:r>
      <w:r>
        <w:rPr>
          <w:rFonts w:ascii="Bell MT" w:hAnsi="Bell MT"/>
          <w:sz w:val="24"/>
          <w:szCs w:val="24"/>
        </w:rPr>
        <w:t xml:space="preserve"> a few key insights of </w:t>
      </w:r>
      <w:proofErr w:type="spellStart"/>
      <w:r>
        <w:rPr>
          <w:rFonts w:ascii="Bell MT" w:hAnsi="Bell MT"/>
          <w:sz w:val="24"/>
          <w:szCs w:val="24"/>
        </w:rPr>
        <w:t>Santanu</w:t>
      </w:r>
      <w:proofErr w:type="spellEnd"/>
      <w:r>
        <w:rPr>
          <w:rFonts w:ascii="Bell MT" w:hAnsi="Bell MT"/>
          <w:sz w:val="24"/>
          <w:szCs w:val="24"/>
        </w:rPr>
        <w:t xml:space="preserve"> Das’s </w:t>
      </w:r>
      <w:r>
        <w:rPr>
          <w:rFonts w:ascii="Bell MT" w:hAnsi="Bell MT"/>
          <w:i/>
          <w:iCs/>
          <w:sz w:val="24"/>
          <w:szCs w:val="24"/>
        </w:rPr>
        <w:t xml:space="preserve">Touch and Intimacy in First World War Literature. </w:t>
      </w:r>
      <w:r>
        <w:rPr>
          <w:rFonts w:ascii="Bell MT" w:hAnsi="Bell MT"/>
          <w:sz w:val="24"/>
          <w:szCs w:val="24"/>
        </w:rPr>
        <w:t xml:space="preserve">Rosemary has already given </w:t>
      </w:r>
      <w:proofErr w:type="gramStart"/>
      <w:r>
        <w:rPr>
          <w:rFonts w:ascii="Bell MT" w:hAnsi="Bell MT"/>
          <w:sz w:val="24"/>
          <w:szCs w:val="24"/>
        </w:rPr>
        <w:t>a brief summary</w:t>
      </w:r>
      <w:proofErr w:type="gramEnd"/>
      <w:r>
        <w:rPr>
          <w:rFonts w:ascii="Bell MT" w:hAnsi="Bell MT"/>
          <w:sz w:val="24"/>
          <w:szCs w:val="24"/>
        </w:rPr>
        <w:t xml:space="preserve"> of the book, which allows me some freedom in </w:t>
      </w:r>
      <w:r w:rsidR="00587C3C">
        <w:rPr>
          <w:rFonts w:ascii="Bell MT" w:hAnsi="Bell MT"/>
          <w:sz w:val="24"/>
          <w:szCs w:val="24"/>
        </w:rPr>
        <w:t xml:space="preserve">formulating some of my own arguments. </w:t>
      </w:r>
    </w:p>
    <w:p w14:paraId="66BEA470" w14:textId="733E6091" w:rsidR="00AF65FF" w:rsidRDefault="002E32F2" w:rsidP="002E32F2">
      <w:pPr>
        <w:spacing w:line="480" w:lineRule="auto"/>
        <w:rPr>
          <w:rFonts w:ascii="Bell MT" w:hAnsi="Bell MT"/>
          <w:sz w:val="24"/>
          <w:szCs w:val="24"/>
        </w:rPr>
      </w:pPr>
      <w:r>
        <w:rPr>
          <w:rFonts w:ascii="Bell MT" w:hAnsi="Bell MT"/>
          <w:sz w:val="24"/>
          <w:szCs w:val="24"/>
        </w:rPr>
        <w:t xml:space="preserve">Das yields </w:t>
      </w:r>
      <w:r w:rsidR="00406A47">
        <w:rPr>
          <w:rFonts w:ascii="Bell MT" w:hAnsi="Bell MT"/>
          <w:sz w:val="24"/>
          <w:szCs w:val="24"/>
        </w:rPr>
        <w:t>two important</w:t>
      </w:r>
      <w:r>
        <w:rPr>
          <w:rFonts w:ascii="Bell MT" w:hAnsi="Bell MT"/>
          <w:sz w:val="24"/>
          <w:szCs w:val="24"/>
        </w:rPr>
        <w:t xml:space="preserve"> insight</w:t>
      </w:r>
      <w:r w:rsidR="00406A47">
        <w:rPr>
          <w:rFonts w:ascii="Bell MT" w:hAnsi="Bell MT"/>
          <w:sz w:val="24"/>
          <w:szCs w:val="24"/>
        </w:rPr>
        <w:t xml:space="preserve">s: 1. </w:t>
      </w:r>
      <w:r w:rsidR="00676680">
        <w:rPr>
          <w:rFonts w:ascii="Bell MT" w:hAnsi="Bell MT"/>
          <w:sz w:val="24"/>
          <w:szCs w:val="24"/>
        </w:rPr>
        <w:t>Wartime t</w:t>
      </w:r>
      <w:r>
        <w:rPr>
          <w:rFonts w:ascii="Bell MT" w:hAnsi="Bell MT"/>
          <w:sz w:val="24"/>
          <w:szCs w:val="24"/>
        </w:rPr>
        <w:t xml:space="preserve">ransgressions on the front did not generally upstage the perceived masculinity of military men. </w:t>
      </w:r>
      <w:r w:rsidR="00406A47">
        <w:rPr>
          <w:rFonts w:ascii="Bell MT" w:hAnsi="Bell MT"/>
          <w:sz w:val="24"/>
          <w:szCs w:val="24"/>
        </w:rPr>
        <w:t xml:space="preserve">2. </w:t>
      </w:r>
      <w:r w:rsidR="00676680">
        <w:rPr>
          <w:rFonts w:ascii="Bell MT" w:hAnsi="Bell MT"/>
          <w:sz w:val="24"/>
          <w:szCs w:val="24"/>
        </w:rPr>
        <w:t xml:space="preserve">Yet, these transgressions constitute key moments in framing a larger history of intimacy, that is not overdetermined by sexuality.  </w:t>
      </w:r>
    </w:p>
    <w:p w14:paraId="6E108088" w14:textId="78D06BB6" w:rsidR="00676680" w:rsidRDefault="00676680" w:rsidP="002E32F2">
      <w:pPr>
        <w:spacing w:line="480" w:lineRule="auto"/>
        <w:rPr>
          <w:rFonts w:ascii="Bell MT" w:hAnsi="Bell MT"/>
          <w:sz w:val="24"/>
          <w:szCs w:val="24"/>
        </w:rPr>
      </w:pPr>
      <w:r>
        <w:rPr>
          <w:rFonts w:ascii="Bell MT" w:hAnsi="Bell MT"/>
          <w:sz w:val="24"/>
          <w:szCs w:val="24"/>
        </w:rPr>
        <w:t xml:space="preserve">I build on these two insights to formulate my own understanding of touch and intimacy for a different set of actors, </w:t>
      </w:r>
      <w:proofErr w:type="gramStart"/>
      <w:r>
        <w:rPr>
          <w:rFonts w:ascii="Bell MT" w:hAnsi="Bell MT"/>
          <w:sz w:val="24"/>
          <w:szCs w:val="24"/>
        </w:rPr>
        <w:t>spaces</w:t>
      </w:r>
      <w:proofErr w:type="gramEnd"/>
      <w:r>
        <w:rPr>
          <w:rFonts w:ascii="Bell MT" w:hAnsi="Bell MT"/>
          <w:sz w:val="24"/>
          <w:szCs w:val="24"/>
        </w:rPr>
        <w:t xml:space="preserve"> and circumstances in history. My own work looks at the politics attendant to white western subjects becoming loyal and devoted disciples of major Indian guru figures such as Gandhi and Tagore in late colonial British India. It argues how networks of western discipleship, composed of sympathetic white subjects, became instrumental not only in anticolonial discourses at home, but also crucially, nationalist representations of India abroad. In this, white discipleship networks often reproduced the social priorities of dominant social classes in India, as well as hierarchies of race, class and caste that inhered in the ambiguities of Indian anticolonialism. </w:t>
      </w:r>
    </w:p>
    <w:p w14:paraId="6EC12F82" w14:textId="23A6A370" w:rsidR="00676680" w:rsidRDefault="00676680" w:rsidP="002E32F2">
      <w:pPr>
        <w:spacing w:line="480" w:lineRule="auto"/>
        <w:rPr>
          <w:rFonts w:ascii="Bell MT" w:hAnsi="Bell MT"/>
          <w:sz w:val="24"/>
          <w:szCs w:val="24"/>
        </w:rPr>
      </w:pPr>
      <w:r>
        <w:rPr>
          <w:rFonts w:ascii="Bell MT" w:hAnsi="Bell MT"/>
          <w:sz w:val="24"/>
          <w:szCs w:val="24"/>
        </w:rPr>
        <w:t xml:space="preserve">Aspects such as affect (I see touch as </w:t>
      </w:r>
      <w:r w:rsidR="00A973BF">
        <w:rPr>
          <w:rFonts w:ascii="Bell MT" w:hAnsi="Bell MT"/>
          <w:sz w:val="24"/>
          <w:szCs w:val="24"/>
        </w:rPr>
        <w:t xml:space="preserve">an essential aspect of it) do not sit comfortably in </w:t>
      </w:r>
      <w:proofErr w:type="spellStart"/>
      <w:r w:rsidR="00A973BF">
        <w:rPr>
          <w:rFonts w:ascii="Bell MT" w:hAnsi="Bell MT"/>
          <w:sz w:val="24"/>
          <w:szCs w:val="24"/>
        </w:rPr>
        <w:t>macrohistorical</w:t>
      </w:r>
      <w:proofErr w:type="spellEnd"/>
      <w:r w:rsidR="00A973BF">
        <w:rPr>
          <w:rFonts w:ascii="Bell MT" w:hAnsi="Bell MT"/>
          <w:sz w:val="24"/>
          <w:szCs w:val="24"/>
        </w:rPr>
        <w:t xml:space="preserve"> frameworks that dominate approaches to global and transnational history, in which I see my own work as embedded. My work tries to grapple with ways to integrate intimacy with big processes such as migration and empire. I see the lines of enquiry suggested by Das on intimacy as fruitful in thinking about the role of interiority more generally. How is intimacy evoked in a carefully non-sexual register, between white disciples and their celibate Indian mentors? This is not to deny that there was continual sublimation in the adoration of women disciples, or notes of homoerotic excess in male </w:t>
      </w:r>
      <w:r w:rsidR="00A973BF">
        <w:rPr>
          <w:rFonts w:ascii="Bell MT" w:hAnsi="Bell MT"/>
          <w:sz w:val="24"/>
          <w:szCs w:val="24"/>
        </w:rPr>
        <w:lastRenderedPageBreak/>
        <w:t xml:space="preserve">disciples, in their desire to come closer to their mentors’ lives. Mentors were well-aware of the problem of desire, especially when it came to training women-disciples, but with men it does not strike us with the same intensity. </w:t>
      </w:r>
      <w:r w:rsidR="000F7BD2">
        <w:rPr>
          <w:rFonts w:ascii="Bell MT" w:hAnsi="Bell MT"/>
          <w:sz w:val="24"/>
          <w:szCs w:val="24"/>
        </w:rPr>
        <w:t xml:space="preserve">Modern Indian ashrams allowed for all kinds of desire to co-exist, generally in tension, through a spiritual register of striving. </w:t>
      </w:r>
    </w:p>
    <w:p w14:paraId="5C773A97" w14:textId="53487A1C" w:rsidR="00676680" w:rsidRDefault="00A973BF" w:rsidP="002E32F2">
      <w:pPr>
        <w:spacing w:line="480" w:lineRule="auto"/>
        <w:rPr>
          <w:rFonts w:ascii="Bell MT" w:hAnsi="Bell MT"/>
          <w:sz w:val="24"/>
          <w:szCs w:val="24"/>
        </w:rPr>
      </w:pPr>
      <w:r>
        <w:rPr>
          <w:rFonts w:ascii="Bell MT" w:hAnsi="Bell MT"/>
          <w:sz w:val="24"/>
          <w:szCs w:val="24"/>
        </w:rPr>
        <w:t xml:space="preserve">A series of practices </w:t>
      </w:r>
      <w:r w:rsidR="000F7BD2">
        <w:rPr>
          <w:rFonts w:ascii="Bell MT" w:hAnsi="Bell MT"/>
          <w:sz w:val="24"/>
          <w:szCs w:val="24"/>
        </w:rPr>
        <w:t xml:space="preserve">around acceptable forms of ‘touching’ lay at the </w:t>
      </w:r>
      <w:r w:rsidR="00676680">
        <w:rPr>
          <w:rFonts w:ascii="Bell MT" w:hAnsi="Bell MT"/>
          <w:sz w:val="24"/>
          <w:szCs w:val="24"/>
        </w:rPr>
        <w:t xml:space="preserve">heart </w:t>
      </w:r>
      <w:r w:rsidR="000F7BD2">
        <w:rPr>
          <w:rFonts w:ascii="Bell MT" w:hAnsi="Bell MT"/>
          <w:sz w:val="24"/>
          <w:szCs w:val="24"/>
        </w:rPr>
        <w:t>of this</w:t>
      </w:r>
      <w:r w:rsidR="00676680">
        <w:rPr>
          <w:rFonts w:ascii="Bell MT" w:hAnsi="Bell MT"/>
          <w:sz w:val="24"/>
          <w:szCs w:val="24"/>
        </w:rPr>
        <w:t xml:space="preserve"> fraught negotiation of discipleship</w:t>
      </w:r>
      <w:r w:rsidR="000F7BD2">
        <w:rPr>
          <w:rFonts w:ascii="Bell MT" w:hAnsi="Bell MT"/>
          <w:sz w:val="24"/>
          <w:szCs w:val="24"/>
        </w:rPr>
        <w:t>.</w:t>
      </w:r>
      <w:r w:rsidR="00676680">
        <w:rPr>
          <w:rFonts w:ascii="Bell MT" w:hAnsi="Bell MT"/>
          <w:sz w:val="24"/>
          <w:szCs w:val="24"/>
        </w:rPr>
        <w:t xml:space="preserve"> </w:t>
      </w:r>
      <w:r w:rsidR="000F7BD2">
        <w:rPr>
          <w:rFonts w:ascii="Bell MT" w:hAnsi="Bell MT"/>
          <w:sz w:val="24"/>
          <w:szCs w:val="24"/>
        </w:rPr>
        <w:t>T</w:t>
      </w:r>
      <w:r w:rsidR="00676680">
        <w:rPr>
          <w:rFonts w:ascii="Bell MT" w:hAnsi="Bell MT"/>
          <w:sz w:val="24"/>
          <w:szCs w:val="24"/>
        </w:rPr>
        <w:t>hrough gestures such as touching the guru’s feet, widely regarded as a mark of respect within Indian social hierarchies</w:t>
      </w:r>
      <w:r w:rsidR="000F7BD2">
        <w:rPr>
          <w:rFonts w:ascii="Bell MT" w:hAnsi="Bell MT"/>
          <w:sz w:val="24"/>
          <w:szCs w:val="24"/>
        </w:rPr>
        <w:t>, white disciples exhibited their loyalty for a guru whose authority and wisdom they had come to accept as superior in many ways</w:t>
      </w:r>
      <w:r w:rsidR="00676680">
        <w:rPr>
          <w:rFonts w:ascii="Bell MT" w:hAnsi="Bell MT"/>
          <w:sz w:val="24"/>
          <w:szCs w:val="24"/>
        </w:rPr>
        <w:t>. At the same time, white men and women touching the feet of brown gurus generally incited near-universal responses of revulsion and condemnation from fellow white western subjects</w:t>
      </w:r>
      <w:r w:rsidR="00864FC4">
        <w:rPr>
          <w:rFonts w:ascii="Bell MT" w:hAnsi="Bell MT"/>
          <w:sz w:val="24"/>
          <w:szCs w:val="24"/>
        </w:rPr>
        <w:t xml:space="preserve"> in India, </w:t>
      </w:r>
      <w:proofErr w:type="gramStart"/>
      <w:r w:rsidR="00864FC4">
        <w:rPr>
          <w:rFonts w:ascii="Bell MT" w:hAnsi="Bell MT"/>
          <w:sz w:val="24"/>
          <w:szCs w:val="24"/>
        </w:rPr>
        <w:t>Australia</w:t>
      </w:r>
      <w:proofErr w:type="gramEnd"/>
      <w:r w:rsidR="00864FC4">
        <w:rPr>
          <w:rFonts w:ascii="Bell MT" w:hAnsi="Bell MT"/>
          <w:sz w:val="24"/>
          <w:szCs w:val="24"/>
        </w:rPr>
        <w:t xml:space="preserve"> or South Africa</w:t>
      </w:r>
      <w:r w:rsidR="00676680">
        <w:rPr>
          <w:rFonts w:ascii="Bell MT" w:hAnsi="Bell MT"/>
          <w:sz w:val="24"/>
          <w:szCs w:val="24"/>
        </w:rPr>
        <w:t xml:space="preserve">, who </w:t>
      </w:r>
      <w:r w:rsidR="000F7BD2">
        <w:rPr>
          <w:rFonts w:ascii="Bell MT" w:hAnsi="Bell MT"/>
          <w:sz w:val="24"/>
          <w:szCs w:val="24"/>
        </w:rPr>
        <w:t xml:space="preserve">condemned such practices as ‘going native’, jeopardising race-boundaries and a carefully calibrated order of difference. Tensions around ‘touch’ are important in harnessing intimacy for historians. </w:t>
      </w:r>
    </w:p>
    <w:p w14:paraId="1CB15E82" w14:textId="6A71CCF5" w:rsidR="000F7BD2" w:rsidRPr="005F7247" w:rsidRDefault="00406A47" w:rsidP="002E32F2">
      <w:pPr>
        <w:spacing w:line="480" w:lineRule="auto"/>
        <w:rPr>
          <w:rFonts w:ascii="Bell MT" w:hAnsi="Bell MT"/>
          <w:sz w:val="24"/>
          <w:szCs w:val="24"/>
        </w:rPr>
      </w:pPr>
      <w:r>
        <w:rPr>
          <w:rFonts w:ascii="Bell MT" w:hAnsi="Bell MT"/>
          <w:sz w:val="24"/>
          <w:szCs w:val="24"/>
        </w:rPr>
        <w:t xml:space="preserve">This brings </w:t>
      </w:r>
      <w:r w:rsidR="00864FC4">
        <w:rPr>
          <w:rFonts w:ascii="Bell MT" w:hAnsi="Bell MT"/>
          <w:sz w:val="24"/>
          <w:szCs w:val="24"/>
        </w:rPr>
        <w:t xml:space="preserve">me </w:t>
      </w:r>
      <w:r>
        <w:rPr>
          <w:rFonts w:ascii="Bell MT" w:hAnsi="Bell MT"/>
          <w:sz w:val="24"/>
          <w:szCs w:val="24"/>
        </w:rPr>
        <w:t xml:space="preserve">to </w:t>
      </w:r>
      <w:r w:rsidR="00864FC4">
        <w:rPr>
          <w:rFonts w:ascii="Bell MT" w:hAnsi="Bell MT"/>
          <w:sz w:val="24"/>
          <w:szCs w:val="24"/>
        </w:rPr>
        <w:t xml:space="preserve">the next </w:t>
      </w:r>
      <w:r>
        <w:rPr>
          <w:rFonts w:ascii="Bell MT" w:hAnsi="Bell MT"/>
          <w:sz w:val="24"/>
          <w:szCs w:val="24"/>
        </w:rPr>
        <w:t>point</w:t>
      </w:r>
      <w:r w:rsidR="00864FC4">
        <w:rPr>
          <w:rFonts w:ascii="Bell MT" w:hAnsi="Bell MT"/>
          <w:sz w:val="24"/>
          <w:szCs w:val="24"/>
        </w:rPr>
        <w:t>:</w:t>
      </w:r>
      <w:r>
        <w:rPr>
          <w:rFonts w:ascii="Bell MT" w:hAnsi="Bell MT"/>
          <w:sz w:val="24"/>
          <w:szCs w:val="24"/>
        </w:rPr>
        <w:t xml:space="preserve"> on archive. Where do we look for touch? </w:t>
      </w:r>
      <w:r w:rsidR="000F7BD2">
        <w:rPr>
          <w:rFonts w:ascii="Bell MT" w:hAnsi="Bell MT"/>
          <w:sz w:val="24"/>
          <w:szCs w:val="24"/>
        </w:rPr>
        <w:t>I looked at the</w:t>
      </w:r>
      <w:r>
        <w:rPr>
          <w:rFonts w:ascii="Bell MT" w:hAnsi="Bell MT"/>
          <w:sz w:val="24"/>
          <w:szCs w:val="24"/>
        </w:rPr>
        <w:t>ir</w:t>
      </w:r>
      <w:r w:rsidR="000F7BD2">
        <w:rPr>
          <w:rFonts w:ascii="Bell MT" w:hAnsi="Bell MT"/>
          <w:sz w:val="24"/>
          <w:szCs w:val="24"/>
        </w:rPr>
        <w:t xml:space="preserve"> epistola</w:t>
      </w:r>
      <w:r>
        <w:rPr>
          <w:rFonts w:ascii="Bell MT" w:hAnsi="Bell MT"/>
          <w:sz w:val="24"/>
          <w:szCs w:val="24"/>
        </w:rPr>
        <w:t>ry corpus</w:t>
      </w:r>
      <w:r w:rsidR="000F7BD2">
        <w:rPr>
          <w:rFonts w:ascii="Bell MT" w:hAnsi="Bell MT"/>
          <w:sz w:val="24"/>
          <w:szCs w:val="24"/>
        </w:rPr>
        <w:t xml:space="preserve"> for an archive of touch. </w:t>
      </w:r>
      <w:r>
        <w:rPr>
          <w:rFonts w:ascii="Bell MT" w:hAnsi="Bell MT"/>
          <w:sz w:val="24"/>
          <w:szCs w:val="24"/>
        </w:rPr>
        <w:t xml:space="preserve">All these men and women, both white and Indian, wrote voluminously, in the great tradition of Victorian letter-writing. </w:t>
      </w:r>
      <w:r w:rsidR="000F7BD2">
        <w:rPr>
          <w:rFonts w:ascii="Bell MT" w:hAnsi="Bell MT"/>
          <w:sz w:val="24"/>
          <w:szCs w:val="24"/>
        </w:rPr>
        <w:t>Through letters, we find complicated</w:t>
      </w:r>
      <w:r>
        <w:rPr>
          <w:rFonts w:ascii="Bell MT" w:hAnsi="Bell MT"/>
          <w:sz w:val="24"/>
          <w:szCs w:val="24"/>
        </w:rPr>
        <w:t xml:space="preserve"> declarations of love, longing, dis/avowal being enacted. The letter also allowed white disciples to imagine a co-presence. The material letter itself came to embody the touch of a distant guru. Touching the gurus’ handwriting felt like touching them. The ‘epistolary touch’ therefore rendered meaningful forms of embodiment. Tied to the letter is also the story of a postal modernity; the wait for the letter ordered the anticipation for ‘touch’. Postal time imparted meaning upon distance; an anxiety to touch the letters form their gurus spilled onto their eager replies. Desire was ‘contained’ within the safe idiom of the letter, that allowed for </w:t>
      </w:r>
      <w:r w:rsidR="00864FC4">
        <w:rPr>
          <w:rFonts w:ascii="Bell MT" w:hAnsi="Bell MT"/>
          <w:sz w:val="24"/>
          <w:szCs w:val="24"/>
        </w:rPr>
        <w:t>‘</w:t>
      </w:r>
      <w:r>
        <w:rPr>
          <w:rFonts w:ascii="Bell MT" w:hAnsi="Bell MT"/>
          <w:sz w:val="24"/>
          <w:szCs w:val="24"/>
        </w:rPr>
        <w:t>touch</w:t>
      </w:r>
      <w:r w:rsidR="00864FC4">
        <w:rPr>
          <w:rFonts w:ascii="Bell MT" w:hAnsi="Bell MT"/>
          <w:sz w:val="24"/>
          <w:szCs w:val="24"/>
        </w:rPr>
        <w:t xml:space="preserve">’ to be conveyed safely. Accessing touch therefore allows us to write a larger history of intimacy, but also so much more. </w:t>
      </w:r>
    </w:p>
    <w:sectPr w:rsidR="000F7BD2" w:rsidRPr="005F7247">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BE90A" w14:textId="77777777" w:rsidR="00D75AF4" w:rsidRDefault="00D75AF4" w:rsidP="00C449A5">
      <w:pPr>
        <w:spacing w:after="0" w:line="240" w:lineRule="auto"/>
      </w:pPr>
      <w:r>
        <w:separator/>
      </w:r>
    </w:p>
  </w:endnote>
  <w:endnote w:type="continuationSeparator" w:id="0">
    <w:p w14:paraId="28867BF5" w14:textId="77777777" w:rsidR="00D75AF4" w:rsidRDefault="00D75AF4" w:rsidP="00C449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324FA" w14:textId="77777777" w:rsidR="00D75AF4" w:rsidRDefault="00D75AF4" w:rsidP="00C449A5">
      <w:pPr>
        <w:spacing w:after="0" w:line="240" w:lineRule="auto"/>
      </w:pPr>
      <w:r>
        <w:separator/>
      </w:r>
    </w:p>
  </w:footnote>
  <w:footnote w:type="continuationSeparator" w:id="0">
    <w:p w14:paraId="18186EAB" w14:textId="77777777" w:rsidR="00D75AF4" w:rsidRDefault="00D75AF4" w:rsidP="00C449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2643D" w14:textId="2C21A141" w:rsidR="00C449A5" w:rsidRDefault="00C449A5">
    <w:pPr>
      <w:pStyle w:val="Header"/>
    </w:pPr>
    <w:r>
      <w:t>Somak Biswas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247"/>
    <w:rsid w:val="000F7BD2"/>
    <w:rsid w:val="002E32F2"/>
    <w:rsid w:val="00406A47"/>
    <w:rsid w:val="00587C3C"/>
    <w:rsid w:val="005F7247"/>
    <w:rsid w:val="00676680"/>
    <w:rsid w:val="006E4684"/>
    <w:rsid w:val="00864FC4"/>
    <w:rsid w:val="00A973BF"/>
    <w:rsid w:val="00C14757"/>
    <w:rsid w:val="00C449A5"/>
    <w:rsid w:val="00D75A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8970F"/>
  <w15:chartTrackingRefBased/>
  <w15:docId w15:val="{9699B417-F8B6-4C8E-9954-B3391786D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49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49A5"/>
  </w:style>
  <w:style w:type="paragraph" w:styleId="Footer">
    <w:name w:val="footer"/>
    <w:basedOn w:val="Normal"/>
    <w:link w:val="FooterChar"/>
    <w:uiPriority w:val="99"/>
    <w:unhideWhenUsed/>
    <w:rsid w:val="00C449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49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2</Pages>
  <Words>635</Words>
  <Characters>3623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somak biswas</dc:creator>
  <cp:keywords/>
  <dc:description/>
  <cp:lastModifiedBy>somak biswas</cp:lastModifiedBy>
  <cp:revision>3</cp:revision>
  <dcterms:created xsi:type="dcterms:W3CDTF">2021-05-16T11:51:00Z</dcterms:created>
  <dcterms:modified xsi:type="dcterms:W3CDTF">2021-05-17T09:00:00Z</dcterms:modified>
</cp:coreProperties>
</file>