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E64A16" w14:textId="350380C7" w:rsidR="00BF0759" w:rsidRDefault="00A54C8D">
      <w:pPr>
        <w:rPr>
          <w:rFonts w:ascii="Times" w:hAnsi="Times"/>
          <w:lang w:val="en-GB"/>
        </w:rPr>
      </w:pPr>
      <w:r>
        <w:rPr>
          <w:rFonts w:ascii="Times" w:hAnsi="Times"/>
          <w:lang w:val="en-GB"/>
        </w:rPr>
        <w:t>From the</w:t>
      </w:r>
      <w:r w:rsidR="00BF0759">
        <w:rPr>
          <w:rFonts w:ascii="Times" w:hAnsi="Times"/>
          <w:lang w:val="en-GB"/>
        </w:rPr>
        <w:t xml:space="preserve"> late </w:t>
      </w:r>
      <w:r w:rsidR="009E05CE">
        <w:rPr>
          <w:rFonts w:ascii="Times" w:hAnsi="Times"/>
          <w:lang w:val="en-GB"/>
        </w:rPr>
        <w:t>Victorian</w:t>
      </w:r>
      <w:r w:rsidR="00BF0759">
        <w:rPr>
          <w:rFonts w:ascii="Times" w:hAnsi="Times"/>
          <w:lang w:val="en-GB"/>
        </w:rPr>
        <w:t xml:space="preserve"> period, </w:t>
      </w:r>
      <w:r w:rsidR="009E05CE">
        <w:rPr>
          <w:rFonts w:ascii="Times" w:hAnsi="Times"/>
          <w:lang w:val="en-GB"/>
        </w:rPr>
        <w:t xml:space="preserve">the </w:t>
      </w:r>
      <w:r>
        <w:rPr>
          <w:rFonts w:ascii="Times" w:hAnsi="Times"/>
          <w:lang w:val="en-GB"/>
        </w:rPr>
        <w:t>number of</w:t>
      </w:r>
      <w:r w:rsidR="009E05CE">
        <w:rPr>
          <w:rFonts w:ascii="Times" w:hAnsi="Times"/>
          <w:lang w:val="en-GB"/>
        </w:rPr>
        <w:t xml:space="preserve"> </w:t>
      </w:r>
      <w:r w:rsidR="00BF0759">
        <w:rPr>
          <w:rFonts w:ascii="Times" w:hAnsi="Times"/>
          <w:lang w:val="en-GB"/>
        </w:rPr>
        <w:t>s</w:t>
      </w:r>
      <w:r w:rsidR="00BF0759" w:rsidRPr="00BF0759">
        <w:rPr>
          <w:rFonts w:ascii="Times" w:hAnsi="Times"/>
          <w:lang w:val="en-GB"/>
        </w:rPr>
        <w:t xml:space="preserve">ingle </w:t>
      </w:r>
      <w:r>
        <w:rPr>
          <w:rFonts w:ascii="Times" w:hAnsi="Times"/>
          <w:lang w:val="en-GB"/>
        </w:rPr>
        <w:t xml:space="preserve">young men and women in </w:t>
      </w:r>
      <w:r w:rsidR="00CC6DB9">
        <w:rPr>
          <w:rFonts w:ascii="Times" w:hAnsi="Times"/>
          <w:lang w:val="en-GB"/>
        </w:rPr>
        <w:t xml:space="preserve">British </w:t>
      </w:r>
      <w:r>
        <w:rPr>
          <w:rFonts w:ascii="Times" w:hAnsi="Times"/>
          <w:lang w:val="en-GB"/>
        </w:rPr>
        <w:t>cities</w:t>
      </w:r>
      <w:r w:rsidR="00CC6DB9">
        <w:rPr>
          <w:rFonts w:ascii="Times" w:hAnsi="Times"/>
          <w:lang w:val="en-GB"/>
        </w:rPr>
        <w:t>, and particularly London,</w:t>
      </w:r>
      <w:r>
        <w:rPr>
          <w:rFonts w:ascii="Times" w:hAnsi="Times"/>
          <w:lang w:val="en-GB"/>
        </w:rPr>
        <w:t xml:space="preserve"> grew.</w:t>
      </w:r>
      <w:r w:rsidR="00CF4B40">
        <w:rPr>
          <w:rStyle w:val="FootnoteReference"/>
          <w:rFonts w:ascii="Times" w:hAnsi="Times"/>
          <w:lang w:val="en-GB"/>
        </w:rPr>
        <w:footnoteReference w:id="1"/>
      </w:r>
      <w:r>
        <w:rPr>
          <w:rFonts w:ascii="Times" w:hAnsi="Times"/>
          <w:lang w:val="en-GB"/>
        </w:rPr>
        <w:t xml:space="preserve"> </w:t>
      </w:r>
      <w:r w:rsidR="002E6DD6">
        <w:rPr>
          <w:rFonts w:ascii="Times" w:hAnsi="Times"/>
          <w:lang w:val="en-GB"/>
        </w:rPr>
        <w:t xml:space="preserve">The industrial revolution </w:t>
      </w:r>
      <w:r>
        <w:rPr>
          <w:rFonts w:ascii="Times" w:hAnsi="Times"/>
          <w:lang w:val="en-GB"/>
        </w:rPr>
        <w:t>had created a new l</w:t>
      </w:r>
      <w:r w:rsidR="009E05CE">
        <w:rPr>
          <w:rFonts w:ascii="Times" w:hAnsi="Times"/>
          <w:lang w:val="en-GB"/>
        </w:rPr>
        <w:t>ower middle</w:t>
      </w:r>
      <w:r>
        <w:rPr>
          <w:rFonts w:ascii="Times" w:hAnsi="Times"/>
          <w:lang w:val="en-GB"/>
        </w:rPr>
        <w:t>, or clerk</w:t>
      </w:r>
      <w:r w:rsidR="00067070">
        <w:rPr>
          <w:rFonts w:ascii="Times" w:hAnsi="Times"/>
          <w:lang w:val="en-GB"/>
        </w:rPr>
        <w:t xml:space="preserve"> class</w:t>
      </w:r>
      <w:r>
        <w:rPr>
          <w:rFonts w:ascii="Times" w:hAnsi="Times"/>
          <w:lang w:val="en-GB"/>
        </w:rPr>
        <w:t>,</w:t>
      </w:r>
      <w:r w:rsidR="00067070">
        <w:rPr>
          <w:rFonts w:ascii="Times" w:hAnsi="Times"/>
          <w:lang w:val="en-GB"/>
        </w:rPr>
        <w:t xml:space="preserve"> </w:t>
      </w:r>
      <w:r w:rsidR="007D2843">
        <w:rPr>
          <w:rFonts w:ascii="Times" w:hAnsi="Times"/>
          <w:lang w:val="en-GB"/>
        </w:rPr>
        <w:t>which</w:t>
      </w:r>
      <w:r>
        <w:rPr>
          <w:rFonts w:ascii="Times" w:hAnsi="Times"/>
          <w:lang w:val="en-GB"/>
        </w:rPr>
        <w:t xml:space="preserve"> – seeking new forms of work in offices; shops; the </w:t>
      </w:r>
      <w:r w:rsidR="007D2843">
        <w:rPr>
          <w:rFonts w:ascii="Times" w:hAnsi="Times"/>
          <w:lang w:val="en-GB"/>
        </w:rPr>
        <w:t>c</w:t>
      </w:r>
      <w:r>
        <w:rPr>
          <w:rFonts w:ascii="Times" w:hAnsi="Times"/>
          <w:lang w:val="en-GB"/>
        </w:rPr>
        <w:t>ivil service and the railroad</w:t>
      </w:r>
      <w:r w:rsidR="009E05CE">
        <w:rPr>
          <w:rFonts w:ascii="Times" w:hAnsi="Times"/>
          <w:lang w:val="en-GB"/>
        </w:rPr>
        <w:t xml:space="preserve"> </w:t>
      </w:r>
      <w:r>
        <w:rPr>
          <w:rFonts w:ascii="Times" w:hAnsi="Times"/>
          <w:lang w:val="en-GB"/>
        </w:rPr>
        <w:t>– move</w:t>
      </w:r>
      <w:r w:rsidR="007D2843">
        <w:rPr>
          <w:rFonts w:ascii="Times" w:hAnsi="Times"/>
          <w:lang w:val="en-GB"/>
        </w:rPr>
        <w:t xml:space="preserve">d in significant numbers to the metropole. Perceived as unrooted and of uncertain respectability, </w:t>
      </w:r>
      <w:r w:rsidR="0005324F">
        <w:rPr>
          <w:rFonts w:ascii="Times" w:hAnsi="Times"/>
          <w:lang w:val="en-GB"/>
        </w:rPr>
        <w:t>this new presence of</w:t>
      </w:r>
      <w:r w:rsidR="000925A6">
        <w:rPr>
          <w:rFonts w:ascii="Times" w:hAnsi="Times"/>
          <w:lang w:val="en-GB"/>
        </w:rPr>
        <w:t xml:space="preserve"> </w:t>
      </w:r>
      <w:r w:rsidR="00A475FF">
        <w:rPr>
          <w:rFonts w:ascii="Times" w:hAnsi="Times"/>
          <w:lang w:val="en-GB"/>
        </w:rPr>
        <w:t xml:space="preserve">lonely </w:t>
      </w:r>
      <w:r w:rsidR="00833D44">
        <w:rPr>
          <w:rFonts w:ascii="Times" w:hAnsi="Times"/>
          <w:lang w:val="en-GB"/>
        </w:rPr>
        <w:t>people</w:t>
      </w:r>
      <w:r w:rsidR="007D2843">
        <w:rPr>
          <w:rFonts w:ascii="Times" w:hAnsi="Times"/>
          <w:lang w:val="en-GB"/>
        </w:rPr>
        <w:t xml:space="preserve"> </w:t>
      </w:r>
      <w:r w:rsidR="0005324F">
        <w:rPr>
          <w:rFonts w:ascii="Times" w:hAnsi="Times"/>
          <w:lang w:val="en-GB"/>
        </w:rPr>
        <w:t xml:space="preserve">looking for connection, often via the friendship or matrimonial press, </w:t>
      </w:r>
      <w:r w:rsidR="009E05CE">
        <w:rPr>
          <w:rFonts w:ascii="Times" w:hAnsi="Times"/>
          <w:lang w:val="en-GB"/>
        </w:rPr>
        <w:t>prompted</w:t>
      </w:r>
      <w:r w:rsidR="000A208B">
        <w:rPr>
          <w:rFonts w:ascii="Times" w:hAnsi="Times"/>
          <w:lang w:val="en-GB"/>
        </w:rPr>
        <w:t xml:space="preserve"> theories, anxieties and </w:t>
      </w:r>
      <w:r w:rsidR="007E5356">
        <w:rPr>
          <w:rFonts w:ascii="Times" w:hAnsi="Times"/>
          <w:lang w:val="en-GB"/>
        </w:rPr>
        <w:t xml:space="preserve">satire as onlookers positioned them as a </w:t>
      </w:r>
      <w:r w:rsidR="00626C51">
        <w:rPr>
          <w:rFonts w:ascii="Times" w:hAnsi="Times"/>
          <w:lang w:val="en-GB"/>
        </w:rPr>
        <w:t>troubling</w:t>
      </w:r>
      <w:r w:rsidR="007E5356">
        <w:rPr>
          <w:rFonts w:ascii="Times" w:hAnsi="Times"/>
          <w:lang w:val="en-GB"/>
        </w:rPr>
        <w:t xml:space="preserve"> </w:t>
      </w:r>
      <w:r w:rsidR="00833D44">
        <w:rPr>
          <w:rFonts w:ascii="Times" w:hAnsi="Times"/>
          <w:lang w:val="en-GB"/>
        </w:rPr>
        <w:t xml:space="preserve">embodiment </w:t>
      </w:r>
      <w:r w:rsidR="00770DA0">
        <w:rPr>
          <w:rFonts w:ascii="Times" w:hAnsi="Times"/>
          <w:lang w:val="en-GB"/>
        </w:rPr>
        <w:t xml:space="preserve">of </w:t>
      </w:r>
      <w:r w:rsidR="0005324F">
        <w:rPr>
          <w:rFonts w:ascii="Times" w:hAnsi="Times"/>
          <w:lang w:val="en-GB"/>
        </w:rPr>
        <w:t>modernity</w:t>
      </w:r>
      <w:r w:rsidR="00CF4B40">
        <w:rPr>
          <w:rFonts w:ascii="Times" w:hAnsi="Times"/>
          <w:lang w:val="en-GB"/>
        </w:rPr>
        <w:t>.</w:t>
      </w:r>
      <w:r w:rsidR="00CF4B40">
        <w:rPr>
          <w:rStyle w:val="FootnoteReference"/>
          <w:rFonts w:ascii="Times" w:hAnsi="Times"/>
          <w:lang w:val="en-GB"/>
        </w:rPr>
        <w:footnoteReference w:id="2"/>
      </w:r>
    </w:p>
    <w:p w14:paraId="5F63BC24" w14:textId="10358F31" w:rsidR="00770DA0" w:rsidRDefault="00770DA0">
      <w:pPr>
        <w:rPr>
          <w:rFonts w:ascii="Times" w:hAnsi="Times"/>
          <w:lang w:val="en-GB"/>
        </w:rPr>
      </w:pPr>
    </w:p>
    <w:p w14:paraId="2CB53D86" w14:textId="08E9A88F" w:rsidR="000461E6" w:rsidRDefault="006B4B64" w:rsidP="00D26B31">
      <w:pPr>
        <w:rPr>
          <w:rFonts w:ascii="Times New Roman" w:eastAsia="Times New Roman" w:hAnsi="Times New Roman" w:cs="Times New Roman"/>
        </w:rPr>
      </w:pPr>
      <w:r>
        <w:rPr>
          <w:rFonts w:ascii="Times" w:hAnsi="Times"/>
          <w:lang w:val="en-GB"/>
        </w:rPr>
        <w:t>Lurking within</w:t>
      </w:r>
      <w:r w:rsidR="00770DA0">
        <w:rPr>
          <w:rFonts w:ascii="Times" w:hAnsi="Times"/>
          <w:lang w:val="en-GB"/>
        </w:rPr>
        <w:t xml:space="preserve"> concern</w:t>
      </w:r>
      <w:r>
        <w:rPr>
          <w:rFonts w:ascii="Times" w:hAnsi="Times"/>
          <w:lang w:val="en-GB"/>
        </w:rPr>
        <w:t xml:space="preserve">s </w:t>
      </w:r>
      <w:r w:rsidR="00626C51">
        <w:rPr>
          <w:rFonts w:ascii="Times" w:hAnsi="Times"/>
          <w:lang w:val="en-GB"/>
        </w:rPr>
        <w:t>about the respectability and prospects of this</w:t>
      </w:r>
      <w:r w:rsidR="00EF7D43">
        <w:rPr>
          <w:rFonts w:ascii="Times" w:hAnsi="Times"/>
          <w:lang w:val="en-GB"/>
        </w:rPr>
        <w:t xml:space="preserve"> new breed of clerks and shop workers was</w:t>
      </w:r>
      <w:r>
        <w:rPr>
          <w:rFonts w:ascii="Times" w:hAnsi="Times"/>
          <w:lang w:val="en-GB"/>
        </w:rPr>
        <w:t xml:space="preserve">, in some senses, a concern about touch. The unmarried, in being sexually unspoken for, </w:t>
      </w:r>
      <w:r w:rsidR="00EF7D43">
        <w:rPr>
          <w:rFonts w:ascii="Times" w:hAnsi="Times"/>
          <w:lang w:val="en-GB"/>
        </w:rPr>
        <w:t>might</w:t>
      </w:r>
      <w:r>
        <w:rPr>
          <w:rFonts w:ascii="Times" w:hAnsi="Times"/>
          <w:lang w:val="en-GB"/>
        </w:rPr>
        <w:t xml:space="preserve"> </w:t>
      </w:r>
      <w:r w:rsidR="007E5356">
        <w:rPr>
          <w:rFonts w:ascii="Times" w:hAnsi="Times"/>
          <w:lang w:val="en-GB"/>
        </w:rPr>
        <w:t>seek inappropriate intimacy</w:t>
      </w:r>
      <w:r w:rsidR="00626C51">
        <w:rPr>
          <w:rFonts w:ascii="Times" w:hAnsi="Times"/>
          <w:lang w:val="en-GB"/>
        </w:rPr>
        <w:t xml:space="preserve"> through inappropriate channels. Indeed, matchmaking services began to flouris</w:t>
      </w:r>
      <w:r w:rsidR="00A956A0">
        <w:rPr>
          <w:rFonts w:ascii="Times" w:hAnsi="Times"/>
          <w:lang w:val="en-GB"/>
        </w:rPr>
        <w:t>h in the late 19</w:t>
      </w:r>
      <w:r w:rsidR="00A956A0" w:rsidRPr="00A956A0">
        <w:rPr>
          <w:rFonts w:ascii="Times" w:hAnsi="Times"/>
          <w:vertAlign w:val="superscript"/>
          <w:lang w:val="en-GB"/>
        </w:rPr>
        <w:t>th</w:t>
      </w:r>
      <w:r w:rsidR="00A956A0">
        <w:rPr>
          <w:rFonts w:ascii="Times" w:hAnsi="Times"/>
          <w:lang w:val="en-GB"/>
        </w:rPr>
        <w:t xml:space="preserve"> century. Agencies </w:t>
      </w:r>
      <w:r w:rsidR="0028464E">
        <w:rPr>
          <w:rFonts w:ascii="Times" w:hAnsi="Times"/>
          <w:lang w:val="en-GB"/>
        </w:rPr>
        <w:t>posted adverts</w:t>
      </w:r>
      <w:r w:rsidR="00A956A0">
        <w:rPr>
          <w:rFonts w:ascii="Times" w:hAnsi="Times"/>
          <w:lang w:val="en-GB"/>
        </w:rPr>
        <w:t xml:space="preserve"> on behalf of clients in dedicated matrimonial newspapers, and </w:t>
      </w:r>
      <w:proofErr w:type="spellStart"/>
      <w:r w:rsidR="00A956A0">
        <w:rPr>
          <w:rFonts w:ascii="Times" w:hAnsi="Times"/>
          <w:lang w:val="en-GB"/>
        </w:rPr>
        <w:t>penpal</w:t>
      </w:r>
      <w:proofErr w:type="spellEnd"/>
      <w:r w:rsidR="00A956A0">
        <w:rPr>
          <w:rFonts w:ascii="Times" w:hAnsi="Times"/>
          <w:lang w:val="en-GB"/>
        </w:rPr>
        <w:t xml:space="preserve"> or correspondence clubs sprang up. </w:t>
      </w:r>
      <w:r w:rsidR="0028464E">
        <w:rPr>
          <w:rFonts w:ascii="Times" w:hAnsi="Times"/>
          <w:lang w:val="en-GB"/>
        </w:rPr>
        <w:t xml:space="preserve">But while some progressive </w:t>
      </w:r>
      <w:r w:rsidR="00C01EE2">
        <w:rPr>
          <w:rFonts w:ascii="Times" w:hAnsi="Times"/>
          <w:lang w:val="en-GB"/>
        </w:rPr>
        <w:t xml:space="preserve">and eugenic </w:t>
      </w:r>
      <w:r w:rsidR="0028464E">
        <w:rPr>
          <w:rFonts w:ascii="Times" w:hAnsi="Times"/>
          <w:lang w:val="en-GB"/>
        </w:rPr>
        <w:t xml:space="preserve">thinkers, including </w:t>
      </w:r>
      <w:r w:rsidR="005022D9">
        <w:rPr>
          <w:rFonts w:ascii="Times" w:hAnsi="Times"/>
          <w:lang w:val="en-GB"/>
        </w:rPr>
        <w:t>William Booth</w:t>
      </w:r>
      <w:r w:rsidR="0028464E">
        <w:rPr>
          <w:rFonts w:ascii="Times" w:hAnsi="Times"/>
          <w:lang w:val="en-GB"/>
        </w:rPr>
        <w:t xml:space="preserve"> and </w:t>
      </w:r>
      <w:r w:rsidR="00FE106A">
        <w:rPr>
          <w:rFonts w:ascii="Times" w:hAnsi="Times"/>
          <w:lang w:val="en-GB"/>
        </w:rPr>
        <w:t xml:space="preserve">the feminist Mona </w:t>
      </w:r>
      <w:proofErr w:type="spellStart"/>
      <w:r w:rsidR="00FE106A">
        <w:rPr>
          <w:rFonts w:ascii="Times" w:hAnsi="Times"/>
          <w:lang w:val="en-GB"/>
        </w:rPr>
        <w:t>Caird</w:t>
      </w:r>
      <w:proofErr w:type="spellEnd"/>
      <w:r w:rsidR="0028464E">
        <w:rPr>
          <w:rFonts w:ascii="Times" w:hAnsi="Times"/>
          <w:lang w:val="en-GB"/>
        </w:rPr>
        <w:t>, saw the matrimonial press as a means for advancing utopian aims by promoting better mate choices</w:t>
      </w:r>
      <w:r w:rsidR="0095549B">
        <w:rPr>
          <w:rFonts w:ascii="Times" w:hAnsi="Times"/>
          <w:lang w:val="en-GB"/>
        </w:rPr>
        <w:t xml:space="preserve">, others were uneasy about </w:t>
      </w:r>
      <w:r w:rsidR="00D26B31">
        <w:rPr>
          <w:rFonts w:ascii="Times" w:hAnsi="Times"/>
          <w:lang w:val="en-GB"/>
        </w:rPr>
        <w:t>the</w:t>
      </w:r>
      <w:r w:rsidR="0095549B">
        <w:rPr>
          <w:rFonts w:ascii="Times" w:hAnsi="Times"/>
          <w:lang w:val="en-GB"/>
        </w:rPr>
        <w:t xml:space="preserve"> kinds of encounters </w:t>
      </w:r>
      <w:r w:rsidR="00D26B31">
        <w:rPr>
          <w:rFonts w:ascii="Times" w:hAnsi="Times"/>
          <w:lang w:val="en-GB"/>
        </w:rPr>
        <w:t xml:space="preserve">that </w:t>
      </w:r>
      <w:r w:rsidR="0095549B">
        <w:rPr>
          <w:rFonts w:ascii="Times" w:hAnsi="Times"/>
          <w:lang w:val="en-GB"/>
        </w:rPr>
        <w:t xml:space="preserve">might be facilitated by the </w:t>
      </w:r>
      <w:r w:rsidR="00D26B31">
        <w:rPr>
          <w:rFonts w:ascii="Times" w:hAnsi="Times"/>
          <w:lang w:val="en-GB"/>
        </w:rPr>
        <w:t xml:space="preserve">small ads. By the Edwardian and interwar period, </w:t>
      </w:r>
      <w:r w:rsidR="004026B2">
        <w:rPr>
          <w:rFonts w:ascii="Times" w:hAnsi="Times"/>
          <w:lang w:val="en-GB"/>
        </w:rPr>
        <w:t xml:space="preserve">when </w:t>
      </w:r>
      <w:r w:rsidR="00D26B31">
        <w:rPr>
          <w:rFonts w:ascii="Times" w:hAnsi="Times"/>
          <w:lang w:val="en-GB"/>
        </w:rPr>
        <w:t xml:space="preserve">newspapers such as the Link appeared offering contact ads that were not necessarily for marriage, </w:t>
      </w:r>
      <w:r w:rsidR="004026B2">
        <w:rPr>
          <w:rFonts w:ascii="Times" w:hAnsi="Times"/>
          <w:lang w:val="en-GB"/>
        </w:rPr>
        <w:t xml:space="preserve">anxieties about who singles might be touching, and through what channels, escalated. </w:t>
      </w:r>
      <w:r w:rsidR="00D26B31">
        <w:rPr>
          <w:rFonts w:ascii="Times New Roman" w:eastAsia="Times New Roman" w:hAnsi="Times New Roman" w:cs="Times New Roman"/>
        </w:rPr>
        <w:t>As Harry Cocks has written, ‘</w:t>
      </w:r>
      <w:r w:rsidR="00D26B31" w:rsidRPr="00D26B31">
        <w:rPr>
          <w:rFonts w:ascii="Times New Roman" w:eastAsia="Times New Roman" w:hAnsi="Times New Roman" w:cs="Times New Roman"/>
        </w:rPr>
        <w:t>classifieds were not only an area of danger, but also the location for meetings of diverse subcultures, partly because they represented a small space in which policing was problematic, and because they circumvented the moral surveillance which after 1914 was increasingly directed against freedoms which seemed to contain dangers of racial and sexual degeneration.</w:t>
      </w:r>
      <w:r w:rsidR="000461E6">
        <w:rPr>
          <w:rFonts w:ascii="Times New Roman" w:eastAsia="Times New Roman" w:hAnsi="Times New Roman" w:cs="Times New Roman"/>
        </w:rPr>
        <w:t>’</w:t>
      </w:r>
      <w:r w:rsidR="0094772A">
        <w:rPr>
          <w:rStyle w:val="FootnoteReference"/>
          <w:rFonts w:ascii="Times New Roman" w:eastAsia="Times New Roman" w:hAnsi="Times New Roman" w:cs="Times New Roman"/>
        </w:rPr>
        <w:footnoteReference w:id="3"/>
      </w:r>
    </w:p>
    <w:p w14:paraId="41152547" w14:textId="77777777" w:rsidR="000461E6" w:rsidRDefault="000461E6" w:rsidP="00D26B31">
      <w:pPr>
        <w:rPr>
          <w:rFonts w:ascii="Times New Roman" w:eastAsia="Times New Roman" w:hAnsi="Times New Roman" w:cs="Times New Roman"/>
        </w:rPr>
      </w:pPr>
    </w:p>
    <w:p w14:paraId="64C078A2" w14:textId="24B96EEF" w:rsidR="005E155F" w:rsidRDefault="000461E6" w:rsidP="00D26B31">
      <w:pPr>
        <w:rPr>
          <w:rFonts w:ascii="Times New Roman" w:eastAsia="Times New Roman" w:hAnsi="Times New Roman" w:cs="Times New Roman"/>
        </w:rPr>
      </w:pPr>
      <w:r>
        <w:rPr>
          <w:rFonts w:ascii="Times New Roman" w:eastAsia="Times New Roman" w:hAnsi="Times New Roman" w:cs="Times New Roman"/>
        </w:rPr>
        <w:t>But personals also reflected the ‘</w:t>
      </w:r>
      <w:r w:rsidR="00D26B31" w:rsidRPr="00D26B31">
        <w:rPr>
          <w:rFonts w:ascii="Times New Roman" w:eastAsia="Times New Roman" w:hAnsi="Times New Roman" w:cs="Times New Roman"/>
        </w:rPr>
        <w:t>increasingly public, commercial and unregulated nature of courtship</w:t>
      </w:r>
      <w:r w:rsidR="00CC7C21">
        <w:rPr>
          <w:rFonts w:ascii="Times New Roman" w:eastAsia="Times New Roman" w:hAnsi="Times New Roman" w:cs="Times New Roman"/>
        </w:rPr>
        <w:t xml:space="preserve">’ and thus ‘in this </w:t>
      </w:r>
      <w:r w:rsidR="00D26B31" w:rsidRPr="00D26B31">
        <w:rPr>
          <w:rFonts w:ascii="Times New Roman" w:eastAsia="Times New Roman" w:hAnsi="Times New Roman" w:cs="Times New Roman"/>
        </w:rPr>
        <w:t>climate the classifieds represented a paradoxical space of liberty and constraint</w:t>
      </w:r>
      <w:r w:rsidR="004026B2">
        <w:rPr>
          <w:rFonts w:ascii="Times New Roman" w:eastAsia="Times New Roman" w:hAnsi="Times New Roman" w:cs="Times New Roman"/>
        </w:rPr>
        <w:t xml:space="preserve">’. </w:t>
      </w:r>
      <w:proofErr w:type="gramStart"/>
      <w:r w:rsidR="00C01EE2">
        <w:rPr>
          <w:rFonts w:ascii="Times New Roman" w:eastAsia="Times New Roman" w:hAnsi="Times New Roman" w:cs="Times New Roman"/>
        </w:rPr>
        <w:t>However</w:t>
      </w:r>
      <w:proofErr w:type="gramEnd"/>
      <w:r w:rsidR="00C01EE2">
        <w:rPr>
          <w:rFonts w:ascii="Times New Roman" w:eastAsia="Times New Roman" w:hAnsi="Times New Roman" w:cs="Times New Roman"/>
        </w:rPr>
        <w:t xml:space="preserve"> a</w:t>
      </w:r>
      <w:r w:rsidR="005D1294">
        <w:rPr>
          <w:rFonts w:ascii="Times New Roman" w:eastAsia="Times New Roman" w:hAnsi="Times New Roman" w:cs="Times New Roman"/>
        </w:rPr>
        <w:t xml:space="preserve"> </w:t>
      </w:r>
      <w:r w:rsidR="00E06E02">
        <w:rPr>
          <w:rFonts w:ascii="Times New Roman" w:eastAsia="Times New Roman" w:hAnsi="Times New Roman" w:cs="Times New Roman"/>
        </w:rPr>
        <w:t xml:space="preserve">court case </w:t>
      </w:r>
      <w:r w:rsidR="0094772A">
        <w:rPr>
          <w:rFonts w:ascii="Times New Roman" w:eastAsia="Times New Roman" w:hAnsi="Times New Roman" w:cs="Times New Roman"/>
        </w:rPr>
        <w:t xml:space="preserve">in 1921 </w:t>
      </w:r>
      <w:r w:rsidR="00E06E02">
        <w:rPr>
          <w:rFonts w:ascii="Times New Roman" w:eastAsia="Times New Roman" w:hAnsi="Times New Roman" w:cs="Times New Roman"/>
        </w:rPr>
        <w:t xml:space="preserve">against </w:t>
      </w:r>
      <w:r w:rsidR="0094772A">
        <w:rPr>
          <w:rFonts w:ascii="Times New Roman" w:eastAsia="Times New Roman" w:hAnsi="Times New Roman" w:cs="Times New Roman"/>
        </w:rPr>
        <w:t xml:space="preserve">Alfred Barrett, </w:t>
      </w:r>
      <w:r w:rsidR="00E06E02">
        <w:rPr>
          <w:rFonts w:ascii="Times New Roman" w:eastAsia="Times New Roman" w:hAnsi="Times New Roman" w:cs="Times New Roman"/>
        </w:rPr>
        <w:t xml:space="preserve">founder of </w:t>
      </w:r>
      <w:r w:rsidR="005D1294">
        <w:rPr>
          <w:rFonts w:ascii="Times New Roman" w:eastAsia="Times New Roman" w:hAnsi="Times New Roman" w:cs="Times New Roman"/>
        </w:rPr>
        <w:t>The Link</w:t>
      </w:r>
      <w:r w:rsidR="0094772A">
        <w:rPr>
          <w:rFonts w:ascii="Times New Roman" w:eastAsia="Times New Roman" w:hAnsi="Times New Roman" w:cs="Times New Roman"/>
        </w:rPr>
        <w:t xml:space="preserve"> </w:t>
      </w:r>
      <w:r w:rsidR="005D1294">
        <w:rPr>
          <w:rFonts w:ascii="Times New Roman" w:eastAsia="Times New Roman" w:hAnsi="Times New Roman" w:cs="Times New Roman"/>
        </w:rPr>
        <w:t xml:space="preserve">– </w:t>
      </w:r>
      <w:r w:rsidR="00E06E02">
        <w:rPr>
          <w:rFonts w:ascii="Times New Roman" w:eastAsia="Times New Roman" w:hAnsi="Times New Roman" w:cs="Times New Roman"/>
        </w:rPr>
        <w:t xml:space="preserve">which was </w:t>
      </w:r>
      <w:r w:rsidR="005D1294">
        <w:rPr>
          <w:rFonts w:ascii="Times New Roman" w:eastAsia="Times New Roman" w:hAnsi="Times New Roman" w:cs="Times New Roman"/>
        </w:rPr>
        <w:t>accused of facilitating the ‘white slavery</w:t>
      </w:r>
      <w:r w:rsidR="00E06E02">
        <w:rPr>
          <w:rFonts w:ascii="Times New Roman" w:eastAsia="Times New Roman" w:hAnsi="Times New Roman" w:cs="Times New Roman"/>
        </w:rPr>
        <w:t xml:space="preserve">’ trade, as well as a host of homosexual encounters – </w:t>
      </w:r>
      <w:r w:rsidR="007A68D8">
        <w:rPr>
          <w:rFonts w:ascii="Times New Roman" w:eastAsia="Times New Roman" w:hAnsi="Times New Roman" w:cs="Times New Roman"/>
        </w:rPr>
        <w:t>marked</w:t>
      </w:r>
      <w:r w:rsidR="00C01EE2">
        <w:rPr>
          <w:rFonts w:ascii="Times New Roman" w:eastAsia="Times New Roman" w:hAnsi="Times New Roman" w:cs="Times New Roman"/>
        </w:rPr>
        <w:t xml:space="preserve"> </w:t>
      </w:r>
      <w:r w:rsidR="007A68D8">
        <w:rPr>
          <w:rFonts w:ascii="Times New Roman" w:eastAsia="Times New Roman" w:hAnsi="Times New Roman" w:cs="Times New Roman"/>
        </w:rPr>
        <w:t>the end</w:t>
      </w:r>
      <w:r w:rsidR="00741F6F">
        <w:rPr>
          <w:rFonts w:ascii="Times New Roman" w:eastAsia="Times New Roman" w:hAnsi="Times New Roman" w:cs="Times New Roman"/>
        </w:rPr>
        <w:t xml:space="preserve"> </w:t>
      </w:r>
      <w:r w:rsidR="007A68D8">
        <w:rPr>
          <w:rFonts w:ascii="Times New Roman" w:eastAsia="Times New Roman" w:hAnsi="Times New Roman" w:cs="Times New Roman"/>
        </w:rPr>
        <w:t xml:space="preserve">of a period of </w:t>
      </w:r>
      <w:r w:rsidR="00C01EE2">
        <w:rPr>
          <w:rFonts w:ascii="Times New Roman" w:eastAsia="Times New Roman" w:hAnsi="Times New Roman" w:cs="Times New Roman"/>
        </w:rPr>
        <w:t xml:space="preserve">busy </w:t>
      </w:r>
      <w:r w:rsidR="007A68D8">
        <w:rPr>
          <w:rFonts w:ascii="Times New Roman" w:eastAsia="Times New Roman" w:hAnsi="Times New Roman" w:cs="Times New Roman"/>
        </w:rPr>
        <w:t xml:space="preserve">possibility for </w:t>
      </w:r>
      <w:r w:rsidR="00C01EE2">
        <w:rPr>
          <w:rFonts w:ascii="Times New Roman" w:eastAsia="Times New Roman" w:hAnsi="Times New Roman" w:cs="Times New Roman"/>
        </w:rPr>
        <w:t xml:space="preserve">users of the </w:t>
      </w:r>
      <w:r w:rsidR="00E06E02">
        <w:rPr>
          <w:rFonts w:ascii="Times New Roman" w:eastAsia="Times New Roman" w:hAnsi="Times New Roman" w:cs="Times New Roman"/>
        </w:rPr>
        <w:t>personals press in Britain</w:t>
      </w:r>
      <w:r w:rsidR="00C01EE2">
        <w:rPr>
          <w:rFonts w:ascii="Times New Roman" w:eastAsia="Times New Roman" w:hAnsi="Times New Roman" w:cs="Times New Roman"/>
        </w:rPr>
        <w:t xml:space="preserve">. </w:t>
      </w:r>
    </w:p>
    <w:p w14:paraId="105ED67A" w14:textId="741B61B2" w:rsidR="00B07F3F" w:rsidRDefault="00B07F3F" w:rsidP="00D26B31">
      <w:pPr>
        <w:rPr>
          <w:rFonts w:ascii="Times New Roman" w:eastAsia="Times New Roman" w:hAnsi="Times New Roman" w:cs="Times New Roman"/>
        </w:rPr>
      </w:pPr>
      <w:r>
        <w:rPr>
          <w:rFonts w:ascii="Times New Roman" w:eastAsia="Times New Roman" w:hAnsi="Times New Roman" w:cs="Times New Roman"/>
        </w:rPr>
        <w:br/>
        <w:t xml:space="preserve">When </w:t>
      </w:r>
      <w:r w:rsidR="00741F6F">
        <w:rPr>
          <w:rFonts w:ascii="Times New Roman" w:eastAsia="Times New Roman" w:hAnsi="Times New Roman" w:cs="Times New Roman"/>
        </w:rPr>
        <w:t>the mediated matching industry</w:t>
      </w:r>
      <w:r>
        <w:rPr>
          <w:rFonts w:ascii="Times New Roman" w:eastAsia="Times New Roman" w:hAnsi="Times New Roman" w:cs="Times New Roman"/>
        </w:rPr>
        <w:t xml:space="preserve"> re-emerged in the 1970s, along with a fast-growing number of single people, there were new concerns associated with the single and lonely, and these too revolved</w:t>
      </w:r>
      <w:r w:rsidR="00741F6F">
        <w:rPr>
          <w:rFonts w:ascii="Times New Roman" w:eastAsia="Times New Roman" w:hAnsi="Times New Roman" w:cs="Times New Roman"/>
        </w:rPr>
        <w:t>, in part,</w:t>
      </w:r>
      <w:r>
        <w:rPr>
          <w:rFonts w:ascii="Times New Roman" w:eastAsia="Times New Roman" w:hAnsi="Times New Roman" w:cs="Times New Roman"/>
        </w:rPr>
        <w:t xml:space="preserve"> around touch. Except rather than </w:t>
      </w:r>
      <w:r w:rsidR="008A41D7">
        <w:rPr>
          <w:rFonts w:ascii="Times New Roman" w:eastAsia="Times New Roman" w:hAnsi="Times New Roman" w:cs="Times New Roman"/>
        </w:rPr>
        <w:t>concern about too much of the wrong kind of touch</w:t>
      </w:r>
      <w:r w:rsidR="00741F6F">
        <w:rPr>
          <w:rFonts w:ascii="Times New Roman" w:eastAsia="Times New Roman" w:hAnsi="Times New Roman" w:cs="Times New Roman"/>
        </w:rPr>
        <w:t xml:space="preserve"> (sexual touch with people you weren’t married to)</w:t>
      </w:r>
      <w:r w:rsidR="008A41D7">
        <w:rPr>
          <w:rFonts w:ascii="Times New Roman" w:eastAsia="Times New Roman" w:hAnsi="Times New Roman" w:cs="Times New Roman"/>
        </w:rPr>
        <w:t xml:space="preserve">, </w:t>
      </w:r>
      <w:r w:rsidR="006613DE">
        <w:rPr>
          <w:rFonts w:ascii="Times New Roman" w:eastAsia="Times New Roman" w:hAnsi="Times New Roman" w:cs="Times New Roman"/>
        </w:rPr>
        <w:t xml:space="preserve">evolving ideas about </w:t>
      </w:r>
      <w:r w:rsidR="006613DE">
        <w:rPr>
          <w:rFonts w:ascii="Times New Roman" w:eastAsia="Times New Roman" w:hAnsi="Times New Roman" w:cs="Times New Roman"/>
        </w:rPr>
        <w:lastRenderedPageBreak/>
        <w:t xml:space="preserve">selfhood, personal growth and sexuality </w:t>
      </w:r>
      <w:r w:rsidR="00BA5340">
        <w:rPr>
          <w:rFonts w:ascii="Times New Roman" w:eastAsia="Times New Roman" w:hAnsi="Times New Roman" w:cs="Times New Roman"/>
        </w:rPr>
        <w:t>heightened</w:t>
      </w:r>
      <w:r w:rsidR="003C5CCE">
        <w:rPr>
          <w:rFonts w:ascii="Times New Roman" w:eastAsia="Times New Roman" w:hAnsi="Times New Roman" w:cs="Times New Roman"/>
        </w:rPr>
        <w:t xml:space="preserve"> concern about what the effect of long-term </w:t>
      </w:r>
      <w:r w:rsidR="006613DE">
        <w:rPr>
          <w:rFonts w:ascii="Times New Roman" w:eastAsia="Times New Roman" w:hAnsi="Times New Roman" w:cs="Times New Roman"/>
        </w:rPr>
        <w:t xml:space="preserve">sexual </w:t>
      </w:r>
      <w:r w:rsidR="003C5CCE">
        <w:rPr>
          <w:rFonts w:ascii="Times New Roman" w:eastAsia="Times New Roman" w:hAnsi="Times New Roman" w:cs="Times New Roman"/>
        </w:rPr>
        <w:t xml:space="preserve">solitude – and being untouched </w:t>
      </w:r>
      <w:r w:rsidR="006613DE">
        <w:rPr>
          <w:rFonts w:ascii="Times New Roman" w:eastAsia="Times New Roman" w:hAnsi="Times New Roman" w:cs="Times New Roman"/>
        </w:rPr>
        <w:t xml:space="preserve">– could have on </w:t>
      </w:r>
      <w:r w:rsidR="00CE0240">
        <w:rPr>
          <w:rFonts w:ascii="Times New Roman" w:eastAsia="Times New Roman" w:hAnsi="Times New Roman" w:cs="Times New Roman"/>
        </w:rPr>
        <w:t>a single person.</w:t>
      </w:r>
      <w:r w:rsidR="00AD4A75">
        <w:rPr>
          <w:rStyle w:val="FootnoteReference"/>
          <w:rFonts w:ascii="Times New Roman" w:eastAsia="Times New Roman" w:hAnsi="Times New Roman" w:cs="Times New Roman"/>
        </w:rPr>
        <w:footnoteReference w:id="4"/>
      </w:r>
    </w:p>
    <w:p w14:paraId="07B689DE" w14:textId="00D3D136" w:rsidR="00CE0240" w:rsidRPr="00D4123B" w:rsidRDefault="00CE0240" w:rsidP="00D26B31">
      <w:pPr>
        <w:rPr>
          <w:rFonts w:ascii="Times" w:eastAsia="Times New Roman" w:hAnsi="Times" w:cs="Times New Roman"/>
        </w:rPr>
      </w:pPr>
    </w:p>
    <w:p w14:paraId="29354B12" w14:textId="21D237B8" w:rsidR="0066021C" w:rsidRPr="00D4123B" w:rsidRDefault="001D30BD" w:rsidP="00D26B31">
      <w:pPr>
        <w:rPr>
          <w:rFonts w:ascii="Times" w:hAnsi="Times"/>
        </w:rPr>
      </w:pPr>
      <w:r w:rsidRPr="00D4123B">
        <w:rPr>
          <w:rFonts w:ascii="Times" w:hAnsi="Times"/>
        </w:rPr>
        <w:t>T</w:t>
      </w:r>
      <w:r w:rsidRPr="00D4123B">
        <w:rPr>
          <w:rFonts w:ascii="Times" w:hAnsi="Times"/>
        </w:rPr>
        <w:t xml:space="preserve">he plight of the long untouched and apparently unloved tapped into psychological interest in personality types and the relationship between fixed traits and the environment. Sustained attention to young lonely singles came from Tony Lake, the in-house psychologist at </w:t>
      </w:r>
      <w:r w:rsidRPr="00D4123B">
        <w:rPr>
          <w:rFonts w:ascii="Times" w:hAnsi="Times"/>
          <w:i/>
        </w:rPr>
        <w:t>Singles</w:t>
      </w:r>
      <w:r w:rsidRPr="00D4123B">
        <w:rPr>
          <w:rFonts w:ascii="Times" w:hAnsi="Times"/>
        </w:rPr>
        <w:t xml:space="preserve"> magazine, who, shortly after the magazine’s launch in 1977, ran a five-part study of loneliness</w:t>
      </w:r>
      <w:r w:rsidR="001E39CD" w:rsidRPr="00D4123B">
        <w:rPr>
          <w:rFonts w:ascii="Times" w:hAnsi="Times"/>
        </w:rPr>
        <w:t xml:space="preserve"> based on the experiences of 1200 single people</w:t>
      </w:r>
      <w:r w:rsidRPr="00D4123B">
        <w:rPr>
          <w:rFonts w:ascii="Times" w:hAnsi="Times"/>
        </w:rPr>
        <w:t xml:space="preserve">. </w:t>
      </w:r>
    </w:p>
    <w:p w14:paraId="25719ACB" w14:textId="4BE16BDB" w:rsidR="008D52C6" w:rsidRDefault="009E7FD3" w:rsidP="008D52C6">
      <w:pPr>
        <w:pStyle w:val="NormalWeb"/>
        <w:rPr>
          <w:rFonts w:ascii="TimesNewRomanPSMT" w:hAnsi="TimesNewRomanPSMT" w:cs="TimesNewRomanPSMT"/>
        </w:rPr>
      </w:pPr>
      <w:r>
        <w:t xml:space="preserve">Lake </w:t>
      </w:r>
      <w:r w:rsidR="008D52C6">
        <w:t>introduced the series by stating that</w:t>
      </w:r>
      <w:r w:rsidR="008D52C6">
        <w:rPr>
          <w:rFonts w:ascii="TimesNewRomanPSMT" w:hAnsi="TimesNewRomanPSMT" w:cs="TimesNewRomanPSMT"/>
        </w:rPr>
        <w:t xml:space="preserve"> ‘Loneliness, in its extreme form is a killer. The feeling that nobody cares whether you live or die, whether you scream or stay silent...can [drain from your body] every last drop of the will to live’</w:t>
      </w:r>
      <w:r w:rsidR="001E39CD">
        <w:rPr>
          <w:rFonts w:ascii="TimesNewRomanPSMT" w:hAnsi="TimesNewRomanPSMT" w:cs="TimesNewRomanPSMT"/>
        </w:rPr>
        <w:t>.</w:t>
      </w:r>
      <w:r w:rsidR="00D4123B">
        <w:rPr>
          <w:rStyle w:val="FootnoteReference"/>
          <w:rFonts w:ascii="TimesNewRomanPSMT" w:hAnsi="TimesNewRomanPSMT" w:cs="TimesNewRomanPSMT"/>
        </w:rPr>
        <w:footnoteReference w:id="5"/>
      </w:r>
      <w:r w:rsidR="001E39CD">
        <w:rPr>
          <w:rFonts w:ascii="TimesNewRomanPSMT" w:hAnsi="TimesNewRomanPSMT" w:cs="TimesNewRomanPSMT"/>
        </w:rPr>
        <w:t xml:space="preserve"> </w:t>
      </w:r>
      <w:r w:rsidR="008D52C6">
        <w:rPr>
          <w:rFonts w:ascii="TimesNewRomanPSMT" w:hAnsi="TimesNewRomanPSMT" w:cs="TimesNewRomanPSMT"/>
        </w:rPr>
        <w:t xml:space="preserve">According to Lake, victims are able to refrain from suicide only by ‘the total lack of feeling…They slump into apathy, sometimes so severe as to resemble a schizophrenic state of withdrawal and detachment’. </w:t>
      </w:r>
    </w:p>
    <w:p w14:paraId="124C18F1" w14:textId="36CC7222" w:rsidR="008D52C6" w:rsidRDefault="008D52C6" w:rsidP="008D52C6">
      <w:pPr>
        <w:pStyle w:val="NormalWeb"/>
      </w:pPr>
      <w:r>
        <w:t>Lake insisted that loneliness left an indelible mark on the bodies and bearings of the worst cases</w:t>
      </w:r>
      <w:r w:rsidR="009E7FD3">
        <w:t xml:space="preserve">. One man, </w:t>
      </w:r>
      <w:r w:rsidR="009E7FD3">
        <w:t>Bernard, particularly exemplified loneliness as a lethal hazard of romantic solitude</w:t>
      </w:r>
      <w:r w:rsidR="009E7FD3">
        <w:t>: he was the quintessentially untouched man – starved of sensual attention</w:t>
      </w:r>
      <w:r w:rsidR="009E7FD3">
        <w:t>. He</w:t>
      </w:r>
      <w:r>
        <w:t xml:space="preserve"> had been trying unsuccessfully to meet someone through computer dating. ‘</w:t>
      </w:r>
      <w:r>
        <w:rPr>
          <w:rFonts w:ascii="TimesNewRomanPSMT" w:hAnsi="TimesNewRomanPSMT" w:cs="TimesNewRomanPSMT"/>
        </w:rPr>
        <w:t xml:space="preserve">One only has to look at Bernard to see the disturbed nature of his body movements during communication to </w:t>
      </w:r>
      <w:proofErr w:type="spellStart"/>
      <w:r>
        <w:rPr>
          <w:rFonts w:ascii="TimesNewRomanPSMT" w:hAnsi="TimesNewRomanPSMT" w:cs="TimesNewRomanPSMT"/>
        </w:rPr>
        <w:t>realise</w:t>
      </w:r>
      <w:proofErr w:type="spellEnd"/>
      <w:r>
        <w:rPr>
          <w:rFonts w:ascii="TimesNewRomanPSMT" w:hAnsi="TimesNewRomanPSMT" w:cs="TimesNewRomanPSMT"/>
        </w:rPr>
        <w:t xml:space="preserve"> how deeply damaged he has been by [past] experiences. He takes no pride in his face’. </w:t>
      </w:r>
    </w:p>
    <w:p w14:paraId="0C659C10" w14:textId="332629B9" w:rsidR="008D52C6" w:rsidRDefault="008D52C6" w:rsidP="008D52C6">
      <w:pPr>
        <w:pStyle w:val="NormalWeb"/>
        <w:rPr>
          <w:rFonts w:ascii="TimesNewRomanPSMT" w:hAnsi="TimesNewRomanPSMT" w:cs="TimesNewRomanPSMT"/>
        </w:rPr>
      </w:pPr>
      <w:r>
        <w:rPr>
          <w:rFonts w:ascii="TimesNewRomanPSMT" w:hAnsi="TimesNewRomanPSMT" w:cs="TimesNewRomanPSMT"/>
        </w:rPr>
        <w:t>Lake was clear that chronic long-term romantic deprivation was worse than mere loneliness – readable in the features, which, in Bernard’s case, showed someone who had ‘never been loved… who wants to get married, but seems to be an entirely sexless person’.  Lake espoused a theory of disuse: the cumulative effect of being unloved</w:t>
      </w:r>
      <w:r w:rsidR="001504C1">
        <w:rPr>
          <w:rFonts w:ascii="TimesNewRomanPSMT" w:hAnsi="TimesNewRomanPSMT" w:cs="TimesNewRomanPSMT"/>
        </w:rPr>
        <w:t> – and untouched –</w:t>
      </w:r>
      <w:r>
        <w:rPr>
          <w:rFonts w:ascii="TimesNewRomanPSMT" w:hAnsi="TimesNewRomanPSMT" w:cs="TimesNewRomanPSMT"/>
        </w:rPr>
        <w:t xml:space="preserve"> was an ever-decreasing likelihood of being loved</w:t>
      </w:r>
      <w:r w:rsidR="00526C96">
        <w:rPr>
          <w:rFonts w:ascii="TimesNewRomanPSMT" w:hAnsi="TimesNewRomanPSMT" w:cs="TimesNewRomanPSMT"/>
        </w:rPr>
        <w:t>, or touched,</w:t>
      </w:r>
      <w:r>
        <w:rPr>
          <w:rFonts w:ascii="TimesNewRomanPSMT" w:hAnsi="TimesNewRomanPSMT" w:cs="TimesNewRomanPSMT"/>
        </w:rPr>
        <w:t xml:space="preserve"> in the future.  ‘In the chronic cases sexuality can become so badly damaged by ill-use or lack of use that it is permanently destroyed, and the person has no will left to live socially’, he maintained.</w:t>
      </w:r>
      <w:r>
        <w:rPr>
          <w:rStyle w:val="FootnoteReference"/>
          <w:rFonts w:ascii="TimesNewRomanPSMT" w:hAnsi="TimesNewRomanPSMT" w:cs="TimesNewRomanPSMT"/>
        </w:rPr>
        <w:footnoteReference w:id="6"/>
      </w:r>
    </w:p>
    <w:p w14:paraId="1A00185F" w14:textId="51D65FC5" w:rsidR="00C01522" w:rsidRDefault="00FF0454" w:rsidP="008D52C6">
      <w:pPr>
        <w:pStyle w:val="NormalWeb"/>
        <w:rPr>
          <w:rFonts w:ascii="TimesNewRomanPSMT" w:hAnsi="TimesNewRomanPSMT" w:cs="TimesNewRomanPSMT"/>
        </w:rPr>
      </w:pPr>
      <w:r>
        <w:rPr>
          <w:rFonts w:ascii="TimesNewRomanPSMT" w:hAnsi="TimesNewRomanPSMT" w:cs="TimesNewRomanPSMT"/>
        </w:rPr>
        <w:t xml:space="preserve">Loneliness continues to be seen as an epidemic, with worries about the fate of single people heightened by the </w:t>
      </w:r>
      <w:r w:rsidR="00526C96">
        <w:rPr>
          <w:rFonts w:ascii="TimesNewRomanPSMT" w:hAnsi="TimesNewRomanPSMT" w:cs="TimesNewRomanPSMT"/>
        </w:rPr>
        <w:t xml:space="preserve">Covid-19 </w:t>
      </w:r>
      <w:r>
        <w:rPr>
          <w:rFonts w:ascii="TimesNewRomanPSMT" w:hAnsi="TimesNewRomanPSMT" w:cs="TimesNewRomanPSMT"/>
        </w:rPr>
        <w:t>pandemic. If in the post-</w:t>
      </w:r>
      <w:r w:rsidRPr="00526C96">
        <w:rPr>
          <w:rFonts w:ascii="TimesNewRomanPSMT" w:hAnsi="TimesNewRomanPSMT" w:cs="TimesNewRomanPSMT"/>
          <w:i/>
        </w:rPr>
        <w:t>Joy of Sex</w:t>
      </w:r>
      <w:r>
        <w:rPr>
          <w:rFonts w:ascii="TimesNewRomanPSMT" w:hAnsi="TimesNewRomanPSMT" w:cs="TimesNewRomanPSMT"/>
        </w:rPr>
        <w:t xml:space="preserve"> (1971) period there were concerns that lack of touch could kill, the pandemic </w:t>
      </w:r>
      <w:r w:rsidR="00526C96">
        <w:rPr>
          <w:rFonts w:ascii="TimesNewRomanPSMT" w:hAnsi="TimesNewRomanPSMT" w:cs="TimesNewRomanPSMT"/>
        </w:rPr>
        <w:t xml:space="preserve">has </w:t>
      </w:r>
      <w:r>
        <w:rPr>
          <w:rFonts w:ascii="TimesNewRomanPSMT" w:hAnsi="TimesNewRomanPSMT" w:cs="TimesNewRomanPSMT"/>
        </w:rPr>
        <w:t xml:space="preserve">showed that it </w:t>
      </w:r>
      <w:r w:rsidR="00526C96">
        <w:rPr>
          <w:rFonts w:ascii="TimesNewRomanPSMT" w:hAnsi="TimesNewRomanPSMT" w:cs="TimesNewRomanPSMT"/>
        </w:rPr>
        <w:t>is</w:t>
      </w:r>
      <w:r>
        <w:rPr>
          <w:rFonts w:ascii="TimesNewRomanPSMT" w:hAnsi="TimesNewRomanPSMT" w:cs="TimesNewRomanPSMT"/>
        </w:rPr>
        <w:t xml:space="preserve"> touch that </w:t>
      </w:r>
      <w:proofErr w:type="spellStart"/>
      <w:r>
        <w:rPr>
          <w:rFonts w:ascii="TimesNewRomanPSMT" w:hAnsi="TimesNewRomanPSMT" w:cs="TimesNewRomanPSMT"/>
        </w:rPr>
        <w:t>c</w:t>
      </w:r>
      <w:r w:rsidR="00526C96">
        <w:rPr>
          <w:rFonts w:ascii="TimesNewRomanPSMT" w:hAnsi="TimesNewRomanPSMT" w:cs="TimesNewRomanPSMT"/>
        </w:rPr>
        <w:t>an</w:t>
      </w:r>
      <w:proofErr w:type="spellEnd"/>
      <w:r>
        <w:rPr>
          <w:rFonts w:ascii="TimesNewRomanPSMT" w:hAnsi="TimesNewRomanPSMT" w:cs="TimesNewRomanPSMT"/>
        </w:rPr>
        <w:t xml:space="preserve"> kill. </w:t>
      </w:r>
      <w:r w:rsidR="00526C96">
        <w:rPr>
          <w:rFonts w:ascii="TimesNewRomanPSMT" w:hAnsi="TimesNewRomanPSMT" w:cs="TimesNewRomanPSMT"/>
        </w:rPr>
        <w:t>However, in</w:t>
      </w:r>
      <w:bookmarkStart w:id="0" w:name="_GoBack"/>
      <w:bookmarkEnd w:id="0"/>
      <w:r>
        <w:rPr>
          <w:rFonts w:ascii="TimesNewRomanPSMT" w:hAnsi="TimesNewRomanPSMT" w:cs="TimesNewRomanPSMT"/>
        </w:rPr>
        <w:t xml:space="preserve"> an age of </w:t>
      </w:r>
      <w:proofErr w:type="spellStart"/>
      <w:r>
        <w:rPr>
          <w:rFonts w:ascii="TimesNewRomanPSMT" w:hAnsi="TimesNewRomanPSMT" w:cs="TimesNewRomanPSMT"/>
        </w:rPr>
        <w:t>Zoomification</w:t>
      </w:r>
      <w:proofErr w:type="spellEnd"/>
      <w:r>
        <w:rPr>
          <w:rFonts w:ascii="TimesNewRomanPSMT" w:hAnsi="TimesNewRomanPSMT" w:cs="TimesNewRomanPSMT"/>
        </w:rPr>
        <w:t>, the tension between</w:t>
      </w:r>
      <w:r w:rsidR="00CC6DB9">
        <w:rPr>
          <w:rFonts w:ascii="TimesNewRomanPSMT" w:hAnsi="TimesNewRomanPSMT" w:cs="TimesNewRomanPSMT"/>
        </w:rPr>
        <w:t xml:space="preserve"> potential</w:t>
      </w:r>
      <w:r>
        <w:rPr>
          <w:rFonts w:ascii="TimesNewRomanPSMT" w:hAnsi="TimesNewRomanPSMT" w:cs="TimesNewRomanPSMT"/>
        </w:rPr>
        <w:t xml:space="preserve"> illness caused by the contagion of touch, </w:t>
      </w:r>
      <w:r w:rsidR="00CC6DB9">
        <w:rPr>
          <w:rFonts w:ascii="TimesNewRomanPSMT" w:hAnsi="TimesNewRomanPSMT" w:cs="TimesNewRomanPSMT"/>
        </w:rPr>
        <w:t>and that caused by</w:t>
      </w:r>
      <w:r>
        <w:rPr>
          <w:rFonts w:ascii="TimesNewRomanPSMT" w:hAnsi="TimesNewRomanPSMT" w:cs="TimesNewRomanPSMT"/>
        </w:rPr>
        <w:t xml:space="preserve"> loneliness, </w:t>
      </w:r>
      <w:r w:rsidR="00CC6DB9">
        <w:rPr>
          <w:rFonts w:ascii="TimesNewRomanPSMT" w:hAnsi="TimesNewRomanPSMT" w:cs="TimesNewRomanPSMT"/>
        </w:rPr>
        <w:t xml:space="preserve">will demand ongoing attention.  </w:t>
      </w:r>
    </w:p>
    <w:p w14:paraId="33B7F90C" w14:textId="33DA0BC4" w:rsidR="00A475FF" w:rsidRDefault="00A475FF" w:rsidP="008D52C6">
      <w:pPr>
        <w:pStyle w:val="NormalWeb"/>
      </w:pPr>
    </w:p>
    <w:p w14:paraId="4F021FD7" w14:textId="77777777" w:rsidR="00A475FF" w:rsidRDefault="00A475FF" w:rsidP="008D52C6">
      <w:pPr>
        <w:pStyle w:val="NormalWeb"/>
      </w:pPr>
    </w:p>
    <w:p w14:paraId="64D1B027" w14:textId="1908380F" w:rsidR="0066021C" w:rsidRDefault="0066021C" w:rsidP="00D26B31">
      <w:pPr>
        <w:rPr>
          <w:rFonts w:ascii="Times New Roman" w:eastAsia="Times New Roman" w:hAnsi="Times New Roman" w:cs="Times New Roman"/>
        </w:rPr>
      </w:pPr>
    </w:p>
    <w:p w14:paraId="3A7A9AEC" w14:textId="77777777" w:rsidR="005E155F" w:rsidRPr="00D26B31" w:rsidRDefault="005E155F" w:rsidP="00D26B31">
      <w:pPr>
        <w:rPr>
          <w:rFonts w:ascii="Times New Roman" w:eastAsia="Times New Roman" w:hAnsi="Times New Roman" w:cs="Times New Roman"/>
        </w:rPr>
      </w:pPr>
    </w:p>
    <w:p w14:paraId="71C303AB" w14:textId="5F05770B" w:rsidR="00770DA0" w:rsidRPr="00BF0759" w:rsidRDefault="00770DA0">
      <w:pPr>
        <w:rPr>
          <w:rFonts w:ascii="Times" w:hAnsi="Times"/>
          <w:lang w:val="en-GB"/>
        </w:rPr>
      </w:pPr>
    </w:p>
    <w:sectPr w:rsidR="00770DA0" w:rsidRPr="00BF0759" w:rsidSect="00E60F2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EDA36C8" w14:textId="77777777" w:rsidR="0010333B" w:rsidRDefault="0010333B" w:rsidP="008D52C6">
      <w:r>
        <w:separator/>
      </w:r>
    </w:p>
  </w:endnote>
  <w:endnote w:type="continuationSeparator" w:id="0">
    <w:p w14:paraId="225186B5" w14:textId="77777777" w:rsidR="0010333B" w:rsidRDefault="0010333B" w:rsidP="008D52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Times">
    <w:panose1 w:val="00000500000000020000"/>
    <w:charset w:val="00"/>
    <w:family w:val="auto"/>
    <w:pitch w:val="variable"/>
    <w:sig w:usb0="E00002FF" w:usb1="5000205A" w:usb2="00000000" w:usb3="00000000" w:csb0="0000019F" w:csb1="00000000"/>
  </w:font>
  <w:font w:name="TimesNewRomanPSMT">
    <w:altName w:val="Times New Roman"/>
    <w:panose1 w:val="02020603050405020304"/>
    <w:charset w:val="00"/>
    <w:family w:val="roman"/>
    <w:pitch w:val="variable"/>
    <w:sig w:usb0="E0002AEF" w:usb1="C0007841" w:usb2="00000009" w:usb3="00000000" w:csb0="000001FF" w:csb1="00000000"/>
  </w:font>
  <w:font w:name="TimesNewRomanPS">
    <w:altName w:val="Times New Roman"/>
    <w:panose1 w:val="020B0604020202020204"/>
    <w:charset w:val="00"/>
    <w:family w:val="roman"/>
    <w:pitch w:val="default"/>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38EBAA" w14:textId="77777777" w:rsidR="0010333B" w:rsidRDefault="0010333B" w:rsidP="008D52C6">
      <w:r>
        <w:separator/>
      </w:r>
    </w:p>
  </w:footnote>
  <w:footnote w:type="continuationSeparator" w:id="0">
    <w:p w14:paraId="137B1855" w14:textId="77777777" w:rsidR="0010333B" w:rsidRDefault="0010333B" w:rsidP="008D52C6">
      <w:r>
        <w:continuationSeparator/>
      </w:r>
    </w:p>
  </w:footnote>
  <w:footnote w:id="1">
    <w:p w14:paraId="2FC78017" w14:textId="0A8D5452" w:rsidR="00CF4B40" w:rsidRPr="00CF4B40" w:rsidRDefault="00CF4B40" w:rsidP="00CF4B40">
      <w:pPr>
        <w:pStyle w:val="NormalWeb"/>
      </w:pPr>
      <w:r>
        <w:rPr>
          <w:rStyle w:val="FootnoteReference"/>
        </w:rPr>
        <w:footnoteRef/>
      </w:r>
      <w:r w:rsidRPr="00CF4B40">
        <w:rPr>
          <w:rFonts w:ascii="TimesNewRomanPSMT" w:hAnsi="TimesNewRomanPSMT" w:cs="TimesNewRomanPSMT"/>
          <w:sz w:val="20"/>
          <w:szCs w:val="20"/>
        </w:rPr>
        <w:t xml:space="preserve"> </w:t>
      </w:r>
      <w:r w:rsidR="005022D9">
        <w:rPr>
          <w:rFonts w:ascii="TimesNewRomanPSMT" w:hAnsi="TimesNewRomanPSMT" w:cs="TimesNewRomanPSMT"/>
          <w:sz w:val="20"/>
          <w:szCs w:val="20"/>
        </w:rPr>
        <w:t xml:space="preserve">Harry Cocks (2013), ‘The Cost of Marriage and the Matrimonial Agency in Late Victorian Britain, </w:t>
      </w:r>
      <w:r w:rsidR="005022D9">
        <w:rPr>
          <w:rFonts w:ascii="TimesNewRomanPS" w:hAnsi="TimesNewRomanPS"/>
          <w:i/>
          <w:iCs/>
          <w:sz w:val="20"/>
          <w:szCs w:val="20"/>
        </w:rPr>
        <w:t>Social History</w:t>
      </w:r>
      <w:r w:rsidR="005022D9">
        <w:rPr>
          <w:rFonts w:ascii="TimesNewRomanPSMT" w:hAnsi="TimesNewRomanPSMT" w:cs="TimesNewRomanPSMT"/>
          <w:sz w:val="20"/>
          <w:szCs w:val="20"/>
        </w:rPr>
        <w:t xml:space="preserve">, 38 (1), pp. 66-88 </w:t>
      </w:r>
    </w:p>
  </w:footnote>
  <w:footnote w:id="2">
    <w:p w14:paraId="6043CD0F" w14:textId="4DCDAE78" w:rsidR="00CF4B40" w:rsidRPr="00CF4B40" w:rsidRDefault="00CF4B40">
      <w:pPr>
        <w:pStyle w:val="FootnoteText"/>
        <w:rPr>
          <w:lang w:val="en-GB"/>
        </w:rPr>
      </w:pPr>
      <w:r>
        <w:rPr>
          <w:rStyle w:val="FootnoteReference"/>
        </w:rPr>
        <w:footnoteRef/>
      </w:r>
      <w:r w:rsidRPr="00CF4B40">
        <w:rPr>
          <w:rFonts w:ascii="TimesNewRomanPSMT" w:hAnsi="TimesNewRomanPSMT" w:cs="TimesNewRomanPSMT"/>
        </w:rPr>
        <w:t xml:space="preserve">Harry Cocks (2004), ‘Peril in the Personals: The Dangers and Pleasures of Classified Advertising in Early Twentieth-Century Britain’, </w:t>
      </w:r>
      <w:r w:rsidRPr="00CF4B40">
        <w:rPr>
          <w:rFonts w:ascii="TimesNewRomanPS" w:hAnsi="TimesNewRomanPS"/>
          <w:i/>
          <w:iCs/>
        </w:rPr>
        <w:t>Media History</w:t>
      </w:r>
      <w:r w:rsidRPr="00CF4B40">
        <w:rPr>
          <w:rFonts w:ascii="TimesNewRomanPSMT" w:hAnsi="TimesNewRomanPSMT" w:cs="TimesNewRomanPSMT"/>
        </w:rPr>
        <w:t>, 10 (1), pp. 3-16</w:t>
      </w:r>
      <w:r>
        <w:rPr>
          <w:rFonts w:ascii="TimesNewRomanPSMT" w:hAnsi="TimesNewRomanPSMT" w:cs="TimesNewRomanPSMT"/>
        </w:rPr>
        <w:t xml:space="preserve">. </w:t>
      </w:r>
      <w:r>
        <w:rPr>
          <w:rFonts w:ascii="Times" w:hAnsi="Times"/>
          <w:lang w:val="en-GB"/>
        </w:rPr>
        <w:t>Solitudes, Past and Present, QMUL</w:t>
      </w:r>
      <w:r>
        <w:rPr>
          <w:rFonts w:ascii="Times" w:hAnsi="Times"/>
          <w:lang w:val="en-GB"/>
        </w:rPr>
        <w:t xml:space="preserve">, </w:t>
      </w:r>
    </w:p>
  </w:footnote>
  <w:footnote w:id="3">
    <w:p w14:paraId="662964D0" w14:textId="731C079E" w:rsidR="0094772A" w:rsidRPr="0094772A" w:rsidRDefault="0094772A">
      <w:pPr>
        <w:pStyle w:val="FootnoteText"/>
        <w:rPr>
          <w:lang w:val="en-GB"/>
        </w:rPr>
      </w:pPr>
      <w:r>
        <w:rPr>
          <w:rStyle w:val="FootnoteReference"/>
        </w:rPr>
        <w:footnoteRef/>
      </w:r>
      <w:r>
        <w:t xml:space="preserve">Ibid., </w:t>
      </w:r>
      <w:r>
        <w:t>p</w:t>
      </w:r>
      <w:r>
        <w:t>p</w:t>
      </w:r>
      <w:r>
        <w:t>. 3 and 4</w:t>
      </w:r>
      <w:r>
        <w:t>.</w:t>
      </w:r>
    </w:p>
  </w:footnote>
  <w:footnote w:id="4">
    <w:p w14:paraId="22A088AC" w14:textId="2684D660" w:rsidR="00AD4A75" w:rsidRPr="00D4123B" w:rsidRDefault="00AD4A75" w:rsidP="00D4123B">
      <w:pPr>
        <w:pStyle w:val="NormalWeb"/>
        <w:rPr>
          <w:rFonts w:ascii="Times" w:hAnsi="Times"/>
          <w:sz w:val="20"/>
          <w:szCs w:val="20"/>
        </w:rPr>
      </w:pPr>
      <w:r w:rsidRPr="00841D3B">
        <w:rPr>
          <w:rStyle w:val="FootnoteReference"/>
          <w:rFonts w:ascii="Times" w:hAnsi="Times"/>
        </w:rPr>
        <w:footnoteRef/>
      </w:r>
      <w:r w:rsidRPr="00841D3B">
        <w:rPr>
          <w:rFonts w:ascii="Times" w:hAnsi="Times"/>
          <w:sz w:val="20"/>
          <w:szCs w:val="20"/>
          <w:lang w:val="en-GB"/>
        </w:rPr>
        <w:t xml:space="preserve">Concern about the pressure to have sexual contact, and the feelings of failure and desperation that could result </w:t>
      </w:r>
      <w:r w:rsidR="0005679C" w:rsidRPr="00841D3B">
        <w:rPr>
          <w:rFonts w:ascii="Times" w:hAnsi="Times"/>
          <w:sz w:val="20"/>
          <w:szCs w:val="20"/>
          <w:lang w:val="en-GB"/>
        </w:rPr>
        <w:t xml:space="preserve">in its long-term absence, were remarked upon in the 1970s by agony aunts. E.g. </w:t>
      </w:r>
      <w:proofErr w:type="spellStart"/>
      <w:r w:rsidR="0005679C" w:rsidRPr="00841D3B">
        <w:rPr>
          <w:rFonts w:ascii="Times" w:hAnsi="Times" w:cs="TimesNewRomanPSMT"/>
          <w:sz w:val="20"/>
          <w:szCs w:val="20"/>
        </w:rPr>
        <w:t>Marje</w:t>
      </w:r>
      <w:proofErr w:type="spellEnd"/>
      <w:r w:rsidR="0005679C" w:rsidRPr="00841D3B">
        <w:rPr>
          <w:rFonts w:ascii="Times" w:hAnsi="Times" w:cs="TimesNewRomanPSMT"/>
          <w:sz w:val="20"/>
          <w:szCs w:val="20"/>
        </w:rPr>
        <w:t xml:space="preserve"> </w:t>
      </w:r>
      <w:proofErr w:type="spellStart"/>
      <w:r w:rsidR="0005679C" w:rsidRPr="00841D3B">
        <w:rPr>
          <w:rFonts w:ascii="Times" w:hAnsi="Times" w:cs="TimesNewRomanPSMT"/>
          <w:sz w:val="20"/>
          <w:szCs w:val="20"/>
        </w:rPr>
        <w:t>Proops</w:t>
      </w:r>
      <w:proofErr w:type="spellEnd"/>
      <w:r w:rsidR="0005679C" w:rsidRPr="00841D3B">
        <w:rPr>
          <w:rFonts w:ascii="Times" w:hAnsi="Times" w:cs="TimesNewRomanPSMT"/>
          <w:sz w:val="20"/>
          <w:szCs w:val="20"/>
        </w:rPr>
        <w:t xml:space="preserve">, </w:t>
      </w:r>
      <w:r w:rsidR="0005679C" w:rsidRPr="00841D3B">
        <w:rPr>
          <w:rFonts w:ascii="Times" w:hAnsi="Times"/>
          <w:i/>
          <w:iCs/>
          <w:sz w:val="20"/>
          <w:szCs w:val="20"/>
        </w:rPr>
        <w:t xml:space="preserve">Dear </w:t>
      </w:r>
      <w:proofErr w:type="spellStart"/>
      <w:r w:rsidR="0005679C" w:rsidRPr="00841D3B">
        <w:rPr>
          <w:rFonts w:ascii="Times" w:hAnsi="Times"/>
          <w:i/>
          <w:iCs/>
          <w:sz w:val="20"/>
          <w:szCs w:val="20"/>
        </w:rPr>
        <w:t>Marje</w:t>
      </w:r>
      <w:proofErr w:type="spellEnd"/>
      <w:r w:rsidR="0005679C" w:rsidRPr="00841D3B">
        <w:rPr>
          <w:rFonts w:ascii="Times" w:hAnsi="Times"/>
          <w:i/>
          <w:iCs/>
          <w:sz w:val="20"/>
          <w:szCs w:val="20"/>
        </w:rPr>
        <w:t xml:space="preserve"> </w:t>
      </w:r>
      <w:r w:rsidR="0005679C" w:rsidRPr="00841D3B">
        <w:rPr>
          <w:rFonts w:ascii="Times" w:hAnsi="Times" w:cs="TimesNewRomanPSMT"/>
          <w:sz w:val="20"/>
          <w:szCs w:val="20"/>
        </w:rPr>
        <w:t xml:space="preserve">(London: Coronet, 1977), pp. 39 and 40. </w:t>
      </w:r>
    </w:p>
  </w:footnote>
  <w:footnote w:id="5">
    <w:p w14:paraId="21F3909E" w14:textId="6FF85FEC" w:rsidR="00D4123B" w:rsidRPr="00D4123B" w:rsidRDefault="00D4123B" w:rsidP="00D4123B">
      <w:pPr>
        <w:pStyle w:val="NormalWeb"/>
      </w:pPr>
      <w:r>
        <w:rPr>
          <w:rStyle w:val="FootnoteReference"/>
        </w:rPr>
        <w:footnoteRef/>
      </w:r>
      <w:r>
        <w:t xml:space="preserve"> </w:t>
      </w:r>
      <w:r>
        <w:rPr>
          <w:rFonts w:ascii="TimesNewRomanPS" w:hAnsi="TimesNewRomanPS"/>
          <w:i/>
          <w:iCs/>
          <w:sz w:val="20"/>
          <w:szCs w:val="20"/>
        </w:rPr>
        <w:t xml:space="preserve">Singles, </w:t>
      </w:r>
      <w:r>
        <w:rPr>
          <w:rFonts w:ascii="TimesNewRomanPSMT" w:hAnsi="TimesNewRomanPSMT" w:cs="TimesNewRomanPSMT"/>
          <w:sz w:val="20"/>
          <w:szCs w:val="20"/>
        </w:rPr>
        <w:t>1 (May 1977), p. 15.</w:t>
      </w:r>
    </w:p>
  </w:footnote>
  <w:footnote w:id="6">
    <w:p w14:paraId="71B2F43D" w14:textId="7F528415" w:rsidR="008D52C6" w:rsidRDefault="008D52C6" w:rsidP="008D52C6">
      <w:pPr>
        <w:pStyle w:val="NormalWeb"/>
      </w:pPr>
      <w:r>
        <w:rPr>
          <w:rStyle w:val="FootnoteReference"/>
        </w:rPr>
        <w:footnoteRef/>
      </w:r>
      <w:r>
        <w:rPr>
          <w:rFonts w:ascii="TimesNewRomanPSMT" w:hAnsi="TimesNewRomanPSMT" w:cs="TimesNewRomanPSMT"/>
          <w:sz w:val="20"/>
          <w:szCs w:val="20"/>
        </w:rPr>
        <w:t>I</w:t>
      </w:r>
      <w:r w:rsidR="00D4123B">
        <w:rPr>
          <w:rFonts w:ascii="TimesNewRomanPSMT" w:hAnsi="TimesNewRomanPSMT" w:cs="TimesNewRomanPSMT"/>
          <w:sz w:val="20"/>
          <w:szCs w:val="20"/>
        </w:rPr>
        <w:t>bi</w:t>
      </w:r>
      <w:r>
        <w:rPr>
          <w:rFonts w:ascii="TimesNewRomanPSMT" w:hAnsi="TimesNewRomanPSMT" w:cs="TimesNewRomanPSMT"/>
          <w:sz w:val="20"/>
          <w:szCs w:val="20"/>
        </w:rPr>
        <w:t>d., p. 23.</w:t>
      </w:r>
    </w:p>
    <w:p w14:paraId="7950AE22" w14:textId="77777777" w:rsidR="008D52C6" w:rsidRPr="00CB52AF" w:rsidRDefault="008D52C6" w:rsidP="008D52C6">
      <w:pPr>
        <w:pStyle w:val="FootnoteText"/>
        <w:rPr>
          <w:lang w:val="en-GB"/>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0759"/>
    <w:rsid w:val="000461E6"/>
    <w:rsid w:val="0005324F"/>
    <w:rsid w:val="0005679C"/>
    <w:rsid w:val="00067070"/>
    <w:rsid w:val="000925A6"/>
    <w:rsid w:val="000A208B"/>
    <w:rsid w:val="0010333B"/>
    <w:rsid w:val="001504C1"/>
    <w:rsid w:val="001D30BD"/>
    <w:rsid w:val="001E39CD"/>
    <w:rsid w:val="0022329C"/>
    <w:rsid w:val="0028464E"/>
    <w:rsid w:val="002E6DD6"/>
    <w:rsid w:val="003C5CCE"/>
    <w:rsid w:val="003E45D3"/>
    <w:rsid w:val="004026B2"/>
    <w:rsid w:val="004D1976"/>
    <w:rsid w:val="005022D9"/>
    <w:rsid w:val="00526C96"/>
    <w:rsid w:val="005D1294"/>
    <w:rsid w:val="005E155F"/>
    <w:rsid w:val="00626C51"/>
    <w:rsid w:val="0066021C"/>
    <w:rsid w:val="006613DE"/>
    <w:rsid w:val="006B4B64"/>
    <w:rsid w:val="00741F6F"/>
    <w:rsid w:val="00770DA0"/>
    <w:rsid w:val="007A68D8"/>
    <w:rsid w:val="007A72B4"/>
    <w:rsid w:val="007D2843"/>
    <w:rsid w:val="007E5356"/>
    <w:rsid w:val="00833D44"/>
    <w:rsid w:val="00841D3B"/>
    <w:rsid w:val="008A41D7"/>
    <w:rsid w:val="008D52C6"/>
    <w:rsid w:val="0094772A"/>
    <w:rsid w:val="0095549B"/>
    <w:rsid w:val="009E05CE"/>
    <w:rsid w:val="009E7FD3"/>
    <w:rsid w:val="00A475FF"/>
    <w:rsid w:val="00A54C8D"/>
    <w:rsid w:val="00A956A0"/>
    <w:rsid w:val="00AD4A75"/>
    <w:rsid w:val="00B07F3F"/>
    <w:rsid w:val="00BA5340"/>
    <w:rsid w:val="00BF0759"/>
    <w:rsid w:val="00C01522"/>
    <w:rsid w:val="00C01EE2"/>
    <w:rsid w:val="00CC6DB9"/>
    <w:rsid w:val="00CC7C21"/>
    <w:rsid w:val="00CE0240"/>
    <w:rsid w:val="00CF4B40"/>
    <w:rsid w:val="00D26B31"/>
    <w:rsid w:val="00D4123B"/>
    <w:rsid w:val="00DC1B1E"/>
    <w:rsid w:val="00E06E02"/>
    <w:rsid w:val="00E60F21"/>
    <w:rsid w:val="00EF7D43"/>
    <w:rsid w:val="00FE106A"/>
    <w:rsid w:val="00FF04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E8B3228"/>
  <w15:chartTrackingRefBased/>
  <w15:docId w15:val="{855472BA-2B71-8149-91FC-6A6E12B41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D52C6"/>
    <w:pPr>
      <w:spacing w:before="100" w:beforeAutospacing="1" w:after="100" w:afterAutospacing="1"/>
    </w:pPr>
    <w:rPr>
      <w:rFonts w:ascii="Times New Roman" w:eastAsia="Times New Roman" w:hAnsi="Times New Roman" w:cs="Times New Roman"/>
    </w:rPr>
  </w:style>
  <w:style w:type="paragraph" w:styleId="FootnoteText">
    <w:name w:val="footnote text"/>
    <w:basedOn w:val="Normal"/>
    <w:link w:val="FootnoteTextChar"/>
    <w:uiPriority w:val="99"/>
    <w:semiHidden/>
    <w:unhideWhenUsed/>
    <w:rsid w:val="008D52C6"/>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semiHidden/>
    <w:rsid w:val="008D52C6"/>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8D52C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6093323">
      <w:bodyDiv w:val="1"/>
      <w:marLeft w:val="0"/>
      <w:marRight w:val="0"/>
      <w:marTop w:val="0"/>
      <w:marBottom w:val="0"/>
      <w:divBdr>
        <w:top w:val="none" w:sz="0" w:space="0" w:color="auto"/>
        <w:left w:val="none" w:sz="0" w:space="0" w:color="auto"/>
        <w:bottom w:val="none" w:sz="0" w:space="0" w:color="auto"/>
        <w:right w:val="none" w:sz="0" w:space="0" w:color="auto"/>
      </w:divBdr>
      <w:divsChild>
        <w:div w:id="1850825604">
          <w:marLeft w:val="0"/>
          <w:marRight w:val="0"/>
          <w:marTop w:val="0"/>
          <w:marBottom w:val="0"/>
          <w:divBdr>
            <w:top w:val="none" w:sz="0" w:space="0" w:color="auto"/>
            <w:left w:val="none" w:sz="0" w:space="0" w:color="auto"/>
            <w:bottom w:val="none" w:sz="0" w:space="0" w:color="auto"/>
            <w:right w:val="none" w:sz="0" w:space="0" w:color="auto"/>
          </w:divBdr>
          <w:divsChild>
            <w:div w:id="2119521916">
              <w:marLeft w:val="0"/>
              <w:marRight w:val="0"/>
              <w:marTop w:val="0"/>
              <w:marBottom w:val="0"/>
              <w:divBdr>
                <w:top w:val="none" w:sz="0" w:space="0" w:color="auto"/>
                <w:left w:val="none" w:sz="0" w:space="0" w:color="auto"/>
                <w:bottom w:val="none" w:sz="0" w:space="0" w:color="auto"/>
                <w:right w:val="none" w:sz="0" w:space="0" w:color="auto"/>
              </w:divBdr>
              <w:divsChild>
                <w:div w:id="1661932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855993">
      <w:bodyDiv w:val="1"/>
      <w:marLeft w:val="0"/>
      <w:marRight w:val="0"/>
      <w:marTop w:val="0"/>
      <w:marBottom w:val="0"/>
      <w:divBdr>
        <w:top w:val="none" w:sz="0" w:space="0" w:color="auto"/>
        <w:left w:val="none" w:sz="0" w:space="0" w:color="auto"/>
        <w:bottom w:val="none" w:sz="0" w:space="0" w:color="auto"/>
        <w:right w:val="none" w:sz="0" w:space="0" w:color="auto"/>
      </w:divBdr>
      <w:divsChild>
        <w:div w:id="1270239729">
          <w:marLeft w:val="0"/>
          <w:marRight w:val="0"/>
          <w:marTop w:val="0"/>
          <w:marBottom w:val="0"/>
          <w:divBdr>
            <w:top w:val="none" w:sz="0" w:space="0" w:color="auto"/>
            <w:left w:val="none" w:sz="0" w:space="0" w:color="auto"/>
            <w:bottom w:val="none" w:sz="0" w:space="0" w:color="auto"/>
            <w:right w:val="none" w:sz="0" w:space="0" w:color="auto"/>
          </w:divBdr>
          <w:divsChild>
            <w:div w:id="127014935">
              <w:marLeft w:val="0"/>
              <w:marRight w:val="0"/>
              <w:marTop w:val="0"/>
              <w:marBottom w:val="0"/>
              <w:divBdr>
                <w:top w:val="none" w:sz="0" w:space="0" w:color="auto"/>
                <w:left w:val="none" w:sz="0" w:space="0" w:color="auto"/>
                <w:bottom w:val="none" w:sz="0" w:space="0" w:color="auto"/>
                <w:right w:val="none" w:sz="0" w:space="0" w:color="auto"/>
              </w:divBdr>
              <w:divsChild>
                <w:div w:id="667513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9644019">
      <w:bodyDiv w:val="1"/>
      <w:marLeft w:val="0"/>
      <w:marRight w:val="0"/>
      <w:marTop w:val="0"/>
      <w:marBottom w:val="0"/>
      <w:divBdr>
        <w:top w:val="none" w:sz="0" w:space="0" w:color="auto"/>
        <w:left w:val="none" w:sz="0" w:space="0" w:color="auto"/>
        <w:bottom w:val="none" w:sz="0" w:space="0" w:color="auto"/>
        <w:right w:val="none" w:sz="0" w:space="0" w:color="auto"/>
      </w:divBdr>
      <w:divsChild>
        <w:div w:id="1901867106">
          <w:marLeft w:val="0"/>
          <w:marRight w:val="0"/>
          <w:marTop w:val="0"/>
          <w:marBottom w:val="0"/>
          <w:divBdr>
            <w:top w:val="none" w:sz="0" w:space="0" w:color="auto"/>
            <w:left w:val="none" w:sz="0" w:space="0" w:color="auto"/>
            <w:bottom w:val="none" w:sz="0" w:space="0" w:color="auto"/>
            <w:right w:val="none" w:sz="0" w:space="0" w:color="auto"/>
          </w:divBdr>
          <w:divsChild>
            <w:div w:id="699671184">
              <w:marLeft w:val="0"/>
              <w:marRight w:val="0"/>
              <w:marTop w:val="0"/>
              <w:marBottom w:val="0"/>
              <w:divBdr>
                <w:top w:val="none" w:sz="0" w:space="0" w:color="auto"/>
                <w:left w:val="none" w:sz="0" w:space="0" w:color="auto"/>
                <w:bottom w:val="none" w:sz="0" w:space="0" w:color="auto"/>
                <w:right w:val="none" w:sz="0" w:space="0" w:color="auto"/>
              </w:divBdr>
              <w:divsChild>
                <w:div w:id="368145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8683196">
      <w:bodyDiv w:val="1"/>
      <w:marLeft w:val="0"/>
      <w:marRight w:val="0"/>
      <w:marTop w:val="0"/>
      <w:marBottom w:val="0"/>
      <w:divBdr>
        <w:top w:val="none" w:sz="0" w:space="0" w:color="auto"/>
        <w:left w:val="none" w:sz="0" w:space="0" w:color="auto"/>
        <w:bottom w:val="none" w:sz="0" w:space="0" w:color="auto"/>
        <w:right w:val="none" w:sz="0" w:space="0" w:color="auto"/>
      </w:divBdr>
    </w:div>
    <w:div w:id="1454637552">
      <w:bodyDiv w:val="1"/>
      <w:marLeft w:val="0"/>
      <w:marRight w:val="0"/>
      <w:marTop w:val="0"/>
      <w:marBottom w:val="0"/>
      <w:divBdr>
        <w:top w:val="none" w:sz="0" w:space="0" w:color="auto"/>
        <w:left w:val="none" w:sz="0" w:space="0" w:color="auto"/>
        <w:bottom w:val="none" w:sz="0" w:space="0" w:color="auto"/>
        <w:right w:val="none" w:sz="0" w:space="0" w:color="auto"/>
      </w:divBdr>
      <w:divsChild>
        <w:div w:id="1016006712">
          <w:marLeft w:val="0"/>
          <w:marRight w:val="0"/>
          <w:marTop w:val="0"/>
          <w:marBottom w:val="0"/>
          <w:divBdr>
            <w:top w:val="none" w:sz="0" w:space="0" w:color="auto"/>
            <w:left w:val="none" w:sz="0" w:space="0" w:color="auto"/>
            <w:bottom w:val="none" w:sz="0" w:space="0" w:color="auto"/>
            <w:right w:val="none" w:sz="0" w:space="0" w:color="auto"/>
          </w:divBdr>
          <w:divsChild>
            <w:div w:id="1660502099">
              <w:marLeft w:val="0"/>
              <w:marRight w:val="0"/>
              <w:marTop w:val="0"/>
              <w:marBottom w:val="0"/>
              <w:divBdr>
                <w:top w:val="none" w:sz="0" w:space="0" w:color="auto"/>
                <w:left w:val="none" w:sz="0" w:space="0" w:color="auto"/>
                <w:bottom w:val="none" w:sz="0" w:space="0" w:color="auto"/>
                <w:right w:val="none" w:sz="0" w:space="0" w:color="auto"/>
              </w:divBdr>
              <w:divsChild>
                <w:div w:id="166797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4700467">
      <w:bodyDiv w:val="1"/>
      <w:marLeft w:val="0"/>
      <w:marRight w:val="0"/>
      <w:marTop w:val="0"/>
      <w:marBottom w:val="0"/>
      <w:divBdr>
        <w:top w:val="none" w:sz="0" w:space="0" w:color="auto"/>
        <w:left w:val="none" w:sz="0" w:space="0" w:color="auto"/>
        <w:bottom w:val="none" w:sz="0" w:space="0" w:color="auto"/>
        <w:right w:val="none" w:sz="0" w:space="0" w:color="auto"/>
      </w:divBdr>
      <w:divsChild>
        <w:div w:id="1598250083">
          <w:marLeft w:val="0"/>
          <w:marRight w:val="0"/>
          <w:marTop w:val="0"/>
          <w:marBottom w:val="0"/>
          <w:divBdr>
            <w:top w:val="none" w:sz="0" w:space="0" w:color="auto"/>
            <w:left w:val="none" w:sz="0" w:space="0" w:color="auto"/>
            <w:bottom w:val="none" w:sz="0" w:space="0" w:color="auto"/>
            <w:right w:val="none" w:sz="0" w:space="0" w:color="auto"/>
          </w:divBdr>
          <w:divsChild>
            <w:div w:id="1333068252">
              <w:marLeft w:val="0"/>
              <w:marRight w:val="0"/>
              <w:marTop w:val="0"/>
              <w:marBottom w:val="0"/>
              <w:divBdr>
                <w:top w:val="none" w:sz="0" w:space="0" w:color="auto"/>
                <w:left w:val="none" w:sz="0" w:space="0" w:color="auto"/>
                <w:bottom w:val="none" w:sz="0" w:space="0" w:color="auto"/>
                <w:right w:val="none" w:sz="0" w:space="0" w:color="auto"/>
              </w:divBdr>
              <w:divsChild>
                <w:div w:id="1004742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0965966">
      <w:bodyDiv w:val="1"/>
      <w:marLeft w:val="0"/>
      <w:marRight w:val="0"/>
      <w:marTop w:val="0"/>
      <w:marBottom w:val="0"/>
      <w:divBdr>
        <w:top w:val="none" w:sz="0" w:space="0" w:color="auto"/>
        <w:left w:val="none" w:sz="0" w:space="0" w:color="auto"/>
        <w:bottom w:val="none" w:sz="0" w:space="0" w:color="auto"/>
        <w:right w:val="none" w:sz="0" w:space="0" w:color="auto"/>
      </w:divBdr>
      <w:divsChild>
        <w:div w:id="2008819924">
          <w:marLeft w:val="0"/>
          <w:marRight w:val="0"/>
          <w:marTop w:val="0"/>
          <w:marBottom w:val="0"/>
          <w:divBdr>
            <w:top w:val="none" w:sz="0" w:space="0" w:color="auto"/>
            <w:left w:val="none" w:sz="0" w:space="0" w:color="auto"/>
            <w:bottom w:val="none" w:sz="0" w:space="0" w:color="auto"/>
            <w:right w:val="none" w:sz="0" w:space="0" w:color="auto"/>
          </w:divBdr>
          <w:divsChild>
            <w:div w:id="1192694204">
              <w:marLeft w:val="0"/>
              <w:marRight w:val="0"/>
              <w:marTop w:val="0"/>
              <w:marBottom w:val="0"/>
              <w:divBdr>
                <w:top w:val="none" w:sz="0" w:space="0" w:color="auto"/>
                <w:left w:val="none" w:sz="0" w:space="0" w:color="auto"/>
                <w:bottom w:val="none" w:sz="0" w:space="0" w:color="auto"/>
                <w:right w:val="none" w:sz="0" w:space="0" w:color="auto"/>
              </w:divBdr>
              <w:divsChild>
                <w:div w:id="1121538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92</TotalTime>
  <Pages>3</Pages>
  <Words>819</Words>
  <Characters>4671</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Zoe Strimpel</dc:creator>
  <cp:keywords/>
  <dc:description/>
  <cp:lastModifiedBy>Zoe Strimpel</cp:lastModifiedBy>
  <cp:revision>2</cp:revision>
  <dcterms:created xsi:type="dcterms:W3CDTF">2021-05-15T14:34:00Z</dcterms:created>
  <dcterms:modified xsi:type="dcterms:W3CDTF">2021-05-15T17:04:00Z</dcterms:modified>
</cp:coreProperties>
</file>