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D5D" w:rsidRDefault="00891D5D" w:rsidP="00891D5D">
      <w:pPr>
        <w:spacing w:after="80" w:line="360" w:lineRule="atLeast"/>
      </w:pPr>
      <w:bookmarkStart w:id="0" w:name="_GoBack"/>
      <w:bookmarkEnd w:id="0"/>
      <w:r>
        <w:t>Michele C. Ferrari</w:t>
      </w:r>
      <w:r w:rsidR="0085057D">
        <w:t xml:space="preserve"> </w:t>
      </w:r>
      <w:r w:rsidR="00D755A3">
        <w:t>und</w:t>
      </w:r>
      <w:r w:rsidR="000B495B">
        <w:t xml:space="preserve"> </w:t>
      </w:r>
      <w:r>
        <w:t>Beat Kümin</w:t>
      </w:r>
    </w:p>
    <w:p w:rsidR="00891D5D" w:rsidRDefault="00237755" w:rsidP="00891D5D">
      <w:pPr>
        <w:spacing w:after="80" w:line="360" w:lineRule="atLeast"/>
        <w:rPr>
          <w:b/>
        </w:rPr>
      </w:pPr>
      <w:r>
        <w:rPr>
          <w:b/>
        </w:rPr>
        <w:t xml:space="preserve">Einführung – </w:t>
      </w:r>
      <w:r w:rsidR="00891D5D">
        <w:rPr>
          <w:b/>
        </w:rPr>
        <w:t>Pfarreien in der Vormoderne</w:t>
      </w:r>
    </w:p>
    <w:p w:rsidR="007856C1" w:rsidRDefault="007856C1" w:rsidP="002D2B25">
      <w:pPr>
        <w:spacing w:afterLines="80" w:after="192" w:line="360" w:lineRule="atLeast"/>
      </w:pPr>
    </w:p>
    <w:p w:rsidR="00101338" w:rsidRDefault="005B6666" w:rsidP="00585FD2">
      <w:pPr>
        <w:spacing w:after="160" w:line="380" w:lineRule="exact"/>
      </w:pPr>
      <w:r>
        <w:t xml:space="preserve">In einem </w:t>
      </w:r>
      <w:r w:rsidR="00093122">
        <w:t>Lied</w:t>
      </w:r>
      <w:r>
        <w:t>, das der Dichter Neidhart schuf</w:t>
      </w:r>
      <w:r w:rsidR="00EC6AC2">
        <w:t>,</w:t>
      </w:r>
      <w:r>
        <w:t xml:space="preserve"> </w:t>
      </w:r>
      <w:r w:rsidR="00093122">
        <w:t xml:space="preserve">stellt ein edler Ritter einem Mädchen nach, das sich aber </w:t>
      </w:r>
      <w:r w:rsidR="00585FD2">
        <w:t xml:space="preserve">zuerst </w:t>
      </w:r>
      <w:r w:rsidR="00093122">
        <w:t>ziert und (so die neuesten Interpretationen des handschriftlich nicht eindeutigen Befundes) ihm am Ende</w:t>
      </w:r>
      <w:r w:rsidR="00585FD2">
        <w:t xml:space="preserve">, nachdem </w:t>
      </w:r>
      <w:r w:rsidR="00C95BEB">
        <w:t xml:space="preserve">sie nachgegeben hat, </w:t>
      </w:r>
      <w:r w:rsidR="00093122">
        <w:t xml:space="preserve">die Leviten liest. </w:t>
      </w:r>
      <w:r w:rsidR="00585FD2">
        <w:t>D</w:t>
      </w:r>
      <w:r w:rsidR="00EC6AC2">
        <w:t xml:space="preserve">er Ritter fürchtete </w:t>
      </w:r>
      <w:r w:rsidR="00167919">
        <w:t xml:space="preserve">sich </w:t>
      </w:r>
      <w:r w:rsidR="00585FD2">
        <w:t xml:space="preserve">indes </w:t>
      </w:r>
      <w:r w:rsidR="00167919">
        <w:t xml:space="preserve">nicht </w:t>
      </w:r>
      <w:r w:rsidR="009772BF">
        <w:t xml:space="preserve">so sehr </w:t>
      </w:r>
      <w:r w:rsidR="00167919">
        <w:t>vor der</w:t>
      </w:r>
      <w:r w:rsidR="00EC6AC2">
        <w:t xml:space="preserve"> Reaktion der Angebeteten, sondern vor allem </w:t>
      </w:r>
      <w:r w:rsidR="00167919">
        <w:t>vor einem Brauch</w:t>
      </w:r>
      <w:r w:rsidR="00EC6AC2">
        <w:t xml:space="preserve">, der zum Schutz </w:t>
      </w:r>
      <w:r w:rsidR="009772BF">
        <w:t>solcher</w:t>
      </w:r>
      <w:r w:rsidR="00EC6AC2">
        <w:t xml:space="preserve"> </w:t>
      </w:r>
      <w:r w:rsidR="00585FD2">
        <w:t xml:space="preserve">wie es scheint häufiger </w:t>
      </w:r>
      <w:r w:rsidR="00167919">
        <w:t xml:space="preserve">gefährdeten </w:t>
      </w:r>
      <w:r w:rsidR="009772BF">
        <w:t>Unschulden vom Lande diente. In der Wiedergabe der Berliner Neidhar</w:t>
      </w:r>
      <w:r w:rsidR="00585FD2">
        <w:t>t- Handschrift</w:t>
      </w:r>
      <w:r w:rsidR="00656849">
        <w:t xml:space="preserve"> aus dem späten 13. Jahrhudert</w:t>
      </w:r>
      <w:r w:rsidR="00585FD2">
        <w:t xml:space="preserve"> heißt es:</w:t>
      </w:r>
    </w:p>
    <w:p w:rsidR="00E5093F" w:rsidRDefault="009772BF" w:rsidP="00B327FC">
      <w:pPr>
        <w:spacing w:after="160" w:line="280" w:lineRule="atLeast"/>
        <w:ind w:left="720"/>
      </w:pPr>
      <w:r>
        <w:t>ich widersitz en salman, in des handen si da stat,</w:t>
      </w:r>
      <w:r>
        <w:br/>
        <w:t>er sel si anderthalben hin danne ich si bit.</w:t>
      </w:r>
      <w:r>
        <w:br/>
        <w:t>solhen sit</w:t>
      </w:r>
      <w:r>
        <w:br/>
        <w:t>man da heim in miner pharre hat.</w:t>
      </w:r>
    </w:p>
    <w:p w:rsidR="00EC6AC2" w:rsidRDefault="00EC6AC2" w:rsidP="00585FD2">
      <w:pPr>
        <w:spacing w:after="160" w:line="280" w:lineRule="atLeast"/>
        <w:ind w:left="720"/>
      </w:pPr>
      <w:r>
        <w:t>Ich fürchte nur Frau Vormund, deren Hand sie untersteht,</w:t>
      </w:r>
      <w:r>
        <w:br/>
      </w:r>
      <w:r w:rsidR="00585FD2">
        <w:t>sie</w:t>
      </w:r>
      <w:r>
        <w:t xml:space="preserve"> gäb</w:t>
      </w:r>
      <w:r w:rsidR="00585FD2">
        <w:rPr>
          <w:rFonts w:cs="Times New Roman"/>
        </w:rPr>
        <w:t>’</w:t>
      </w:r>
      <w:r>
        <w:t xml:space="preserve"> sie andern Ortes hin, als</w:t>
      </w:r>
      <w:r w:rsidR="00585FD2">
        <w:t xml:space="preserve"> ich drum bitt</w:t>
      </w:r>
      <w:r w:rsidR="00585FD2">
        <w:rPr>
          <w:rFonts w:cs="Times New Roman"/>
        </w:rPr>
        <w:t>’</w:t>
      </w:r>
      <w:r>
        <w:t>.</w:t>
      </w:r>
      <w:r>
        <w:br/>
        <w:t xml:space="preserve">Solchen Brauch </w:t>
      </w:r>
      <w:r>
        <w:br/>
        <w:t>hat man daheim</w:t>
      </w:r>
      <w:r w:rsidR="00585FD2">
        <w:t xml:space="preserve"> </w:t>
      </w:r>
      <w:r w:rsidR="002A05C4">
        <w:t>in meiner Pfarre halt</w:t>
      </w:r>
      <w:r w:rsidR="002A05C4">
        <w:rPr>
          <w:rStyle w:val="FootnoteReference"/>
        </w:rPr>
        <w:footnoteReference w:id="1"/>
      </w:r>
    </w:p>
    <w:p w:rsidR="00101338" w:rsidRDefault="00B327FC" w:rsidP="00294C5E">
      <w:pPr>
        <w:spacing w:after="160" w:line="360" w:lineRule="atLeast"/>
      </w:pPr>
      <w:r>
        <w:rPr>
          <w:i/>
        </w:rPr>
        <w:t xml:space="preserve">Da heim </w:t>
      </w:r>
      <w:r w:rsidR="00D41E73" w:rsidRPr="00D41E73">
        <w:rPr>
          <w:i/>
        </w:rPr>
        <w:t xml:space="preserve">in </w:t>
      </w:r>
      <w:r>
        <w:rPr>
          <w:i/>
        </w:rPr>
        <w:t>miner</w:t>
      </w:r>
      <w:r w:rsidR="00D41E73" w:rsidRPr="00D41E73">
        <w:rPr>
          <w:i/>
        </w:rPr>
        <w:t xml:space="preserve"> pharre</w:t>
      </w:r>
      <w:r w:rsidR="00C95BEB">
        <w:t xml:space="preserve">: </w:t>
      </w:r>
      <w:r w:rsidR="00CF526E">
        <w:t xml:space="preserve">hier </w:t>
      </w:r>
      <w:r w:rsidR="00105ED3">
        <w:t>kommt</w:t>
      </w:r>
      <w:r w:rsidR="00CF526E">
        <w:t xml:space="preserve"> nicht nicht nur eine emotionsbeladene</w:t>
      </w:r>
      <w:r w:rsidR="00D41E73">
        <w:t xml:space="preserve"> Zugehörigkeit zu einer kirchlichen Institution</w:t>
      </w:r>
      <w:r w:rsidR="00CF526E">
        <w:t xml:space="preserve"> </w:t>
      </w:r>
      <w:r w:rsidR="00105ED3">
        <w:t>zum Ausdruck</w:t>
      </w:r>
      <w:r w:rsidR="00D41E73">
        <w:t xml:space="preserve">, sondern </w:t>
      </w:r>
      <w:r w:rsidR="00143A75">
        <w:t>Neidhart</w:t>
      </w:r>
      <w:r w:rsidR="00D41E73">
        <w:t xml:space="preserve"> markiert auch eine mentalitätsgeschichtliche Kategorie</w:t>
      </w:r>
      <w:r w:rsidR="003A2BD5">
        <w:t xml:space="preserve">, indem </w:t>
      </w:r>
      <w:r w:rsidR="00172BCF">
        <w:t xml:space="preserve">Heimat und Pfarrei identifiziert werden. Und das ist kein Einzelfall bei </w:t>
      </w:r>
      <w:r w:rsidR="00143A75">
        <w:t>ihm</w:t>
      </w:r>
      <w:r w:rsidR="00172BCF">
        <w:t xml:space="preserve">: auch in einem </w:t>
      </w:r>
      <w:r w:rsidR="00143A75">
        <w:t>anderen Lied</w:t>
      </w:r>
      <w:r w:rsidR="00C8492E">
        <w:t xml:space="preserve"> wird aus der Pfarrei, der man entstammt, der Ort von Sehnsucht nach </w:t>
      </w:r>
      <w:r w:rsidR="00903722">
        <w:t>Geborgenheit und</w:t>
      </w:r>
      <w:r w:rsidR="00E5093F">
        <w:t xml:space="preserve"> Wohlbehagen:</w:t>
      </w:r>
    </w:p>
    <w:p w:rsidR="00E5093F" w:rsidRDefault="00E5093F" w:rsidP="00294C5E">
      <w:pPr>
        <w:spacing w:after="80" w:line="280" w:lineRule="atLeast"/>
      </w:pPr>
      <w:r>
        <w:tab/>
      </w:r>
      <w:r w:rsidR="00294C5E">
        <w:t>Nindert w</w:t>
      </w:r>
      <w:r w:rsidR="00294C5E">
        <w:rPr>
          <w:rFonts w:cs="Times New Roman"/>
        </w:rPr>
        <w:t>æ</w:t>
      </w:r>
      <w:r w:rsidR="00294C5E">
        <w:t>r ein man baz dann da heim</w:t>
      </w:r>
      <w:r w:rsidR="00294C5E">
        <w:br/>
      </w:r>
      <w:r w:rsidR="00294C5E">
        <w:tab/>
        <w:t>in siner pharre</w:t>
      </w:r>
    </w:p>
    <w:p w:rsidR="00D41E73" w:rsidRDefault="00E5093F" w:rsidP="00294C5E">
      <w:pPr>
        <w:spacing w:after="160" w:line="280" w:lineRule="atLeast"/>
      </w:pPr>
      <w:r>
        <w:tab/>
        <w:t>Nirgendwo lebt man besser als daheim in der eigenen Pfarrei</w:t>
      </w:r>
      <w:r>
        <w:rPr>
          <w:rStyle w:val="FootnoteReference"/>
        </w:rPr>
        <w:footnoteReference w:id="2"/>
      </w:r>
    </w:p>
    <w:p w:rsidR="00CF68A9" w:rsidRDefault="00CF68A9" w:rsidP="00F24414">
      <w:pPr>
        <w:spacing w:after="80" w:line="360" w:lineRule="atLeast"/>
      </w:pPr>
      <w:r>
        <w:t>Diese Stellen sind bemerkenswert</w:t>
      </w:r>
      <w:r w:rsidR="00001932">
        <w:t xml:space="preserve">. Neidhart von </w:t>
      </w:r>
      <w:r w:rsidR="00143A75">
        <w:t>Reuental</w:t>
      </w:r>
      <w:r w:rsidR="00001932">
        <w:t xml:space="preserve"> lebte in der ersten Hälfte des 13. </w:t>
      </w:r>
      <w:r w:rsidR="00B123DF">
        <w:t>Jh.</w:t>
      </w:r>
      <w:r w:rsidR="00001932">
        <w:t xml:space="preserve"> und ist demnach </w:t>
      </w:r>
      <w:r w:rsidR="00143A75">
        <w:t xml:space="preserve">nördlich der Alpen </w:t>
      </w:r>
      <w:r w:rsidR="00001932">
        <w:t xml:space="preserve">ein </w:t>
      </w:r>
      <w:r w:rsidR="00D9442B">
        <w:t xml:space="preserve">sehr </w:t>
      </w:r>
      <w:r w:rsidR="00001932">
        <w:t xml:space="preserve">früher Zeuge für die einzigartige Rolle, welche Pfarreien bei der Herausbildung </w:t>
      </w:r>
      <w:r w:rsidR="0067574F">
        <w:t>des</w:t>
      </w:r>
      <w:r w:rsidR="00001932">
        <w:t xml:space="preserve"> Horizontes menschlichen Handelns</w:t>
      </w:r>
      <w:r w:rsidR="00D9442B">
        <w:t xml:space="preserve"> </w:t>
      </w:r>
      <w:r w:rsidR="006F18A8">
        <w:t xml:space="preserve">und Denkens </w:t>
      </w:r>
      <w:r w:rsidR="00D9442B">
        <w:lastRenderedPageBreak/>
        <w:t>spielten</w:t>
      </w:r>
      <w:r w:rsidR="00585FD2">
        <w:t xml:space="preserve">. </w:t>
      </w:r>
      <w:r w:rsidR="00A5024C">
        <w:t xml:space="preserve">Es ist bezeichnend, dass </w:t>
      </w:r>
      <w:r w:rsidR="002B37A8">
        <w:t xml:space="preserve">es </w:t>
      </w:r>
      <w:r w:rsidR="00A5024C">
        <w:t>ein Zeitgenosse Neidharts</w:t>
      </w:r>
      <w:r w:rsidR="002B37A8">
        <w:t xml:space="preserve"> war, </w:t>
      </w:r>
      <w:r w:rsidR="0067574F">
        <w:t xml:space="preserve">Kardinal </w:t>
      </w:r>
      <w:r w:rsidR="002B37A8">
        <w:t xml:space="preserve">Heinrich von Susa, genannt Hostiensis (er starb in Lyon 1271), der um die Mitte des Jahrhunderts in </w:t>
      </w:r>
      <w:r w:rsidR="000F0275">
        <w:t>seiner</w:t>
      </w:r>
      <w:r w:rsidR="002B37A8">
        <w:t xml:space="preserve"> </w:t>
      </w:r>
      <w:r w:rsidR="002B37A8" w:rsidRPr="002B37A8">
        <w:t>verbreiteten</w:t>
      </w:r>
      <w:r w:rsidR="002B37A8">
        <w:rPr>
          <w:i/>
        </w:rPr>
        <w:t xml:space="preserve"> </w:t>
      </w:r>
      <w:r w:rsidR="002B37A8" w:rsidRPr="002B37A8">
        <w:rPr>
          <w:i/>
        </w:rPr>
        <w:t>Summa aurea</w:t>
      </w:r>
      <w:r w:rsidR="002B37A8">
        <w:t xml:space="preserve"> </w:t>
      </w:r>
      <w:r w:rsidR="000F0275">
        <w:t>die</w:t>
      </w:r>
      <w:r w:rsidR="002B37A8">
        <w:t xml:space="preserve"> berühmte und, zumindest in dieser Klarheit, überhaupt die erste kanonistische </w:t>
      </w:r>
      <w:r w:rsidR="00A46924">
        <w:t xml:space="preserve">Definition der Pfarrei </w:t>
      </w:r>
      <w:r w:rsidR="000F0275">
        <w:t xml:space="preserve">bot </w:t>
      </w:r>
      <w:r w:rsidR="00A46924">
        <w:t xml:space="preserve">als </w:t>
      </w:r>
      <w:r w:rsidR="00FC15F7">
        <w:t xml:space="preserve">ein </w:t>
      </w:r>
      <w:r w:rsidR="00A46924">
        <w:t xml:space="preserve">„Ort, an dem das an eine bestimmte Kirche zugewiesene Volk lebt, und der </w:t>
      </w:r>
      <w:r w:rsidR="005C2339">
        <w:t>durch</w:t>
      </w:r>
      <w:r w:rsidR="00A46924">
        <w:t xml:space="preserve"> feststehende Grenzen bestimmt ist“</w:t>
      </w:r>
      <w:r w:rsidR="00A46924">
        <w:rPr>
          <w:rStyle w:val="FootnoteReference"/>
        </w:rPr>
        <w:footnoteReference w:id="3"/>
      </w:r>
      <w:r w:rsidR="00FC15F7">
        <w:t>.</w:t>
      </w:r>
    </w:p>
    <w:p w:rsidR="00CF68A9" w:rsidRDefault="00FC15F7" w:rsidP="00F24414">
      <w:pPr>
        <w:spacing w:after="80" w:line="360" w:lineRule="atLeast"/>
      </w:pPr>
      <w:r>
        <w:t xml:space="preserve">Die Bestimmungen des Vierten Laterankonzils vom November </w:t>
      </w:r>
      <w:r w:rsidR="0022485C">
        <w:rPr>
          <w:color w:val="00B050"/>
        </w:rPr>
        <w:t>1215</w:t>
      </w:r>
      <w:r w:rsidRPr="0022485C">
        <w:rPr>
          <w:color w:val="00B050"/>
        </w:rPr>
        <w:t xml:space="preserve"> </w:t>
      </w:r>
      <w:r>
        <w:t xml:space="preserve">hatten </w:t>
      </w:r>
      <w:r w:rsidR="00D94423">
        <w:t xml:space="preserve">bekanntlich </w:t>
      </w:r>
      <w:r>
        <w:t xml:space="preserve">wenige Jahrzehnte davor die enge Bindung des Gläubigen an den eigenen Pfarrer für das Sakrament der Beichte festgelegt </w:t>
      </w:r>
      <w:r w:rsidR="00AE59A0">
        <w:t xml:space="preserve">(Kanon 21) </w:t>
      </w:r>
      <w:r>
        <w:t>und somit die Voraussetzungen dafür geschaffen, dass die Pfarrei nicht nur als kirchenrechtliche</w:t>
      </w:r>
      <w:r w:rsidR="001C6C41">
        <w:t xml:space="preserve"> </w:t>
      </w:r>
      <w:r w:rsidR="00E60909">
        <w:t>Organisationsstruktur</w:t>
      </w:r>
      <w:r w:rsidR="001C6C41">
        <w:t xml:space="preserve">, sondern auch als </w:t>
      </w:r>
      <w:r w:rsidR="00E60909">
        <w:t>Heilanstalt und</w:t>
      </w:r>
      <w:r w:rsidR="0022485C">
        <w:t xml:space="preserve"> letztendlich</w:t>
      </w:r>
      <w:r w:rsidR="00E60909">
        <w:t xml:space="preserve">, wie bei Neidhart, als </w:t>
      </w:r>
      <w:r w:rsidR="00835048">
        <w:t>Ort der Zugehörigkeit</w:t>
      </w:r>
      <w:r w:rsidR="00DA41CF">
        <w:t xml:space="preserve"> </w:t>
      </w:r>
      <w:r w:rsidR="00E60909">
        <w:t>verstanden wurde.</w:t>
      </w:r>
    </w:p>
    <w:p w:rsidR="00616FCB" w:rsidRDefault="006B1068" w:rsidP="00616FCB">
      <w:pPr>
        <w:spacing w:after="80" w:line="360" w:lineRule="atLeast"/>
      </w:pPr>
      <w:r>
        <w:t xml:space="preserve">Die Texte aus dem 13. </w:t>
      </w:r>
      <w:r w:rsidR="00B123DF">
        <w:t>Jh.</w:t>
      </w:r>
      <w:r w:rsidR="00B17057">
        <w:t xml:space="preserve">, die </w:t>
      </w:r>
      <w:r w:rsidR="0003087A">
        <w:t>soeben</w:t>
      </w:r>
      <w:r w:rsidR="00B17057">
        <w:t xml:space="preserve"> genannt wurde</w:t>
      </w:r>
      <w:r w:rsidR="000D2797">
        <w:t>n</w:t>
      </w:r>
      <w:r w:rsidR="00B17057">
        <w:t xml:space="preserve">, </w:t>
      </w:r>
      <w:r w:rsidR="000D2797">
        <w:t>weisen</w:t>
      </w:r>
      <w:r w:rsidR="00B17057">
        <w:t xml:space="preserve"> </w:t>
      </w:r>
      <w:r w:rsidR="000D2797">
        <w:t xml:space="preserve">beispielhaft auf die komplexen Funktionen, welche eine Pfarrei in der europäischen Vormoderne übernahm. Es ist ein Verdienst der modernen Forschung auf diesem Gebiet, dass </w:t>
      </w:r>
      <w:r w:rsidR="00415661">
        <w:t xml:space="preserve">nicht </w:t>
      </w:r>
      <w:r w:rsidR="00511090">
        <w:t xml:space="preserve">mehr </w:t>
      </w:r>
      <w:r w:rsidR="00415661">
        <w:t>nur die Ursp</w:t>
      </w:r>
      <w:r w:rsidR="00511090">
        <w:t>r</w:t>
      </w:r>
      <w:r w:rsidR="00415661">
        <w:t>ünge, die Gliederung und die kirchenrechtliche Stellung von Pfarreien</w:t>
      </w:r>
      <w:r w:rsidR="00616FCB">
        <w:t xml:space="preserve"> im Mittelpunkt </w:t>
      </w:r>
      <w:r w:rsidR="00616FCB" w:rsidRPr="00080103">
        <w:t>stehen</w:t>
      </w:r>
      <w:r w:rsidR="0003087A" w:rsidRPr="00080103">
        <w:t xml:space="preserve">, wie das der Fall in früheren </w:t>
      </w:r>
      <w:r w:rsidR="0022485C" w:rsidRPr="00080103">
        <w:t>Arbeiten</w:t>
      </w:r>
      <w:r w:rsidR="0003087A" w:rsidRPr="00080103">
        <w:t xml:space="preserve"> etwa aus dem späten 19. oder dem beginnenden </w:t>
      </w:r>
      <w:r w:rsidR="0003087A">
        <w:t>20 Jh. der Fall war</w:t>
      </w:r>
      <w:r w:rsidR="00616FCB">
        <w:t xml:space="preserve">. </w:t>
      </w:r>
      <w:r w:rsidR="00765397" w:rsidRPr="00765397">
        <w:t xml:space="preserve">In verschiedenen regionalen Kontexten befassen sich </w:t>
      </w:r>
      <w:r w:rsidR="00005FC6">
        <w:t>inzwischen die historisch</w:t>
      </w:r>
      <w:r w:rsidR="00765397" w:rsidRPr="00765397">
        <w:t xml:space="preserve"> und </w:t>
      </w:r>
      <w:r w:rsidR="00005FC6">
        <w:t>philologisch orientierten</w:t>
      </w:r>
      <w:r w:rsidR="00765397" w:rsidRPr="00765397">
        <w:t xml:space="preserve"> Disziplinen mit einer Vielzahl von Aspekten des mittelalterlichen und</w:t>
      </w:r>
      <w:r w:rsidR="00616FCB">
        <w:t xml:space="preserve"> frühneuzeitlichen Pfarrwesens.</w:t>
      </w:r>
    </w:p>
    <w:p w:rsidR="00616FCB" w:rsidRDefault="00765397" w:rsidP="00616FCB">
      <w:pPr>
        <w:spacing w:after="80" w:line="360" w:lineRule="atLeast"/>
      </w:pPr>
      <w:r w:rsidRPr="00765397">
        <w:t xml:space="preserve">Wie ein Blick in die Bibliographien einschlägiger Arbeiten verdeutlicht, ist </w:t>
      </w:r>
      <w:r w:rsidR="00616FCB">
        <w:t xml:space="preserve">in der Tat </w:t>
      </w:r>
      <w:r w:rsidRPr="00765397">
        <w:t xml:space="preserve">der </w:t>
      </w:r>
      <w:r w:rsidR="005D2DE7">
        <w:t xml:space="preserve">traditionelle </w:t>
      </w:r>
      <w:r w:rsidRPr="00765397">
        <w:t xml:space="preserve">Kanon kirchen- und rechtsgeschichtlicher Abhandlungen über Gemeindebildung, </w:t>
      </w:r>
      <w:r w:rsidR="007E436A">
        <w:t>Klerus</w:t>
      </w:r>
      <w:r w:rsidRPr="00765397">
        <w:t xml:space="preserve"> und kommunale </w:t>
      </w:r>
      <w:r w:rsidR="00B940F5">
        <w:t>Institutionen</w:t>
      </w:r>
      <w:r w:rsidRPr="009336F3">
        <w:rPr>
          <w:rStyle w:val="FootnoteReference"/>
        </w:rPr>
        <w:footnoteReference w:id="4"/>
      </w:r>
      <w:r w:rsidRPr="00765397">
        <w:t xml:space="preserve"> durch eine Fülle neuer Ansätze ergänzt worden. Nach dem Aufschwung der </w:t>
      </w:r>
      <w:r w:rsidR="00B940F5">
        <w:t xml:space="preserve">Wirtschafts- und </w:t>
      </w:r>
      <w:r w:rsidRPr="00765397">
        <w:t xml:space="preserve">Sozialgeschichte in der 2. Hälfte des 20. </w:t>
      </w:r>
      <w:r w:rsidR="00F620B3">
        <w:t xml:space="preserve">Jh., </w:t>
      </w:r>
      <w:r w:rsidRPr="00765397">
        <w:t>der u.a. spezialisierte Studien zu Laienaktivitäten</w:t>
      </w:r>
      <w:r w:rsidR="00B940F5">
        <w:t>, Frömmigkeit</w:t>
      </w:r>
      <w:r w:rsidRPr="00765397">
        <w:t xml:space="preserve"> und Reformbewegungen anregte</w:t>
      </w:r>
      <w:r w:rsidRPr="009336F3">
        <w:rPr>
          <w:rStyle w:val="FootnoteReference"/>
        </w:rPr>
        <w:footnoteReference w:id="5"/>
      </w:r>
      <w:r w:rsidR="00F620B3">
        <w:t xml:space="preserve">, </w:t>
      </w:r>
      <w:r w:rsidRPr="00765397">
        <w:t xml:space="preserve">hat </w:t>
      </w:r>
      <w:r w:rsidRPr="00765397">
        <w:lastRenderedPageBreak/>
        <w:t xml:space="preserve">sich jüngst der </w:t>
      </w:r>
      <w:r w:rsidRPr="00765397">
        <w:rPr>
          <w:i/>
          <w:iCs/>
        </w:rPr>
        <w:t>cultural turn</w:t>
      </w:r>
      <w:r w:rsidRPr="00765397">
        <w:t xml:space="preserve"> in den Human- und Sozialwissenschaften befruchtend ausgewirkt, indem Interessenfelder wie Geschlechterrollen, Kommunikationsstrukturen und Raumvorstellungen in den Vordergrund rückten</w:t>
      </w:r>
      <w:r w:rsidRPr="009336F3">
        <w:rPr>
          <w:rStyle w:val="FootnoteReference"/>
        </w:rPr>
        <w:footnoteReference w:id="6"/>
      </w:r>
      <w:r w:rsidRPr="00765397">
        <w:t xml:space="preserve">. </w:t>
      </w:r>
    </w:p>
    <w:p w:rsidR="00765397" w:rsidRPr="00765397" w:rsidRDefault="00765397" w:rsidP="00616FCB">
      <w:pPr>
        <w:spacing w:after="80" w:line="360" w:lineRule="atLeast"/>
      </w:pPr>
      <w:r w:rsidRPr="00765397">
        <w:t>Ebenso auffallend ist die Erweiterung der Quellenbasis zur Erforschung des umfassenderen Themenspektrums: zu klassischen kirchlichen Dokumenten wie Synodalstatuten, Visitationsberichten, Testamenten u</w:t>
      </w:r>
      <w:r w:rsidR="007A4F20">
        <w:t>nd Rechnungsbüchern treten nun</w:t>
      </w:r>
      <w:r w:rsidRPr="00765397">
        <w:t xml:space="preserve"> je nach lokalen Verhältnissen </w:t>
      </w:r>
      <w:r w:rsidR="007A4F20">
        <w:t>und Untersuchungsschwerpunkten</w:t>
      </w:r>
      <w:r w:rsidRPr="00765397">
        <w:t xml:space="preserve"> </w:t>
      </w:r>
      <w:r w:rsidR="005D2DE7">
        <w:t xml:space="preserve">Bauanalysen, </w:t>
      </w:r>
      <w:r w:rsidRPr="00765397">
        <w:t xml:space="preserve">Kunstobjekte, </w:t>
      </w:r>
      <w:r w:rsidR="005D2DE7">
        <w:t>liturgische Werke</w:t>
      </w:r>
      <w:r w:rsidRPr="00765397">
        <w:t>, Pfarreibibliotheken, musikalische Manuskripte</w:t>
      </w:r>
      <w:r w:rsidR="005D2DE7">
        <w:t xml:space="preserve"> und</w:t>
      </w:r>
      <w:r w:rsidRPr="00765397">
        <w:t xml:space="preserve"> Gerichtsakten</w:t>
      </w:r>
      <w:r w:rsidRPr="009336F3">
        <w:rPr>
          <w:rStyle w:val="FootnoteReference"/>
        </w:rPr>
        <w:footnoteReference w:id="7"/>
      </w:r>
      <w:r w:rsidRPr="00765397">
        <w:t>.</w:t>
      </w:r>
    </w:p>
    <w:p w:rsidR="00616FCB" w:rsidRDefault="00765397" w:rsidP="002A05C4">
      <w:pPr>
        <w:spacing w:after="80" w:line="380" w:lineRule="exact"/>
      </w:pPr>
      <w:r w:rsidRPr="00765397">
        <w:t xml:space="preserve">Zu den vordringlichsten Aufgaben </w:t>
      </w:r>
      <w:r w:rsidR="00616FCB">
        <w:t xml:space="preserve">der Forschung </w:t>
      </w:r>
      <w:r w:rsidRPr="00765397">
        <w:t xml:space="preserve">gehört nunmehr der </w:t>
      </w:r>
      <w:r w:rsidR="00616FCB">
        <w:t>bisweilen schwierige, aber immer fruchtbare</w:t>
      </w:r>
      <w:r w:rsidRPr="00765397">
        <w:t xml:space="preserve"> Dialog zwischen </w:t>
      </w:r>
      <w:r w:rsidR="00616FCB">
        <w:t xml:space="preserve">methodisch unterschiedlichen Ansätzen und </w:t>
      </w:r>
      <w:r w:rsidR="00616FCB">
        <w:lastRenderedPageBreak/>
        <w:t xml:space="preserve">nationalen bzw. regionalen Traditionen. </w:t>
      </w:r>
      <w:r w:rsidRPr="00765397">
        <w:t xml:space="preserve">Interdisziplinäre, </w:t>
      </w:r>
      <w:r w:rsidR="005D2DE7">
        <w:t>sprach</w:t>
      </w:r>
      <w:r w:rsidRPr="00765397">
        <w:t xml:space="preserve">- und epochenübergreifende Perspektiven sind gefordert, wenn die Pfarreiforschung der latenten Gefahr des </w:t>
      </w:r>
      <w:r w:rsidRPr="00765397">
        <w:rPr>
          <w:i/>
          <w:iCs/>
        </w:rPr>
        <w:t>parochialism</w:t>
      </w:r>
      <w:r w:rsidRPr="00765397">
        <w:t xml:space="preserve"> bzw. der reinen Lokalhistorie vorbeugen und ihr methodisch-innovatives Potential einem breiteren Publikum näher bringen will</w:t>
      </w:r>
      <w:r w:rsidRPr="009336F3">
        <w:rPr>
          <w:rStyle w:val="FootnoteReference"/>
        </w:rPr>
        <w:footnoteReference w:id="8"/>
      </w:r>
      <w:r w:rsidR="00616FCB">
        <w:t>.</w:t>
      </w:r>
    </w:p>
    <w:p w:rsidR="00765397" w:rsidRPr="00765397" w:rsidRDefault="00765397" w:rsidP="002A05C4">
      <w:pPr>
        <w:spacing w:after="80" w:line="380" w:lineRule="exact"/>
      </w:pPr>
      <w:r w:rsidRPr="00765397">
        <w:t xml:space="preserve">Pfarreien, das muss man sich immer wieder vergegenwärtigen, gehören zu den Grundstrukturen der </w:t>
      </w:r>
      <w:r w:rsidR="00616FCB">
        <w:t>christlichen</w:t>
      </w:r>
      <w:r w:rsidRPr="00765397">
        <w:t xml:space="preserve"> Kultur </w:t>
      </w:r>
      <w:r w:rsidR="00616FCB">
        <w:t xml:space="preserve">des Westens seit der Spätantike </w:t>
      </w:r>
      <w:r w:rsidR="00043E0D">
        <w:t>und stellen</w:t>
      </w:r>
      <w:r w:rsidRPr="00765397">
        <w:t xml:space="preserve"> im Gegensatz zu spezifischeren Territorialverbänden wie Städten, </w:t>
      </w:r>
      <w:r w:rsidR="00043E0D">
        <w:t xml:space="preserve">Dörfern und Adelsherrschaften </w:t>
      </w:r>
      <w:r w:rsidRPr="00765397">
        <w:t xml:space="preserve">flächendeckende Untersuchungsobjekte für die Betrachtung (fast) aller sozialer Gruppen in den verschiedensten politischen, ökonomischen und </w:t>
      </w:r>
      <w:r w:rsidR="00043E0D">
        <w:t xml:space="preserve">religiösen bzw. </w:t>
      </w:r>
      <w:r w:rsidRPr="00765397">
        <w:t xml:space="preserve">konfessionellen Kontexten dar. </w:t>
      </w:r>
      <w:r w:rsidR="00616FCB">
        <w:t xml:space="preserve">Darin interagieren alle Stände und soziale Kategorien der Gesellschaft: </w:t>
      </w:r>
      <w:r w:rsidRPr="00765397">
        <w:t xml:space="preserve">Kleriker und Laien, Frauen und Männer, Bürger und Bauern, Reiche und Arme, </w:t>
      </w:r>
      <w:r w:rsidR="00616FCB">
        <w:t>Herrscher und Untertanen, fromme Gläubige und</w:t>
      </w:r>
      <w:r w:rsidR="00493BBD">
        <w:t xml:space="preserve"> religiöse Auss</w:t>
      </w:r>
      <w:r w:rsidR="00616FCB">
        <w:t>enseiter</w:t>
      </w:r>
      <w:r w:rsidR="00AC594D">
        <w:t xml:space="preserve">. </w:t>
      </w:r>
      <w:r w:rsidR="00493BBD">
        <w:t>Darüber hinaus</w:t>
      </w:r>
      <w:r w:rsidRPr="00765397">
        <w:t xml:space="preserve"> standen die Sprengel in engen Wechselbeziehungen mit </w:t>
      </w:r>
      <w:r w:rsidR="00CC432F">
        <w:t>den für sie relevanten</w:t>
      </w:r>
      <w:r w:rsidRPr="00765397">
        <w:t xml:space="preserve"> weltlichen und geistlichen Lokal-, Regional- und Zentralverbänden, </w:t>
      </w:r>
      <w:r w:rsidR="00493BBD">
        <w:t xml:space="preserve">sie </w:t>
      </w:r>
      <w:r w:rsidRPr="00765397">
        <w:t xml:space="preserve">waren </w:t>
      </w:r>
      <w:r w:rsidR="00493BBD">
        <w:t>dementsprechend</w:t>
      </w:r>
      <w:r w:rsidRPr="00765397">
        <w:t xml:space="preserve"> gegen innen hoch differenziert und </w:t>
      </w:r>
      <w:r w:rsidR="00AC594D">
        <w:t xml:space="preserve">untereinander sowie extern </w:t>
      </w:r>
      <w:r w:rsidRPr="00765397">
        <w:t>engmaschig vernetzt.</w:t>
      </w:r>
    </w:p>
    <w:p w:rsidR="00765397" w:rsidRDefault="00765397" w:rsidP="002A05C4">
      <w:pPr>
        <w:spacing w:after="80" w:line="380" w:lineRule="exact"/>
      </w:pPr>
      <w:r w:rsidRPr="00765397">
        <w:t xml:space="preserve">Ziel </w:t>
      </w:r>
      <w:r w:rsidR="002D592C">
        <w:t xml:space="preserve">der Wolfenbütteler </w:t>
      </w:r>
      <w:r w:rsidR="00185C22">
        <w:t>Tagung</w:t>
      </w:r>
      <w:r w:rsidR="002D592C">
        <w:t xml:space="preserve">, deren Akten hier vorgelegt werden, war es, </w:t>
      </w:r>
      <w:r w:rsidRPr="00765397">
        <w:t xml:space="preserve">einen Beitrag zur Bündelung </w:t>
      </w:r>
      <w:r w:rsidR="005C1A1C">
        <w:t>der vielfältigen</w:t>
      </w:r>
      <w:r w:rsidRPr="00765397">
        <w:t xml:space="preserve"> Forschungsaktivitäten </w:t>
      </w:r>
      <w:r w:rsidR="002D592C">
        <w:t xml:space="preserve">in unterschiedlichen Interessengebieten </w:t>
      </w:r>
      <w:r w:rsidR="001772FB" w:rsidRPr="00765397">
        <w:t>zu leisten</w:t>
      </w:r>
      <w:r w:rsidR="005C1A1C">
        <w:rPr>
          <w:rStyle w:val="FootnoteReference"/>
        </w:rPr>
        <w:footnoteReference w:id="9"/>
      </w:r>
      <w:r w:rsidR="001772FB" w:rsidRPr="00765397">
        <w:t>.</w:t>
      </w:r>
      <w:r w:rsidR="001772FB">
        <w:t xml:space="preserve"> </w:t>
      </w:r>
      <w:r w:rsidR="006B6F85">
        <w:t>Zeitlich lag das Hauptaugenmerk auf der Epoche des Spätmittelalters</w:t>
      </w:r>
      <w:r w:rsidR="00A43AE6">
        <w:t>,</w:t>
      </w:r>
      <w:r w:rsidR="006B6F85">
        <w:t xml:space="preserve"> </w:t>
      </w:r>
      <w:r w:rsidR="00C05DF3">
        <w:t xml:space="preserve">hinzu </w:t>
      </w:r>
      <w:r w:rsidR="00C05DF3">
        <w:lastRenderedPageBreak/>
        <w:t>kamen einige Ausblicke</w:t>
      </w:r>
      <w:r w:rsidR="006B6F85">
        <w:t xml:space="preserve"> auf die Frühe Neuzeit. Im Vordergrund soll</w:t>
      </w:r>
      <w:r w:rsidR="001772FB">
        <w:t xml:space="preserve">en </w:t>
      </w:r>
      <w:r w:rsidR="004474BA">
        <w:t xml:space="preserve">folglich </w:t>
      </w:r>
      <w:r w:rsidR="006B6F85">
        <w:t>weniger</w:t>
      </w:r>
      <w:r w:rsidR="001772FB">
        <w:t xml:space="preserve"> die vieldiskutierten Transformationen der Reformationszeit stehen (obschon diese natürlich </w:t>
      </w:r>
      <w:r w:rsidR="005C1A1C">
        <w:t>immer wieder</w:t>
      </w:r>
      <w:r w:rsidR="006B6F85">
        <w:t xml:space="preserve"> ankli</w:t>
      </w:r>
      <w:r w:rsidR="001772FB">
        <w:t xml:space="preserve">ngen), sondern die Vertiefung des </w:t>
      </w:r>
      <w:r w:rsidR="00876EDC">
        <w:t xml:space="preserve">internationalen </w:t>
      </w:r>
      <w:r w:rsidR="006B6F85">
        <w:t xml:space="preserve">Dialogs, </w:t>
      </w:r>
      <w:r w:rsidR="002C7928">
        <w:t xml:space="preserve">der </w:t>
      </w:r>
      <w:r w:rsidR="00876EDC">
        <w:t>sich hier in der Mehrsprachigkeit der Beiträge</w:t>
      </w:r>
      <w:r w:rsidR="002C7928">
        <w:t xml:space="preserve"> manifestiert</w:t>
      </w:r>
      <w:r w:rsidR="00185C22">
        <w:t>, wie auch sehr unterschiedliche Forschungstraditionen zur Sprache kommen</w:t>
      </w:r>
      <w:r w:rsidR="00876EDC">
        <w:t xml:space="preserve">. </w:t>
      </w:r>
      <w:r w:rsidR="001772FB">
        <w:t xml:space="preserve">Als thematische Schwerpunkte </w:t>
      </w:r>
      <w:r w:rsidR="00A43AE6">
        <w:t>erscheinen</w:t>
      </w:r>
      <w:r w:rsidR="002C7928">
        <w:t xml:space="preserve"> </w:t>
      </w:r>
      <w:r w:rsidR="001772FB">
        <w:t xml:space="preserve">Übersichten zum Pfarreiwesen </w:t>
      </w:r>
      <w:r w:rsidR="00EF5713">
        <w:t xml:space="preserve">in </w:t>
      </w:r>
      <w:r w:rsidR="006B6F85">
        <w:t>verschiedenen regionalen</w:t>
      </w:r>
      <w:r w:rsidR="00EF5713">
        <w:t xml:space="preserve"> Kontexten </w:t>
      </w:r>
      <w:r w:rsidR="001772FB">
        <w:t xml:space="preserve">einerseits und Fallstudien </w:t>
      </w:r>
      <w:r w:rsidR="00EF5713">
        <w:t>spezifischer</w:t>
      </w:r>
      <w:r w:rsidR="001772FB">
        <w:t xml:space="preserve"> kultureller Aspekte andererseits</w:t>
      </w:r>
      <w:r w:rsidRPr="001772FB">
        <w:t>.</w:t>
      </w:r>
      <w:r w:rsidR="006B6F85">
        <w:t xml:space="preserve"> </w:t>
      </w:r>
      <w:r w:rsidR="00185C22">
        <w:t>Die Herausgeber sehen darin keine getrennten Sphären, was dem ursprü</w:t>
      </w:r>
      <w:r w:rsidR="00E15A5E">
        <w:t>n</w:t>
      </w:r>
      <w:r w:rsidR="00185C22">
        <w:t xml:space="preserve">glichen </w:t>
      </w:r>
      <w:r w:rsidR="00E15A5E">
        <w:t>Konzept geradezu zuwiderliefe, sondern zwei eng verknüpfte Interessengebiet</w:t>
      </w:r>
      <w:r w:rsidR="002B6663">
        <w:t>e.</w:t>
      </w:r>
    </w:p>
    <w:p w:rsidR="00EF5713" w:rsidRDefault="00EF5713" w:rsidP="002A05C4">
      <w:pPr>
        <w:spacing w:after="80" w:line="380" w:lineRule="exact"/>
      </w:pPr>
    </w:p>
    <w:p w:rsidR="00EF5713" w:rsidRPr="002B6663" w:rsidRDefault="00EF5713" w:rsidP="00750F35">
      <w:pPr>
        <w:spacing w:after="80" w:line="380" w:lineRule="exact"/>
        <w:rPr>
          <w:i/>
        </w:rPr>
      </w:pPr>
      <w:r w:rsidRPr="002B6663">
        <w:rPr>
          <w:i/>
        </w:rPr>
        <w:t>Kirchengemeinden in vergleichender Perspektive</w:t>
      </w:r>
    </w:p>
    <w:p w:rsidR="00EF5713" w:rsidRPr="00EF5713" w:rsidRDefault="00EF5713" w:rsidP="002A05C4">
      <w:pPr>
        <w:spacing w:after="80" w:line="380" w:lineRule="exact"/>
      </w:pPr>
      <w:r w:rsidRPr="00EF5713">
        <w:t xml:space="preserve">Aus der Vielzahl theoretischer Angebote, die zur Klärung von </w:t>
      </w:r>
      <w:r w:rsidR="00600FDA">
        <w:t>Gemeindebildung</w:t>
      </w:r>
      <w:r w:rsidRPr="00EF5713">
        <w:t xml:space="preserve"> und </w:t>
      </w:r>
      <w:r w:rsidR="00600FDA">
        <w:t>-entwicklung</w:t>
      </w:r>
      <w:r w:rsidRPr="00EF5713">
        <w:t xml:space="preserve"> beitragen können, erscheinen Kommunalismus, Akkulturation </w:t>
      </w:r>
      <w:r w:rsidR="00600FDA">
        <w:t>/</w:t>
      </w:r>
      <w:r w:rsidRPr="00EF5713">
        <w:t xml:space="preserve"> Konfessionalisierung </w:t>
      </w:r>
      <w:r w:rsidR="00600FDA">
        <w:t xml:space="preserve">und </w:t>
      </w:r>
      <w:r w:rsidR="00600FDA" w:rsidRPr="00600FDA">
        <w:rPr>
          <w:i/>
        </w:rPr>
        <w:t>self-fashioning</w:t>
      </w:r>
      <w:r w:rsidR="00600FDA">
        <w:t xml:space="preserve"> </w:t>
      </w:r>
      <w:r w:rsidRPr="00EF5713">
        <w:t>von besonderer Relevanz.</w:t>
      </w:r>
    </w:p>
    <w:p w:rsidR="002B6663" w:rsidRPr="00292624" w:rsidRDefault="00EF5713" w:rsidP="002A05C4">
      <w:pPr>
        <w:spacing w:after="80" w:line="380" w:lineRule="exact"/>
      </w:pPr>
      <w:r w:rsidRPr="00EF5713">
        <w:t>Obschon es für die durch hohe Lokalautonomie charakterisierten Landschaften Oberdeutschlands entwickelt wurde, bietet Peter Blickles Kommunalismuskonzept auch für die europäische Pfarreiforschung zahlreiche Anknüpfungspunkte</w:t>
      </w:r>
      <w:r w:rsidR="00A43AE6" w:rsidRPr="009336F3">
        <w:rPr>
          <w:rStyle w:val="FootnoteReference"/>
        </w:rPr>
        <w:footnoteReference w:id="10"/>
      </w:r>
      <w:r w:rsidRPr="00EF5713">
        <w:t xml:space="preserve">. Die strukturellen Ähnlichkeiten zwischen städtischen und ländlichen Gemeinden, die Wahrnehmung eigenständiger gesetzgeberischer, administrativer und gerichtlicher Kompetenzen durch den „Gemeinen Mann“, die Betonung von Wahlprinzip, Rechenschaftspflicht und Gemeinnutz als zentrale Werte und die Affinität zu republikanischen Verfassungsformen bilden Bausteine </w:t>
      </w:r>
      <w:r w:rsidRPr="00292624">
        <w:t xml:space="preserve">einer </w:t>
      </w:r>
      <w:r w:rsidR="0022485C" w:rsidRPr="00292624">
        <w:t>kommunalen I</w:t>
      </w:r>
      <w:r w:rsidRPr="00292624">
        <w:t>dentität, die in abgeschwächter oder angepasster Form auch viele kirchliche Sprengel prägte</w:t>
      </w:r>
      <w:r w:rsidR="001A3741" w:rsidRPr="00292624">
        <w:rPr>
          <w:rStyle w:val="FootnoteReference"/>
        </w:rPr>
        <w:footnoteReference w:id="11"/>
      </w:r>
      <w:r w:rsidRPr="00292624">
        <w:t xml:space="preserve">. </w:t>
      </w:r>
    </w:p>
    <w:p w:rsidR="006E0303" w:rsidRPr="00292624" w:rsidRDefault="00EF5713" w:rsidP="002A05C4">
      <w:pPr>
        <w:spacing w:after="80" w:line="380" w:lineRule="exact"/>
      </w:pPr>
      <w:r w:rsidRPr="00292624">
        <w:t xml:space="preserve">Dies </w:t>
      </w:r>
      <w:r w:rsidR="002B6663" w:rsidRPr="00292624">
        <w:t xml:space="preserve">war insbesondere der Fall </w:t>
      </w:r>
      <w:r w:rsidRPr="00292624">
        <w:t xml:space="preserve">dort, wo </w:t>
      </w:r>
      <w:r w:rsidR="002B6663" w:rsidRPr="00292624">
        <w:t>weltliche Gemeinden</w:t>
      </w:r>
      <w:r w:rsidRPr="00292624">
        <w:t xml:space="preserve"> weniger stark </w:t>
      </w:r>
      <w:r w:rsidRPr="00EF5713">
        <w:t xml:space="preserve">ausgebildet oder mit der Pfarrei eng verzahnt waren. Trotz </w:t>
      </w:r>
      <w:r w:rsidR="00C0155F">
        <w:t>skeptischer</w:t>
      </w:r>
      <w:r w:rsidRPr="00EF5713">
        <w:t xml:space="preserve"> Stimmen, die auf innerkommunale Spannungen, heterogene Interessenlagen und Blickles regional bzw. methodisch zu engen Fokus hinweisen</w:t>
      </w:r>
      <w:r w:rsidRPr="009336F3">
        <w:rPr>
          <w:rStyle w:val="FootnoteReference"/>
        </w:rPr>
        <w:footnoteReference w:id="12"/>
      </w:r>
      <w:r w:rsidR="00DD2EDD">
        <w:t>, inspiriert das Konzept (freilich in modifizierter Weise)</w:t>
      </w:r>
      <w:r w:rsidRPr="00EF5713">
        <w:t xml:space="preserve"> immer wieder </w:t>
      </w:r>
      <w:r w:rsidRPr="00EF5713">
        <w:lastRenderedPageBreak/>
        <w:t xml:space="preserve">Arbeiten, die unser Verständnis von ländlichen und städtischen Lebenswelten erweitern. So betont Randolph Head die bis ins 17. </w:t>
      </w:r>
      <w:r w:rsidR="00B123DF">
        <w:t>Jh.</w:t>
      </w:r>
      <w:r w:rsidRPr="00EF5713">
        <w:t xml:space="preserve"> reichende Beharrungskraft hergebrachter kommunaler Identitäten im von der Glaubensspaltung besonders intensiv betroffenen Graubünden, während David Mayes für Oberhessen ebenfalls die langfrist</w:t>
      </w:r>
      <w:r w:rsidR="00D755A3">
        <w:t xml:space="preserve">ige Kontinuität </w:t>
      </w:r>
      <w:r w:rsidR="00D755A3" w:rsidRPr="00292624">
        <w:t xml:space="preserve">traditioneller – </w:t>
      </w:r>
      <w:r w:rsidRPr="00292624">
        <w:t xml:space="preserve">durch </w:t>
      </w:r>
      <w:r w:rsidR="0022485C" w:rsidRPr="00292624">
        <w:t>örtliche</w:t>
      </w:r>
      <w:r w:rsidRPr="00292624">
        <w:t xml:space="preserve"> Strukturen und ein </w:t>
      </w:r>
      <w:r w:rsidR="00B27DA5" w:rsidRPr="00292624">
        <w:t>nicht immer obrigkeitsdevotes</w:t>
      </w:r>
      <w:r w:rsidRPr="00292624">
        <w:t xml:space="preserve"> Christentum geprägt</w:t>
      </w:r>
      <w:r w:rsidR="0022485C" w:rsidRPr="00292624">
        <w:t>er</w:t>
      </w:r>
      <w:r w:rsidR="00D755A3" w:rsidRPr="00292624">
        <w:t xml:space="preserve"> –</w:t>
      </w:r>
      <w:r w:rsidRPr="00292624">
        <w:t xml:space="preserve"> lokaler Prioritäten postuliert</w:t>
      </w:r>
      <w:r w:rsidRPr="00292624">
        <w:rPr>
          <w:rStyle w:val="FootnoteReference"/>
        </w:rPr>
        <w:footnoteReference w:id="13"/>
      </w:r>
      <w:r w:rsidRPr="00292624">
        <w:t>.</w:t>
      </w:r>
    </w:p>
    <w:p w:rsidR="00B27DA5" w:rsidRDefault="001A3741" w:rsidP="002A05C4">
      <w:pPr>
        <w:spacing w:after="80" w:line="380" w:lineRule="exact"/>
      </w:pPr>
      <w:r w:rsidRPr="001A3741">
        <w:t>Wer</w:t>
      </w:r>
      <w:r w:rsidR="00B27DA5">
        <w:t xml:space="preserve"> wie</w:t>
      </w:r>
      <w:r w:rsidRPr="001A3741">
        <w:t xml:space="preserve"> Heinz S</w:t>
      </w:r>
      <w:r w:rsidR="00B27DA5">
        <w:t xml:space="preserve">chilling und Wolfgang Reinhard </w:t>
      </w:r>
      <w:r w:rsidRPr="001A3741">
        <w:t xml:space="preserve">Religion als Fundament und treibendes Modernisierungselement </w:t>
      </w:r>
      <w:r w:rsidR="00C0155F">
        <w:t xml:space="preserve">der Vormoderne </w:t>
      </w:r>
      <w:r w:rsidRPr="001A3741">
        <w:t>beschreibt, geht von der konfessionellen Durchdringung lokaler Gesellschaften aus</w:t>
      </w:r>
      <w:r w:rsidR="00A43AE6">
        <w:rPr>
          <w:rStyle w:val="FootnoteReference"/>
        </w:rPr>
        <w:footnoteReference w:id="14"/>
      </w:r>
      <w:r w:rsidRPr="001A3741">
        <w:t>. Als Resultat klarerer Definitionen, besserer Vermittlung und energischerer Überwachung von Glaubensinhalten sowie einer intensivierten Zusammenarbeit von staatlichen und kirchlichen Behörden wurden Pfarreien lutherischen, reformierten und katholischen Leitbildern angepasst und die vorhergehende Prominenz von familiären, nachbarschaftlichen und zünftisch-bruderschaftlichen Einflüssen entspreche</w:t>
      </w:r>
      <w:r w:rsidR="00B27DA5">
        <w:t>nd in den Hintergrund gedrängt.</w:t>
      </w:r>
    </w:p>
    <w:p w:rsidR="001A3741" w:rsidRDefault="001A3741" w:rsidP="00B23661">
      <w:pPr>
        <w:spacing w:after="80" w:line="380" w:lineRule="exact"/>
      </w:pPr>
      <w:r w:rsidRPr="001A3741">
        <w:t>In ähnlicher Weise sieht Robert Muchembled Disziplinierungsbestrebungen von zentralen (höfisch-bürgerlichen und gelehrten) Gruppen in die Peripherie ausstrahlen, wo sie die populäre Fest- und Alltagskultur langsam aber sicher zu erodieren begannen</w:t>
      </w:r>
      <w:r w:rsidR="00A43AE6">
        <w:rPr>
          <w:rStyle w:val="FootnoteReference"/>
        </w:rPr>
        <w:footnoteReference w:id="15"/>
      </w:r>
      <w:r w:rsidRPr="001A3741">
        <w:t>. Beide Konzepte sind aus verschi</w:t>
      </w:r>
      <w:r w:rsidR="00B23661">
        <w:t xml:space="preserve">edener Warte kritisiert worden, etwa </w:t>
      </w:r>
      <w:r w:rsidRPr="001A3741">
        <w:t xml:space="preserve">wegen ihrer zu stark etatistisch-funktionalen Perspektive, der linearen Projektion historischen Wandels und der Überschätzung des </w:t>
      </w:r>
      <w:r w:rsidR="00B23661">
        <w:t>konkret feststellbaren</w:t>
      </w:r>
      <w:r w:rsidRPr="001A3741">
        <w:t xml:space="preserve"> Effektes derartiger Kampagnen</w:t>
      </w:r>
      <w:r w:rsidRPr="009336F3">
        <w:rPr>
          <w:rStyle w:val="FootnoteReference"/>
        </w:rPr>
        <w:footnoteReference w:id="16"/>
      </w:r>
      <w:r w:rsidR="00B23661">
        <w:t>; d</w:t>
      </w:r>
      <w:r w:rsidRPr="001A3741">
        <w:t xml:space="preserve">och </w:t>
      </w:r>
      <w:r w:rsidR="00B23661">
        <w:t>ist</w:t>
      </w:r>
      <w:r w:rsidRPr="001A3741">
        <w:t xml:space="preserve"> es </w:t>
      </w:r>
      <w:r w:rsidR="00B23661">
        <w:t xml:space="preserve">durchaus </w:t>
      </w:r>
      <w:r w:rsidRPr="001A3741">
        <w:t xml:space="preserve">plausibel, dass </w:t>
      </w:r>
      <w:r w:rsidR="00B23661">
        <w:t xml:space="preserve">verschiedenartige Strategien der Standardisierung (z.B. durch die Einführung von Lehrbüchern, die Gründung von Ausbildungsstätten für Priester und Maßnahme der Zentralisierung durch die Landeskirchen) </w:t>
      </w:r>
      <w:r w:rsidRPr="001A3741">
        <w:t xml:space="preserve">das Gleichgewicht zwischen </w:t>
      </w:r>
      <w:r w:rsidRPr="001A3741">
        <w:lastRenderedPageBreak/>
        <w:t xml:space="preserve">lokalen und auswärtigen Identitätsquellen verschoben und die Abgrenzungen zwischen </w:t>
      </w:r>
      <w:r w:rsidR="00B23661">
        <w:t>annehmbaren</w:t>
      </w:r>
      <w:r w:rsidRPr="001A3741">
        <w:t xml:space="preserve"> und </w:t>
      </w:r>
      <w:r w:rsidR="00B23661">
        <w:t xml:space="preserve">verwerflichen Ausdrücken religiöser Praxis </w:t>
      </w:r>
      <w:r w:rsidRPr="001A3741">
        <w:t>verschärften.</w:t>
      </w:r>
    </w:p>
    <w:p w:rsidR="00C0155F" w:rsidRDefault="00C0155F" w:rsidP="002A05C4">
      <w:pPr>
        <w:spacing w:after="80" w:line="380" w:lineRule="exact"/>
      </w:pPr>
      <w:r>
        <w:t xml:space="preserve">Eine weniger strukturell/externe und stärker konstruktivistisch/interne Perspektive charakterisiert das Modell des </w:t>
      </w:r>
      <w:r w:rsidRPr="00C0155F">
        <w:rPr>
          <w:i/>
        </w:rPr>
        <w:t>self-fashioning</w:t>
      </w:r>
      <w:r>
        <w:t xml:space="preserve">. Ursprünglich aus der Literaturwissenschaft (und speziell </w:t>
      </w:r>
      <w:r w:rsidR="005448C1">
        <w:t xml:space="preserve">aus </w:t>
      </w:r>
      <w:r>
        <w:t xml:space="preserve">dem New Historicsim) stammend, </w:t>
      </w:r>
      <w:r w:rsidR="003A6538">
        <w:t>hebt es</w:t>
      </w:r>
      <w:r>
        <w:t xml:space="preserve"> die bewusste </w:t>
      </w:r>
      <w:r w:rsidR="00B817EC">
        <w:t>Generation</w:t>
      </w:r>
      <w:r>
        <w:t xml:space="preserve"> und Repräsentation bestimmter Erscheinungsformen</w:t>
      </w:r>
      <w:r w:rsidR="003A6538">
        <w:t xml:space="preserve"> hervor</w:t>
      </w:r>
      <w:r>
        <w:rPr>
          <w:rStyle w:val="FootnoteReference"/>
        </w:rPr>
        <w:footnoteReference w:id="17"/>
      </w:r>
      <w:r>
        <w:t xml:space="preserve">. Aus empirischen Gründen eher für soziale Eliten </w:t>
      </w:r>
      <w:r w:rsidR="003A6538">
        <w:t>erprobt</w:t>
      </w:r>
      <w:r>
        <w:t xml:space="preserve">, scheint der Ansatz potentiell auch für </w:t>
      </w:r>
      <w:r w:rsidR="009518AF">
        <w:t xml:space="preserve">die Erforschung von </w:t>
      </w:r>
      <w:r>
        <w:t>Verbände</w:t>
      </w:r>
      <w:r w:rsidR="009518AF">
        <w:t>n</w:t>
      </w:r>
      <w:r>
        <w:t xml:space="preserve"> wie </w:t>
      </w:r>
      <w:r w:rsidR="009518AF">
        <w:t xml:space="preserve">den Pfarreien </w:t>
      </w:r>
      <w:r>
        <w:t xml:space="preserve">fruchtbar. Eine Grundtendenz jüngerer Studien </w:t>
      </w:r>
      <w:r w:rsidR="000A0E01">
        <w:t>besteht ja darin, die aktive</w:t>
      </w:r>
      <w:r>
        <w:t xml:space="preserve"> Einflussnahme von Laien </w:t>
      </w:r>
      <w:r w:rsidR="003A6538">
        <w:t>auf</w:t>
      </w:r>
      <w:r>
        <w:t xml:space="preserve"> </w:t>
      </w:r>
      <w:r w:rsidR="003A6538">
        <w:t>die</w:t>
      </w:r>
      <w:r>
        <w:t xml:space="preserve"> ki</w:t>
      </w:r>
      <w:r w:rsidR="003A6538">
        <w:t>rchliche wie weltliche</w:t>
      </w:r>
      <w:r>
        <w:t xml:space="preserve"> Sphäre</w:t>
      </w:r>
      <w:r w:rsidR="000A0E01">
        <w:t xml:space="preserve"> zu betonen</w:t>
      </w:r>
      <w:r>
        <w:t xml:space="preserve">. </w:t>
      </w:r>
      <w:r w:rsidR="003A6538">
        <w:t>Zu denken wäre an den gezielten Ausbau der seelsorgerischen Infrastruktur (besonders via Mess- und Kapellstiftungen)</w:t>
      </w:r>
      <w:r w:rsidR="00974BDD">
        <w:t xml:space="preserve"> sowie die Ausstrahlung von Signalen über den Neubau und die Ausschmückung von Kirchenbauten</w:t>
      </w:r>
      <w:r w:rsidR="003A6538">
        <w:t xml:space="preserve"> vor der Reformation und die selbst im Zeitalter der </w:t>
      </w:r>
      <w:r w:rsidR="00974BDD">
        <w:t xml:space="preserve">frühneuzeitlichen </w:t>
      </w:r>
      <w:r w:rsidR="003A6538">
        <w:t>Staatsbildung unübersehbaren Eigeninitiativen der kommunalen Amtsträger</w:t>
      </w:r>
      <w:r w:rsidR="003A6538">
        <w:rPr>
          <w:rStyle w:val="FootnoteReference"/>
        </w:rPr>
        <w:footnoteReference w:id="18"/>
      </w:r>
      <w:r w:rsidR="003A6538">
        <w:t>.</w:t>
      </w:r>
    </w:p>
    <w:p w:rsidR="000314B9" w:rsidRDefault="006E0303" w:rsidP="002A05C4">
      <w:pPr>
        <w:spacing w:after="80" w:line="380" w:lineRule="exact"/>
      </w:pPr>
      <w:r w:rsidRPr="006E0303">
        <w:t xml:space="preserve">Aus der Pfarreiforschung im engeren Sinne kommen weitere konzeptionelle Anregungen. Die quantitative Analyse von Rechnungsbüchern </w:t>
      </w:r>
      <w:r w:rsidR="000314B9">
        <w:t xml:space="preserve">(zumindest von solchen </w:t>
      </w:r>
      <w:r w:rsidRPr="006E0303">
        <w:t>englischer Kirchenpfleger</w:t>
      </w:r>
      <w:r w:rsidR="000314B9">
        <w:t>)</w:t>
      </w:r>
      <w:r w:rsidRPr="006E0303">
        <w:t xml:space="preserve"> legt nahe, dass es in finanzieller wie atmosphärischer Hinsicht markante Unterschiede zwischen ländlich-kleinstädtischen Sprengeln und Pfarrgemeinden in urbanen Zentren gab. Während letztere aus Gaben verstorbener Stifter stammende Liegenschaften mit entsprechenden Mieteinnahmen </w:t>
      </w:r>
      <w:r w:rsidR="000314B9">
        <w:t>besaß</w:t>
      </w:r>
      <w:r w:rsidRPr="006E0303">
        <w:t xml:space="preserve">en, und damit ein abwechslungsreiches liturgisch-musikalisches Programm unterhielten, stützten sich erstere auf das aktive </w:t>
      </w:r>
      <w:r w:rsidRPr="006E0303">
        <w:rPr>
          <w:i/>
          <w:iCs/>
        </w:rPr>
        <w:t>fundraising</w:t>
      </w:r>
      <w:r w:rsidRPr="006E0303">
        <w:t xml:space="preserve"> der Lebenden, was zu einer höheren Prominenz von weltlich-geselligen Anlässen und breiterer Partizipation an der Pfarreiverwaltung führte</w:t>
      </w:r>
      <w:r w:rsidRPr="009336F3">
        <w:rPr>
          <w:rStyle w:val="FootnoteReference"/>
        </w:rPr>
        <w:footnoteReference w:id="19"/>
      </w:r>
      <w:r w:rsidR="000314B9">
        <w:t>.</w:t>
      </w:r>
    </w:p>
    <w:p w:rsidR="006E0303" w:rsidRDefault="005C4335" w:rsidP="002A05C4">
      <w:pPr>
        <w:spacing w:after="80" w:line="380" w:lineRule="exact"/>
      </w:pPr>
      <w:r w:rsidRPr="006E0303">
        <w:t xml:space="preserve">Katherine French </w:t>
      </w:r>
      <w:r w:rsidR="006E0303" w:rsidRPr="006E0303">
        <w:t xml:space="preserve">hat ihrerseits Pfarreien als </w:t>
      </w:r>
      <w:r w:rsidR="006E0303" w:rsidRPr="006E0303">
        <w:rPr>
          <w:i/>
          <w:iCs/>
        </w:rPr>
        <w:t>textual communities</w:t>
      </w:r>
      <w:r w:rsidR="006E0303" w:rsidRPr="006E0303">
        <w:t xml:space="preserve"> </w:t>
      </w:r>
      <w:r w:rsidR="001F7A59">
        <w:t xml:space="preserve">nach dem </w:t>
      </w:r>
      <w:r w:rsidR="00554EA6">
        <w:t>Konzept</w:t>
      </w:r>
      <w:r w:rsidR="001F7A59">
        <w:t xml:space="preserve"> von Brian Stock </w:t>
      </w:r>
      <w:r w:rsidR="006E0303" w:rsidRPr="006E0303">
        <w:t>konzeptualisiert, in denen Mitglieder über eine ortsspezifische Kombination von oraler und schriftlicher Kommunikation bzw. Performa</w:t>
      </w:r>
      <w:r>
        <w:t>nz und Verschriftung interagier</w:t>
      </w:r>
      <w:r w:rsidR="006E0303" w:rsidRPr="006E0303">
        <w:t>en. In offensichtlicher Hochschätzung der eigenen schriftlichen Überlieferung (und im Bewusstsein ihrer praktischen Vor</w:t>
      </w:r>
      <w:r w:rsidR="00FC4A81">
        <w:t>teile) wehrten sich Gemeinden (</w:t>
      </w:r>
      <w:r w:rsidR="006E0303" w:rsidRPr="006E0303">
        <w:t>z.B. via Kla</w:t>
      </w:r>
      <w:r w:rsidR="00FC4A81">
        <w:t xml:space="preserve">gen vor königlichen </w:t>
      </w:r>
      <w:r w:rsidR="00FC4A81" w:rsidRPr="00292624">
        <w:lastRenderedPageBreak/>
        <w:t xml:space="preserve">Gerichten) </w:t>
      </w:r>
      <w:r w:rsidR="006E0303" w:rsidRPr="00292624">
        <w:t xml:space="preserve">gegen Versuche von Pfarr- oder Patronatsherren, Dokumente und Bücher ihrem Zugriff zu entziehen. Insbesondere die pfarreispezifische Mischung von </w:t>
      </w:r>
      <w:r w:rsidR="0022485C" w:rsidRPr="00292624">
        <w:t>Vore</w:t>
      </w:r>
      <w:r w:rsidR="006E0303" w:rsidRPr="00292624">
        <w:t xml:space="preserve">ntwürfen, </w:t>
      </w:r>
      <w:r w:rsidR="0022485C" w:rsidRPr="00292624">
        <w:t>Buch</w:t>
      </w:r>
      <w:r w:rsidR="006E0303" w:rsidRPr="00292624">
        <w:t xml:space="preserve">prüfung, öffentlicher Vorlesung und kollektiver Verabschiedung der Jahresrechnungen interpretiert French als </w:t>
      </w:r>
      <w:r w:rsidR="00D615B3" w:rsidRPr="00292624">
        <w:t>„</w:t>
      </w:r>
      <w:r w:rsidR="006E0303" w:rsidRPr="00292624">
        <w:rPr>
          <w:snapToGrid w:val="0"/>
          <w:lang w:eastAsia="de-DE"/>
        </w:rPr>
        <w:t>a community-defining exercise that acknowledged the importance and uniqueness of a parish’s own space, history and ritual</w:t>
      </w:r>
      <w:r w:rsidR="00D615B3" w:rsidRPr="00292624">
        <w:t>“</w:t>
      </w:r>
      <w:r w:rsidR="006E0303" w:rsidRPr="00292624">
        <w:rPr>
          <w:rStyle w:val="FootnoteReference"/>
          <w:snapToGrid w:val="0"/>
          <w:lang w:eastAsia="de-DE"/>
        </w:rPr>
        <w:footnoteReference w:id="20"/>
      </w:r>
      <w:r w:rsidR="006E0303" w:rsidRPr="00292624">
        <w:rPr>
          <w:snapToGrid w:val="0"/>
          <w:lang w:eastAsia="de-DE"/>
        </w:rPr>
        <w:t xml:space="preserve">. </w:t>
      </w:r>
      <w:r w:rsidR="0028356D" w:rsidRPr="00292624">
        <w:rPr>
          <w:snapToGrid w:val="0"/>
          <w:lang w:eastAsia="de-DE"/>
        </w:rPr>
        <w:t>In a</w:t>
      </w:r>
      <w:r w:rsidR="006E0303" w:rsidRPr="00292624">
        <w:rPr>
          <w:snapToGrid w:val="0"/>
          <w:lang w:eastAsia="de-DE"/>
        </w:rPr>
        <w:t xml:space="preserve">dministrativ </w:t>
      </w:r>
      <w:r w:rsidR="0022485C" w:rsidRPr="00292624">
        <w:rPr>
          <w:snapToGrid w:val="0"/>
          <w:lang w:eastAsia="de-DE"/>
        </w:rPr>
        <w:t>hoch entwickelten</w:t>
      </w:r>
      <w:r w:rsidR="007A0460" w:rsidRPr="00292624">
        <w:rPr>
          <w:snapToGrid w:val="0"/>
          <w:lang w:eastAsia="de-DE"/>
        </w:rPr>
        <w:t xml:space="preserve"> </w:t>
      </w:r>
      <w:r w:rsidR="00B275DB" w:rsidRPr="00292624">
        <w:t>Pfarreien, auch außerhalb der groß</w:t>
      </w:r>
      <w:r w:rsidR="006E0303" w:rsidRPr="00292624">
        <w:t xml:space="preserve">en </w:t>
      </w:r>
      <w:r w:rsidR="00B275DB" w:rsidRPr="00292624">
        <w:t>Städte</w:t>
      </w:r>
      <w:r w:rsidR="006E0303" w:rsidRPr="00292624">
        <w:t xml:space="preserve">, </w:t>
      </w:r>
      <w:r w:rsidR="007A0460" w:rsidRPr="00292624">
        <w:t>wurde demnach</w:t>
      </w:r>
      <w:r w:rsidR="006E0303" w:rsidRPr="00292624">
        <w:t xml:space="preserve"> Schrift schon im </w:t>
      </w:r>
      <w:r w:rsidR="006E0303" w:rsidRPr="006E0303">
        <w:t>ausgehenden Mittelalter nicht nur zur Aufbewahrung</w:t>
      </w:r>
      <w:r w:rsidR="007A0460">
        <w:t xml:space="preserve"> und Übermittlung </w:t>
      </w:r>
      <w:r w:rsidR="006E0303" w:rsidRPr="006E0303">
        <w:t xml:space="preserve">von Informationen und Beschlüssen </w:t>
      </w:r>
      <w:r w:rsidR="00B8343D">
        <w:t xml:space="preserve">unterschiedlicher Art verwendet, sondern </w:t>
      </w:r>
      <w:r w:rsidR="006E0303" w:rsidRPr="006E0303">
        <w:t xml:space="preserve">etwa in der Form von standardisierten Mietrödeln oder dem </w:t>
      </w:r>
      <w:r w:rsidR="006E0303" w:rsidRPr="006E0303">
        <w:rPr>
          <w:i/>
          <w:iCs/>
        </w:rPr>
        <w:t>out-sourcing</w:t>
      </w:r>
      <w:r w:rsidR="006E0303" w:rsidRPr="006E0303">
        <w:t xml:space="preserve"> gewisser Aufgabe</w:t>
      </w:r>
      <w:r w:rsidR="00B8343D">
        <w:t xml:space="preserve">n an </w:t>
      </w:r>
      <w:r w:rsidR="00B120CA">
        <w:t xml:space="preserve">dienstleistende </w:t>
      </w:r>
      <w:r w:rsidR="00FE075C">
        <w:t xml:space="preserve">Personen </w:t>
      </w:r>
      <w:r w:rsidR="006E0303" w:rsidRPr="006E0303">
        <w:t>auch zur Rationalisierung und Strukturierung von Kommunikationsabläufen eingesetzt</w:t>
      </w:r>
      <w:r w:rsidR="006E0303" w:rsidRPr="009336F3">
        <w:rPr>
          <w:rStyle w:val="FootnoteReference"/>
        </w:rPr>
        <w:footnoteReference w:id="21"/>
      </w:r>
      <w:r w:rsidR="006E0303" w:rsidRPr="006E0303">
        <w:t>.</w:t>
      </w:r>
    </w:p>
    <w:p w:rsidR="0061328E" w:rsidRDefault="0061328E" w:rsidP="002A05C4">
      <w:pPr>
        <w:spacing w:after="80" w:line="380" w:lineRule="exact"/>
      </w:pPr>
      <w:r>
        <w:t>Die folgenden Arbeiten können</w:t>
      </w:r>
      <w:r w:rsidR="00387D87">
        <w:t xml:space="preserve"> mit diesem Hintergrund in ihrem</w:t>
      </w:r>
      <w:r>
        <w:t xml:space="preserve"> forschungs</w:t>
      </w:r>
      <w:r w:rsidR="00387D87">
        <w:t>spezifischen Kontext situiert werden.</w:t>
      </w:r>
    </w:p>
    <w:p w:rsidR="00876EDC" w:rsidRDefault="00D755A3" w:rsidP="002A05C4">
      <w:pPr>
        <w:spacing w:after="80" w:line="380" w:lineRule="exact"/>
        <w:rPr>
          <w:bCs/>
        </w:rPr>
      </w:pPr>
      <w:r w:rsidRPr="00292624">
        <w:t>Den ersten,</w:t>
      </w:r>
      <w:r w:rsidR="00CA379E" w:rsidRPr="00292624">
        <w:t xml:space="preserve"> regionalen Überblicke</w:t>
      </w:r>
      <w:r w:rsidRPr="00292624">
        <w:t>n gewidmete</w:t>
      </w:r>
      <w:r w:rsidR="00292624" w:rsidRPr="00292624">
        <w:t>n</w:t>
      </w:r>
      <w:r w:rsidRPr="00292624">
        <w:t xml:space="preserve"> Teil</w:t>
      </w:r>
      <w:r w:rsidR="00876EDC" w:rsidRPr="00292624">
        <w:t xml:space="preserve"> eröffnet Enno Bünz mit </w:t>
      </w:r>
      <w:r w:rsidR="006559C7" w:rsidRPr="00292624">
        <w:t xml:space="preserve">einer Arbeit </w:t>
      </w:r>
      <w:r w:rsidR="006559C7">
        <w:t xml:space="preserve">über </w:t>
      </w:r>
      <w:r w:rsidR="00D615B3">
        <w:rPr>
          <w:bCs/>
        </w:rPr>
        <w:t>„</w:t>
      </w:r>
      <w:r w:rsidR="00876EDC" w:rsidRPr="00876EDC">
        <w:t>Pfarrgemeinden im spätmittelalterlichen Deutschland</w:t>
      </w:r>
      <w:r w:rsidR="00D615B3">
        <w:rPr>
          <w:bCs/>
        </w:rPr>
        <w:t>“</w:t>
      </w:r>
      <w:r w:rsidR="00876EDC" w:rsidRPr="00876EDC">
        <w:rPr>
          <w:bCs/>
        </w:rPr>
        <w:t>. Nach einem Forschungsbericht, der vor allem die Vielzahl jüngerer Regionalstudien hervorh</w:t>
      </w:r>
      <w:r w:rsidR="00876EDC">
        <w:rPr>
          <w:bCs/>
        </w:rPr>
        <w:t>ebt</w:t>
      </w:r>
      <w:r w:rsidR="00876EDC" w:rsidRPr="00876EDC">
        <w:rPr>
          <w:bCs/>
        </w:rPr>
        <w:t xml:space="preserve">, </w:t>
      </w:r>
      <w:r w:rsidR="00876EDC">
        <w:rPr>
          <w:bCs/>
        </w:rPr>
        <w:t>erläutert</w:t>
      </w:r>
      <w:r w:rsidR="00876EDC" w:rsidRPr="00876EDC">
        <w:rPr>
          <w:bCs/>
        </w:rPr>
        <w:t xml:space="preserve"> der </w:t>
      </w:r>
      <w:r w:rsidR="00876EDC">
        <w:rPr>
          <w:bCs/>
        </w:rPr>
        <w:t>Autor</w:t>
      </w:r>
      <w:r w:rsidR="00876EDC" w:rsidRPr="00876EDC">
        <w:rPr>
          <w:bCs/>
        </w:rPr>
        <w:t xml:space="preserve"> grundlegende Fragen wie die nach der An</w:t>
      </w:r>
      <w:r w:rsidR="00FB6F37">
        <w:rPr>
          <w:bCs/>
        </w:rPr>
        <w:t>zahl von Kirchengemeinden (um die 50</w:t>
      </w:r>
      <w:r w:rsidR="00876EDC" w:rsidRPr="00876EDC">
        <w:rPr>
          <w:bCs/>
        </w:rPr>
        <w:t xml:space="preserve">000 im alten Reich), den kanonischen Rahmenbedingungen (Pfarrzwang, Gläubige als Untertanen des Pfarrers), innerkommunalen Strukturen (unterschiedliche Grösse der Sprengel, Beziehungen zu Kapellen) und langfristigen Entwicklungstendenzen (Ausbau der Seelsorge und Laienkontrolle über Stiftungen). Die Bedeutung des Untersuchungsgegenstandes </w:t>
      </w:r>
      <w:r w:rsidR="00876EDC">
        <w:rPr>
          <w:bCs/>
        </w:rPr>
        <w:t>unterstreicht</w:t>
      </w:r>
      <w:r w:rsidR="00876EDC" w:rsidRPr="00876EDC">
        <w:rPr>
          <w:bCs/>
        </w:rPr>
        <w:t xml:space="preserve"> die zusammenfassende Bilanz, dass sich die Pf</w:t>
      </w:r>
      <w:r w:rsidR="00312432">
        <w:rPr>
          <w:bCs/>
        </w:rPr>
        <w:t>arrei seit dem Hochmittelalter „</w:t>
      </w:r>
      <w:r w:rsidR="00876EDC" w:rsidRPr="00876EDC">
        <w:rPr>
          <w:bCs/>
        </w:rPr>
        <w:t xml:space="preserve">zur </w:t>
      </w:r>
      <w:r w:rsidR="00876EDC" w:rsidRPr="00876EDC">
        <w:t>wichtigsten Berührungszone zwischen Kirche und Welt, zwischen Klerus und Laien</w:t>
      </w:r>
      <w:r w:rsidR="00312432">
        <w:rPr>
          <w:bCs/>
        </w:rPr>
        <w:t>“</w:t>
      </w:r>
      <w:r w:rsidR="00876EDC" w:rsidRPr="00876EDC">
        <w:rPr>
          <w:bCs/>
        </w:rPr>
        <w:t xml:space="preserve"> entwickelte.</w:t>
      </w:r>
    </w:p>
    <w:p w:rsidR="00481D89" w:rsidRDefault="00876EDC" w:rsidP="002A05C4">
      <w:pPr>
        <w:spacing w:after="80" w:line="380" w:lineRule="exact"/>
        <w:rPr>
          <w:bCs/>
        </w:rPr>
      </w:pPr>
      <w:r>
        <w:rPr>
          <w:bCs/>
        </w:rPr>
        <w:t>Im zweiten Aufsatz behandelt</w:t>
      </w:r>
      <w:r w:rsidRPr="00876EDC">
        <w:rPr>
          <w:bCs/>
        </w:rPr>
        <w:t xml:space="preserve"> </w:t>
      </w:r>
      <w:r w:rsidRPr="006559C7">
        <w:rPr>
          <w:bCs/>
        </w:rPr>
        <w:t>Giorgio Chittolini</w:t>
      </w:r>
      <w:r w:rsidRPr="00876EDC">
        <w:rPr>
          <w:bCs/>
        </w:rPr>
        <w:t xml:space="preserve"> </w:t>
      </w:r>
      <w:r w:rsidR="00D615B3">
        <w:rPr>
          <w:bCs/>
        </w:rPr>
        <w:t>„</w:t>
      </w:r>
      <w:r w:rsidRPr="00876EDC">
        <w:t>Parrocchie, pievi e chiese minori nelle campagne padane (secoli XIV-XV)</w:t>
      </w:r>
      <w:r w:rsidR="00D615B3">
        <w:rPr>
          <w:bCs/>
        </w:rPr>
        <w:t>“</w:t>
      </w:r>
      <w:r w:rsidRPr="00876EDC">
        <w:rPr>
          <w:bCs/>
        </w:rPr>
        <w:t>. In ver</w:t>
      </w:r>
      <w:r w:rsidR="002C7928">
        <w:rPr>
          <w:bCs/>
        </w:rPr>
        <w:t>gleichender Perspektive erhellt</w:t>
      </w:r>
      <w:r w:rsidRPr="00876EDC">
        <w:rPr>
          <w:bCs/>
        </w:rPr>
        <w:t xml:space="preserve"> er die sich von </w:t>
      </w:r>
      <w:r w:rsidR="006559C7">
        <w:rPr>
          <w:bCs/>
        </w:rPr>
        <w:t xml:space="preserve">den </w:t>
      </w:r>
      <w:r w:rsidRPr="00876EDC">
        <w:rPr>
          <w:bCs/>
        </w:rPr>
        <w:t xml:space="preserve">Verhältnissen </w:t>
      </w:r>
      <w:r w:rsidR="006559C7">
        <w:rPr>
          <w:bCs/>
        </w:rPr>
        <w:t xml:space="preserve">nördlich der Alpen </w:t>
      </w:r>
      <w:r w:rsidRPr="00876EDC">
        <w:rPr>
          <w:bCs/>
        </w:rPr>
        <w:t xml:space="preserve">stark unterscheidenden niederkirchlichen Strukturen in </w:t>
      </w:r>
      <w:r w:rsidRPr="00876EDC">
        <w:rPr>
          <w:bCs/>
        </w:rPr>
        <w:lastRenderedPageBreak/>
        <w:t>Nord- und Mittelitalien. Hervorzuheben si</w:t>
      </w:r>
      <w:r w:rsidR="00B908E6">
        <w:rPr>
          <w:bCs/>
        </w:rPr>
        <w:t>nd in erster Linie die sich au</w:t>
      </w:r>
      <w:r w:rsidR="00F92D38">
        <w:rPr>
          <w:bCs/>
        </w:rPr>
        <w:t>ß</w:t>
      </w:r>
      <w:r w:rsidRPr="00876EDC">
        <w:rPr>
          <w:bCs/>
        </w:rPr>
        <w:t>erordentlich lange</w:t>
      </w:r>
      <w:r w:rsidR="00F92D38">
        <w:rPr>
          <w:bCs/>
        </w:rPr>
        <w:t xml:space="preserve">, nämlich bis ins 16. </w:t>
      </w:r>
      <w:r w:rsidR="00B123DF">
        <w:rPr>
          <w:bCs/>
        </w:rPr>
        <w:t>Jh.</w:t>
      </w:r>
      <w:r w:rsidR="00F92D38">
        <w:rPr>
          <w:bCs/>
        </w:rPr>
        <w:t xml:space="preserve"> </w:t>
      </w:r>
      <w:r w:rsidRPr="00876EDC">
        <w:rPr>
          <w:bCs/>
        </w:rPr>
        <w:t>haltende Vorrangstellung der Mutterpfarreien (</w:t>
      </w:r>
      <w:r w:rsidRPr="00876EDC">
        <w:rPr>
          <w:bCs/>
          <w:i/>
        </w:rPr>
        <w:t>sistema pievano</w:t>
      </w:r>
      <w:r w:rsidRPr="00876EDC">
        <w:rPr>
          <w:bCs/>
        </w:rPr>
        <w:t>) und die immer stärke</w:t>
      </w:r>
      <w:r w:rsidR="00F92D38">
        <w:rPr>
          <w:bCs/>
        </w:rPr>
        <w:t>re Einflussnahme von etwa dreiß</w:t>
      </w:r>
      <w:r w:rsidRPr="00876EDC">
        <w:rPr>
          <w:bCs/>
        </w:rPr>
        <w:t xml:space="preserve">ig </w:t>
      </w:r>
      <w:r w:rsidR="00F92D38">
        <w:rPr>
          <w:bCs/>
        </w:rPr>
        <w:t>Städten</w:t>
      </w:r>
      <w:r w:rsidRPr="00876EDC">
        <w:rPr>
          <w:bCs/>
        </w:rPr>
        <w:t xml:space="preserve"> auf ihre Landgebiete. Zwar kam es auch in diesem Untersuchungsraum dank lokalen Initiativen im Verlauf des Spätmittelalters zu einer Vermehrung von </w:t>
      </w:r>
      <w:r w:rsidRPr="00876EDC">
        <w:rPr>
          <w:bCs/>
          <w:i/>
        </w:rPr>
        <w:t>chiese curate</w:t>
      </w:r>
      <w:r w:rsidR="00F92D38">
        <w:rPr>
          <w:bCs/>
        </w:rPr>
        <w:t xml:space="preserve"> (das </w:t>
      </w:r>
      <w:r w:rsidR="00BC721D">
        <w:rPr>
          <w:bCs/>
        </w:rPr>
        <w:t>heißt Kirchengemeinden mit einem</w:t>
      </w:r>
      <w:r w:rsidR="00F92D38">
        <w:rPr>
          <w:bCs/>
        </w:rPr>
        <w:t xml:space="preserve"> eigenen Seelsorger)</w:t>
      </w:r>
      <w:r w:rsidRPr="00876EDC">
        <w:rPr>
          <w:bCs/>
        </w:rPr>
        <w:t>, doch gelang es den relativ schwachen Landgemeinden nicht, diese so dauerhaft und eigenständig zu etablieren</w:t>
      </w:r>
      <w:r w:rsidR="00BC721D">
        <w:rPr>
          <w:bCs/>
        </w:rPr>
        <w:t xml:space="preserve">, </w:t>
      </w:r>
      <w:r w:rsidRPr="00876EDC">
        <w:rPr>
          <w:bCs/>
        </w:rPr>
        <w:t xml:space="preserve">wie </w:t>
      </w:r>
      <w:r w:rsidR="00BC721D">
        <w:rPr>
          <w:bCs/>
        </w:rPr>
        <w:t xml:space="preserve">das </w:t>
      </w:r>
      <w:r w:rsidRPr="00876EDC">
        <w:rPr>
          <w:bCs/>
        </w:rPr>
        <w:t>etwa im Reich oder in England</w:t>
      </w:r>
      <w:r w:rsidR="00BC721D">
        <w:rPr>
          <w:bCs/>
        </w:rPr>
        <w:t xml:space="preserve"> üblich war</w:t>
      </w:r>
      <w:r w:rsidRPr="00876EDC">
        <w:rPr>
          <w:bCs/>
        </w:rPr>
        <w:t xml:space="preserve">. Zentrale Bedeutung sind zudem den Aktivitäten der Bettelorden sowie den nachtridentinischen Konsolidationsbestrebungen unter </w:t>
      </w:r>
      <w:r w:rsidR="007F4D57">
        <w:rPr>
          <w:bCs/>
        </w:rPr>
        <w:t>Karl Borromäus</w:t>
      </w:r>
      <w:r w:rsidRPr="00876EDC">
        <w:rPr>
          <w:bCs/>
        </w:rPr>
        <w:t xml:space="preserve"> zuzumessen.</w:t>
      </w:r>
    </w:p>
    <w:p w:rsidR="00714B71" w:rsidRDefault="00512628" w:rsidP="002A05C4">
      <w:pPr>
        <w:spacing w:after="80" w:line="380" w:lineRule="exact"/>
        <w:rPr>
          <w:bCs/>
        </w:rPr>
      </w:pPr>
      <w:r>
        <w:rPr>
          <w:bCs/>
        </w:rPr>
        <w:t xml:space="preserve">Anschliessend </w:t>
      </w:r>
      <w:r w:rsidR="00714B71">
        <w:rPr>
          <w:bCs/>
        </w:rPr>
        <w:t xml:space="preserve">richtet sich das </w:t>
      </w:r>
      <w:r w:rsidR="008F190D">
        <w:rPr>
          <w:bCs/>
        </w:rPr>
        <w:t>A</w:t>
      </w:r>
      <w:r w:rsidR="00714B71">
        <w:rPr>
          <w:bCs/>
        </w:rPr>
        <w:t xml:space="preserve">ugenmerk auf die von </w:t>
      </w:r>
      <w:r w:rsidR="00714B71" w:rsidRPr="00512628">
        <w:rPr>
          <w:bCs/>
        </w:rPr>
        <w:t>Robert Swanson</w:t>
      </w:r>
      <w:r w:rsidR="00714B71">
        <w:rPr>
          <w:bCs/>
        </w:rPr>
        <w:t xml:space="preserve"> untersuchten „</w:t>
      </w:r>
      <w:r w:rsidR="00714B71">
        <w:t>Parish Communities in late medieval England</w:t>
      </w:r>
      <w:r w:rsidR="00714B71">
        <w:rPr>
          <w:bCs/>
        </w:rPr>
        <w:t xml:space="preserve">“. Nicht zuletzt dank </w:t>
      </w:r>
      <w:r w:rsidR="008F190D">
        <w:rPr>
          <w:bCs/>
        </w:rPr>
        <w:t>der guten</w:t>
      </w:r>
      <w:r w:rsidR="00714B71">
        <w:rPr>
          <w:bCs/>
        </w:rPr>
        <w:t xml:space="preserve"> Quellenlage erfreut sich die spätmittelalterliche Kirchengemeinde dort seit geraumer Zeit besonderer Aufmerksamkeit. Swanson warnt allerdings davor, sie isoliert als Laiengemeinschaft zu betrachten. Ebenso wichtig sind für ihn die externen (also etwa anlässlich von Visitationen artikulierten) Perspektiven, sowie der Blickwinkel und Beitrag des niederen Klerus, dessen Persönlichkeit, Rechte und Pflichten das kirchliche Leben entscheidend prägten. Heterogenität von Kontexten und inneren Strukturen komplizieren die Untersuchung von kommunalen Identitäten, in Elementen wie dem in die Messfeier integrierten </w:t>
      </w:r>
      <w:r w:rsidR="00714B71">
        <w:rPr>
          <w:bCs/>
          <w:i/>
        </w:rPr>
        <w:t>bidding prayer</w:t>
      </w:r>
      <w:r w:rsidR="00714B71">
        <w:rPr>
          <w:bCs/>
        </w:rPr>
        <w:t xml:space="preserve"> finden sich aber wertvolle Ansatzpunkte.</w:t>
      </w:r>
    </w:p>
    <w:p w:rsidR="007F4D57" w:rsidRPr="007F4D57" w:rsidRDefault="007F4D57" w:rsidP="002A05C4">
      <w:pPr>
        <w:spacing w:after="80" w:line="380" w:lineRule="exact"/>
        <w:rPr>
          <w:bCs/>
        </w:rPr>
      </w:pPr>
    </w:p>
    <w:p w:rsidR="00481D89" w:rsidRPr="00292624" w:rsidRDefault="004768E9" w:rsidP="007F4D57">
      <w:pPr>
        <w:spacing w:after="160" w:line="380" w:lineRule="exact"/>
        <w:rPr>
          <w:i/>
        </w:rPr>
      </w:pPr>
      <w:r w:rsidRPr="00292624">
        <w:rPr>
          <w:i/>
        </w:rPr>
        <w:t>Kulturprax</w:t>
      </w:r>
      <w:r w:rsidR="00CA379E" w:rsidRPr="00292624">
        <w:rPr>
          <w:i/>
        </w:rPr>
        <w:t>is in vormodernen Pfarreien</w:t>
      </w:r>
    </w:p>
    <w:p w:rsidR="003A5ECF" w:rsidRDefault="00B5111B" w:rsidP="002A05C4">
      <w:pPr>
        <w:spacing w:after="80" w:line="380" w:lineRule="exact"/>
      </w:pPr>
      <w:r w:rsidRPr="00292624">
        <w:t xml:space="preserve">Aus der Vielfalt möglicher </w:t>
      </w:r>
      <w:r w:rsidR="005234F4" w:rsidRPr="00292624">
        <w:t>Betrachtungs</w:t>
      </w:r>
      <w:r w:rsidR="0022485C" w:rsidRPr="00292624">
        <w:t>objekte</w:t>
      </w:r>
      <w:r w:rsidRPr="00292624">
        <w:t xml:space="preserve"> </w:t>
      </w:r>
      <w:r w:rsidR="00E9109D" w:rsidRPr="00292624">
        <w:t>werden</w:t>
      </w:r>
      <w:r w:rsidRPr="00292624">
        <w:t xml:space="preserve"> im zweiten Teil des Bandes die interdisziplinären Themen </w:t>
      </w:r>
      <w:r w:rsidR="0022485C" w:rsidRPr="00292624">
        <w:t xml:space="preserve">Identitätsbildung, (städtisches) Kirchenregiment, </w:t>
      </w:r>
      <w:r w:rsidR="006043AC" w:rsidRPr="00292624">
        <w:t>Baugeschichte</w:t>
      </w:r>
      <w:r w:rsidRPr="00292624">
        <w:t xml:space="preserve">, Musik und </w:t>
      </w:r>
      <w:r w:rsidR="007F4D57" w:rsidRPr="00292624">
        <w:t>Bibliotheksgeschichte</w:t>
      </w:r>
      <w:r w:rsidRPr="00292624">
        <w:t xml:space="preserve"> </w:t>
      </w:r>
      <w:r w:rsidR="00355232" w:rsidRPr="00292624">
        <w:t>ex</w:t>
      </w:r>
      <w:r w:rsidR="005234F4" w:rsidRPr="00292624">
        <w:t xml:space="preserve">emplarisch </w:t>
      </w:r>
      <w:r w:rsidR="00E9109D" w:rsidRPr="00292624">
        <w:t>aufgegriffen</w:t>
      </w:r>
      <w:r w:rsidRPr="00292624">
        <w:t>.</w:t>
      </w:r>
      <w:r w:rsidR="007F4D57" w:rsidRPr="00292624">
        <w:t xml:space="preserve"> Die Pfarrei der Vormoderne war nicht nur eine </w:t>
      </w:r>
      <w:r w:rsidR="007B49EE" w:rsidRPr="00292624">
        <w:t xml:space="preserve">reine </w:t>
      </w:r>
      <w:r w:rsidR="007F4D57" w:rsidRPr="00292624">
        <w:t>Organisationsst</w:t>
      </w:r>
      <w:r w:rsidR="00E2183F" w:rsidRPr="00292624">
        <w:t xml:space="preserve">ruktur, sondern ein Ort </w:t>
      </w:r>
      <w:r w:rsidR="0022485C" w:rsidRPr="00292624">
        <w:t>kultureller Interaktionen</w:t>
      </w:r>
      <w:r w:rsidR="00865098" w:rsidRPr="00292624">
        <w:t xml:space="preserve">. In </w:t>
      </w:r>
      <w:r w:rsidR="00865098">
        <w:t xml:space="preserve">gewisser Hinsicht kann sogar die Pfarrei für sich in Anspruch nehmen, der </w:t>
      </w:r>
      <w:r w:rsidR="00DD7A4C">
        <w:t xml:space="preserve">aktivste </w:t>
      </w:r>
      <w:r w:rsidR="00865098">
        <w:t xml:space="preserve">Knotenpunkt </w:t>
      </w:r>
      <w:r w:rsidR="007B49EE">
        <w:t xml:space="preserve">vormoderner Gesellschaften </w:t>
      </w:r>
      <w:r w:rsidR="00865098">
        <w:t xml:space="preserve">zu sein, </w:t>
      </w:r>
      <w:r w:rsidR="007B49EE">
        <w:t xml:space="preserve">denn </w:t>
      </w:r>
      <w:r w:rsidR="00865098">
        <w:t xml:space="preserve">Diskurse unterschiedlichen </w:t>
      </w:r>
      <w:r w:rsidR="00742521">
        <w:t xml:space="preserve">Ursprunges </w:t>
      </w:r>
      <w:r w:rsidR="005B1192">
        <w:t xml:space="preserve">und verschiedener Relevanz </w:t>
      </w:r>
      <w:r w:rsidR="00742521">
        <w:t>trafen, überlagerten, ja widersprachen</w:t>
      </w:r>
      <w:r w:rsidR="007B49EE">
        <w:t xml:space="preserve"> sich innerhalb der Kirchengemeinden</w:t>
      </w:r>
      <w:r w:rsidR="00742521">
        <w:t xml:space="preserve">. </w:t>
      </w:r>
      <w:r w:rsidR="002D4F10">
        <w:t xml:space="preserve">Man denke nur an die Konflikte </w:t>
      </w:r>
      <w:r w:rsidR="00742521">
        <w:t>zwischen kirchenrechtlichen Bestimmungen und lokalen Bräuchen, welche ihren Niederschlag nicht nur in der seelsorgerischen Tätigkeit der Pfarrer fanden, sondern in der Gestaltung von Artefakten wie Bildern</w:t>
      </w:r>
      <w:r w:rsidR="002D4F10">
        <w:t>, Gegenständen</w:t>
      </w:r>
      <w:r w:rsidR="00742521">
        <w:t xml:space="preserve"> und </w:t>
      </w:r>
      <w:r w:rsidR="003A5ECF">
        <w:t>Kirchenräumen.</w:t>
      </w:r>
    </w:p>
    <w:p w:rsidR="007F4D57" w:rsidRDefault="00742521" w:rsidP="002A05C4">
      <w:pPr>
        <w:spacing w:after="80" w:line="380" w:lineRule="exact"/>
      </w:pPr>
      <w:r>
        <w:t>Rein quantitativ</w:t>
      </w:r>
      <w:r w:rsidR="00013E17">
        <w:t xml:space="preserve"> betrachtet, übernahmen hier die Pfarreien </w:t>
      </w:r>
      <w:r w:rsidR="002D4F10">
        <w:t>eine Rolle der Vermittlung kultureller Inhalte, die kaum unterschätzt werden kann</w:t>
      </w:r>
      <w:r w:rsidR="001A1138">
        <w:t xml:space="preserve">, </w:t>
      </w:r>
      <w:r w:rsidR="00355232">
        <w:t>zumal</w:t>
      </w:r>
      <w:r w:rsidR="001A1138">
        <w:t xml:space="preserve"> außerhalb der großen städtischen Zentren</w:t>
      </w:r>
      <w:r w:rsidR="002D4F10">
        <w:t xml:space="preserve">. Trotzdem muss festgestellt werden, dass die einschlägige Forschung die </w:t>
      </w:r>
      <w:r w:rsidR="002D4F10">
        <w:lastRenderedPageBreak/>
        <w:t xml:space="preserve">Pfarrei als Forschungsobjekt </w:t>
      </w:r>
      <w:r w:rsidR="003A5ECF">
        <w:t>zumindest in einigen Teildisziplinen</w:t>
      </w:r>
      <w:r w:rsidR="00AD7A6C">
        <w:t xml:space="preserve"> </w:t>
      </w:r>
      <w:r w:rsidR="00F2301E">
        <w:t>vernachlässigt hat</w:t>
      </w:r>
      <w:r w:rsidR="00584E0F">
        <w:rPr>
          <w:rStyle w:val="FootnoteReference"/>
        </w:rPr>
        <w:footnoteReference w:id="22"/>
      </w:r>
      <w:r w:rsidR="00584E0F">
        <w:t>, und dies obwohl die Hybridisierung der wissenschaftlichen Ansätze, wie sie in den letzten Jahrzehnten in den Geisteswissenschaften stattgefunden hat, die besten Voraussetzungen</w:t>
      </w:r>
      <w:r w:rsidR="00DD7A4C">
        <w:t xml:space="preserve"> dafür bot. Die </w:t>
      </w:r>
      <w:r w:rsidR="00461317">
        <w:t>im zweiten Teil des Bandes</w:t>
      </w:r>
      <w:r w:rsidR="00DD7A4C">
        <w:t xml:space="preserve"> versammelten </w:t>
      </w:r>
      <w:r w:rsidR="00461317">
        <w:t>Arbeiten</w:t>
      </w:r>
      <w:r w:rsidR="00DD7A4C">
        <w:t xml:space="preserve"> verstehen sich als </w:t>
      </w:r>
      <w:r w:rsidR="00461317">
        <w:t xml:space="preserve">Beiträge zu einer </w:t>
      </w:r>
      <w:r w:rsidR="004A5730">
        <w:t xml:space="preserve">neuen, frischen </w:t>
      </w:r>
      <w:r w:rsidR="0034037B">
        <w:t>Betrachtung kultureller Manifestierungen</w:t>
      </w:r>
      <w:r w:rsidR="004A5730">
        <w:t xml:space="preserve"> in vormodernen Pfarreien und auch als Anregung, </w:t>
      </w:r>
      <w:r w:rsidR="00AD7A6C">
        <w:t>auch auf dem Gebiet der Bau- und Kunstgeschichte, der Musikwissenschaft und der Buch- und Bibliotheksgeschichte sich der Pfarrei als Kategorie anzunehmen.</w:t>
      </w:r>
      <w:r w:rsidR="00FF63E0">
        <w:t xml:space="preserve"> </w:t>
      </w:r>
    </w:p>
    <w:p w:rsidR="00CA379E" w:rsidRDefault="00CA379E" w:rsidP="00CA379E">
      <w:pPr>
        <w:spacing w:after="80" w:line="380" w:lineRule="exact"/>
        <w:rPr>
          <w:bCs/>
        </w:rPr>
      </w:pPr>
      <w:r w:rsidRPr="00292624">
        <w:rPr>
          <w:bCs/>
        </w:rPr>
        <w:t>Zunächst beleuchtet Catherine Vincents Beitrag zur „</w:t>
      </w:r>
      <w:r w:rsidRPr="00292624">
        <w:t xml:space="preserve">Identité et transferts culturels dans les </w:t>
      </w:r>
      <w:r w:rsidRPr="00384C2B">
        <w:t>paroisses françaises du XIII</w:t>
      </w:r>
      <w:r w:rsidRPr="00384C2B">
        <w:rPr>
          <w:vertAlign w:val="superscript"/>
        </w:rPr>
        <w:t>e</w:t>
      </w:r>
      <w:r w:rsidRPr="00384C2B">
        <w:t xml:space="preserve"> au XV</w:t>
      </w:r>
      <w:r w:rsidRPr="00384C2B">
        <w:rPr>
          <w:vertAlign w:val="superscript"/>
        </w:rPr>
        <w:t>e</w:t>
      </w:r>
      <w:r w:rsidRPr="00384C2B">
        <w:t xml:space="preserve"> siècle</w:t>
      </w:r>
      <w:r>
        <w:rPr>
          <w:bCs/>
        </w:rPr>
        <w:t xml:space="preserve">“ die beiden Hauptthemen der Tagung für den französischsprachigen Raum. Sie unterscheidet zwischen vor allem auf den Vorgaben des 4. Laterankonzils von 1215 beruhender religiöser, in kollektiven Initiativen wie Bauprojekten realisierter, </w:t>
      </w:r>
      <w:r w:rsidRPr="00AD7A6C">
        <w:rPr>
          <w:bCs/>
        </w:rPr>
        <w:t>lokaler</w:t>
      </w:r>
      <w:r>
        <w:rPr>
          <w:bCs/>
          <w:i/>
        </w:rPr>
        <w:t xml:space="preserve"> </w:t>
      </w:r>
      <w:r>
        <w:rPr>
          <w:bCs/>
        </w:rPr>
        <w:t xml:space="preserve">und eher </w:t>
      </w:r>
      <w:r w:rsidRPr="00AD7A6C">
        <w:rPr>
          <w:bCs/>
        </w:rPr>
        <w:t>individuell-familiärer</w:t>
      </w:r>
      <w:r>
        <w:rPr>
          <w:bCs/>
        </w:rPr>
        <w:t xml:space="preserve"> Identität. Kulturtransferprozesse verliefen keineswegs nur von </w:t>
      </w:r>
      <w:r>
        <w:t>oben nach unten</w:t>
      </w:r>
      <w:r>
        <w:rPr>
          <w:bCs/>
        </w:rPr>
        <w:t>, da sowohl Predigten wie auch kirchliche Rituale stark von lokalen Praktiken mitgeprägt waren. Eindringlich wird abschließend zu weiter gehenden, vergleichenden Forschungen über Koexistenz und mögliche Friktionen der verschiedenen Identitäten aufgerufen.</w:t>
      </w:r>
    </w:p>
    <w:p w:rsidR="00AD7A6C" w:rsidRDefault="00AD7A6C" w:rsidP="00AD7A6C">
      <w:pPr>
        <w:spacing w:after="80" w:line="380" w:lineRule="exact"/>
        <w:rPr>
          <w:bCs/>
        </w:rPr>
      </w:pPr>
      <w:r>
        <w:rPr>
          <w:bCs/>
        </w:rPr>
        <w:t xml:space="preserve">Mit einer zentralen Institution des Niederkirchenwesens befasst sich dann </w:t>
      </w:r>
      <w:r w:rsidRPr="00AD7A6C">
        <w:rPr>
          <w:bCs/>
        </w:rPr>
        <w:t>Arnd Reitemeier</w:t>
      </w:r>
      <w:r>
        <w:rPr>
          <w:bCs/>
        </w:rPr>
        <w:t xml:space="preserve"> in seiner Studie „</w:t>
      </w:r>
      <w:r w:rsidRPr="00306AAB">
        <w:rPr>
          <w:bCs/>
        </w:rPr>
        <w:t xml:space="preserve">Kultur in der </w:t>
      </w:r>
      <w:r w:rsidR="0048391E">
        <w:rPr>
          <w:rFonts w:cs="Times New Roman"/>
          <w:bCs/>
          <w:szCs w:val="24"/>
        </w:rPr>
        <w:t xml:space="preserve">Pfarrkirche. </w:t>
      </w:r>
      <w:r w:rsidRPr="00306AAB">
        <w:rPr>
          <w:rFonts w:cs="Times New Roman"/>
          <w:bCs/>
          <w:szCs w:val="24"/>
        </w:rPr>
        <w:t>Identifikation mit der Pfarrkirche in der Stadt des späten Mittelalters</w:t>
      </w:r>
      <w:r>
        <w:rPr>
          <w:rFonts w:cs="Times New Roman"/>
          <w:bCs/>
          <w:szCs w:val="24"/>
        </w:rPr>
        <w:t>“</w:t>
      </w:r>
      <w:r w:rsidRPr="0092443A">
        <w:rPr>
          <w:bCs/>
        </w:rPr>
        <w:t xml:space="preserve">. </w:t>
      </w:r>
      <w:r>
        <w:rPr>
          <w:bCs/>
        </w:rPr>
        <w:t>Als</w:t>
      </w:r>
      <w:r w:rsidRPr="0092443A">
        <w:rPr>
          <w:bCs/>
        </w:rPr>
        <w:t xml:space="preserve"> </w:t>
      </w:r>
      <w:r w:rsidRPr="0092443A">
        <w:t xml:space="preserve">Ansammlung von </w:t>
      </w:r>
      <w:r w:rsidR="00A6687F">
        <w:t xml:space="preserve">Rechts- und Besitztiteln </w:t>
      </w:r>
      <w:r>
        <w:t>stand die Fabrik in den Städten des Reiches unter der starken Kontrolle des Rats. Letzterer traf im kulturprägenden Rahmen des Christentums alle politisch und kirchlich relevanten Grundsatzentscheide. Die Pfleger bzw. Kirchmeister d</w:t>
      </w:r>
      <w:r w:rsidR="00A6687F">
        <w:t>er einzelnen Pfarrkirchen besaß</w:t>
      </w:r>
      <w:r>
        <w:t xml:space="preserve">en somit keine </w:t>
      </w:r>
      <w:r>
        <w:rPr>
          <w:bCs/>
        </w:rPr>
        <w:t xml:space="preserve">Deutungshoheit, sondern lediglich eine ausführende Funktion, die es ihnen etwa über die konkrete Ausgestaltung von Räumen und </w:t>
      </w:r>
      <w:r w:rsidR="00335C0A">
        <w:rPr>
          <w:bCs/>
        </w:rPr>
        <w:t>rituellen Vorgängen</w:t>
      </w:r>
      <w:r>
        <w:rPr>
          <w:bCs/>
        </w:rPr>
        <w:t xml:space="preserve"> erlaubte, Akzente zu setzen und zentralen kulturellen Werten wie der „guten Ordnung“ Nachdruck zu verschaffen.</w:t>
      </w:r>
    </w:p>
    <w:p w:rsidR="00E9109D" w:rsidRDefault="008451CC" w:rsidP="002A05C4">
      <w:pPr>
        <w:spacing w:after="80" w:line="380" w:lineRule="exact"/>
        <w:rPr>
          <w:bCs/>
        </w:rPr>
      </w:pPr>
      <w:r>
        <w:rPr>
          <w:bCs/>
        </w:rPr>
        <w:t xml:space="preserve">In seinem </w:t>
      </w:r>
      <w:r w:rsidR="00FB6F37">
        <w:rPr>
          <w:bCs/>
        </w:rPr>
        <w:t xml:space="preserve">reich </w:t>
      </w:r>
      <w:r>
        <w:rPr>
          <w:bCs/>
        </w:rPr>
        <w:t>illustrierten Beitrag „</w:t>
      </w:r>
      <w:r w:rsidRPr="00AB5F0B">
        <w:t>Der Bau von Pfarrkirchen in Nürnberg und Schweinfurt</w:t>
      </w:r>
      <w:r>
        <w:rPr>
          <w:bCs/>
        </w:rPr>
        <w:t xml:space="preserve">“ unterstreicht </w:t>
      </w:r>
      <w:r w:rsidRPr="00AD7A6C">
        <w:rPr>
          <w:bCs/>
        </w:rPr>
        <w:t>Martin Brandl</w:t>
      </w:r>
      <w:r>
        <w:rPr>
          <w:bCs/>
        </w:rPr>
        <w:t xml:space="preserve">, dass neben der üblichen Konzentration auf Kathedralen und Abteien auch die Pfarrkirchenarchitektur zentrale Einsichten zur Sakralkultur einer Region zu vermitteln vermag. An Hand der Fallbeispiele </w:t>
      </w:r>
      <w:r w:rsidR="00335C0A">
        <w:rPr>
          <w:bCs/>
        </w:rPr>
        <w:t>von St. Sebald in Nürnberg und St. Johannis in Schweinfurt verdeutlicht der Autor die weit über bloß</w:t>
      </w:r>
      <w:r>
        <w:rPr>
          <w:bCs/>
        </w:rPr>
        <w:t xml:space="preserve">e Zitate der </w:t>
      </w:r>
      <w:r>
        <w:rPr>
          <w:bCs/>
          <w:i/>
        </w:rPr>
        <w:t>ecclesia matrix</w:t>
      </w:r>
      <w:r>
        <w:rPr>
          <w:bCs/>
        </w:rPr>
        <w:t xml:space="preserve"> hinausgehende architektonische Gestaltung von Kirchenräumen. Konkret </w:t>
      </w:r>
      <w:r>
        <w:rPr>
          <w:bCs/>
        </w:rPr>
        <w:lastRenderedPageBreak/>
        <w:t>können Einflüsse aus dem elsässisch-burgundischen Raum und die oft eklektisch anmutende Kombination verschiedener Stilelemente aufgezeigt werden. Die Quellenbasis erlaubt zwar Korrekturen an bisherigen Datierungsmodellen, leider aber nicht die Erhellung der Entscheidungsfindung in der Planung und Ausführung der Bauprojekte.</w:t>
      </w:r>
    </w:p>
    <w:p w:rsidR="00384C2B" w:rsidRDefault="00384C2B" w:rsidP="002A05C4">
      <w:pPr>
        <w:spacing w:after="80" w:line="380" w:lineRule="exact"/>
        <w:rPr>
          <w:bCs/>
        </w:rPr>
      </w:pPr>
      <w:r>
        <w:rPr>
          <w:bCs/>
        </w:rPr>
        <w:t xml:space="preserve">Die erstaunliche Verbreitung und Entwicklung der </w:t>
      </w:r>
      <w:r w:rsidRPr="00384C2B">
        <w:rPr>
          <w:bCs/>
        </w:rPr>
        <w:t xml:space="preserve">Kirchenmusik am Vorabend der Reformation steht im Zentrum der Ausführungen von </w:t>
      </w:r>
      <w:r w:rsidRPr="00335C0A">
        <w:rPr>
          <w:bCs/>
        </w:rPr>
        <w:t>Magnus Williamson</w:t>
      </w:r>
      <w:r w:rsidR="00335C0A">
        <w:rPr>
          <w:bCs/>
        </w:rPr>
        <w:t>, der mit seinem Beitrag ein Gebiet vertritt, auf dem die Forschungsdefizite besonders groß sind</w:t>
      </w:r>
      <w:r w:rsidRPr="00384C2B">
        <w:rPr>
          <w:bCs/>
        </w:rPr>
        <w:t>. In „</w:t>
      </w:r>
      <w:r w:rsidRPr="00384C2B">
        <w:rPr>
          <w:rFonts w:cs="Times New Roman"/>
          <w:szCs w:val="24"/>
        </w:rPr>
        <w:t>Parish music in late-medieval England: local, regional, national identities</w:t>
      </w:r>
      <w:r>
        <w:rPr>
          <w:bCs/>
        </w:rPr>
        <w:t>“ erscheint d</w:t>
      </w:r>
      <w:r w:rsidRPr="00384C2B">
        <w:rPr>
          <w:bCs/>
        </w:rPr>
        <w:t xml:space="preserve">as 15. Jahrhundert als wichtigste Wachstumsphase </w:t>
      </w:r>
      <w:r w:rsidR="00337B49">
        <w:rPr>
          <w:bCs/>
        </w:rPr>
        <w:t>liturgischer</w:t>
      </w:r>
      <w:r w:rsidRPr="00384C2B">
        <w:rPr>
          <w:bCs/>
        </w:rPr>
        <w:t xml:space="preserve"> Aktivitäten</w:t>
      </w:r>
      <w:r w:rsidR="00F24414">
        <w:rPr>
          <w:bCs/>
        </w:rPr>
        <w:t xml:space="preserve"> in den Pfarreien</w:t>
      </w:r>
      <w:r w:rsidRPr="00384C2B">
        <w:rPr>
          <w:bCs/>
        </w:rPr>
        <w:t>. Inspiriert von einem intensiven Heiligenk</w:t>
      </w:r>
      <w:r w:rsidR="00FF63E0">
        <w:rPr>
          <w:bCs/>
        </w:rPr>
        <w:t xml:space="preserve">ult </w:t>
      </w:r>
      <w:r w:rsidRPr="00384C2B">
        <w:rPr>
          <w:bCs/>
        </w:rPr>
        <w:t xml:space="preserve">und gefördert </w:t>
      </w:r>
      <w:r w:rsidR="00FF63E0">
        <w:rPr>
          <w:bCs/>
        </w:rPr>
        <w:t>von Zünften und Bruderschaften</w:t>
      </w:r>
      <w:r w:rsidRPr="00384C2B">
        <w:rPr>
          <w:bCs/>
        </w:rPr>
        <w:t xml:space="preserve"> erweiterten </w:t>
      </w:r>
      <w:r w:rsidR="00FF63E0">
        <w:rPr>
          <w:bCs/>
        </w:rPr>
        <w:t xml:space="preserve">die Gemeinden </w:t>
      </w:r>
      <w:r w:rsidR="00337B49">
        <w:rPr>
          <w:bCs/>
        </w:rPr>
        <w:t>ihr Repertoire</w:t>
      </w:r>
      <w:r w:rsidRPr="00384C2B">
        <w:rPr>
          <w:bCs/>
        </w:rPr>
        <w:t xml:space="preserve">, so dass sich sogar in kleinstädtischen Kontexten vermehrt Hinweise auf </w:t>
      </w:r>
      <w:r w:rsidRPr="00384C2B">
        <w:rPr>
          <w:bCs/>
          <w:i/>
        </w:rPr>
        <w:t>pricksong</w:t>
      </w:r>
      <w:r w:rsidRPr="00384C2B">
        <w:rPr>
          <w:bCs/>
        </w:rPr>
        <w:t xml:space="preserve">, d.h. Mehrstimmigkeit, finden. Wurde Polyphonie im 13. </w:t>
      </w:r>
      <w:r w:rsidR="00C53785">
        <w:rPr>
          <w:bCs/>
        </w:rPr>
        <w:t>Jh.</w:t>
      </w:r>
      <w:r w:rsidRPr="00384C2B">
        <w:rPr>
          <w:bCs/>
        </w:rPr>
        <w:t xml:space="preserve"> noch </w:t>
      </w:r>
      <w:r w:rsidR="00337B49">
        <w:rPr>
          <w:bCs/>
        </w:rPr>
        <w:t>distanziert betrachtet</w:t>
      </w:r>
      <w:r w:rsidRPr="00384C2B">
        <w:rPr>
          <w:bCs/>
        </w:rPr>
        <w:t>, trugen nicht zuletzt die Angriffe</w:t>
      </w:r>
      <w:r>
        <w:rPr>
          <w:bCs/>
        </w:rPr>
        <w:t xml:space="preserve"> der Lollarden dazu bei, musikalischer Ausschmückung als Symbol ort</w:t>
      </w:r>
      <w:r w:rsidR="00337B49">
        <w:rPr>
          <w:bCs/>
        </w:rPr>
        <w:t>hodoxer Gesinnung zu einem groß</w:t>
      </w:r>
      <w:r>
        <w:rPr>
          <w:bCs/>
        </w:rPr>
        <w:t>en Aufschwung zu verhelfen.</w:t>
      </w:r>
    </w:p>
    <w:p w:rsidR="00B5111B" w:rsidRDefault="00384C2B" w:rsidP="002A05C4">
      <w:pPr>
        <w:spacing w:afterLines="80" w:after="192" w:line="380" w:lineRule="exact"/>
        <w:rPr>
          <w:bCs/>
        </w:rPr>
      </w:pPr>
      <w:r w:rsidRPr="006F7237">
        <w:rPr>
          <w:bCs/>
        </w:rPr>
        <w:t xml:space="preserve">Den </w:t>
      </w:r>
      <w:r w:rsidR="00F24414">
        <w:rPr>
          <w:bCs/>
        </w:rPr>
        <w:t>über die Epoche des Mittelalters hinaus blickenden Schlusspunkt setzt</w:t>
      </w:r>
      <w:r w:rsidRPr="006F7237">
        <w:rPr>
          <w:color w:val="000000"/>
        </w:rPr>
        <w:t xml:space="preserve"> </w:t>
      </w:r>
      <w:r w:rsidRPr="00337B49">
        <w:rPr>
          <w:color w:val="000000"/>
        </w:rPr>
        <w:t xml:space="preserve">István </w:t>
      </w:r>
      <w:r w:rsidRPr="00337B49">
        <w:rPr>
          <w:bCs/>
          <w:color w:val="000000"/>
        </w:rPr>
        <w:t>Monok</w:t>
      </w:r>
      <w:r w:rsidRPr="006F7237">
        <w:rPr>
          <w:color w:val="000000"/>
        </w:rPr>
        <w:t xml:space="preserve"> </w:t>
      </w:r>
      <w:r w:rsidR="00337B49">
        <w:rPr>
          <w:color w:val="000000"/>
        </w:rPr>
        <w:t>mit seiner Arbeit über</w:t>
      </w:r>
      <w:r>
        <w:rPr>
          <w:color w:val="000000"/>
        </w:rPr>
        <w:t xml:space="preserve"> </w:t>
      </w:r>
      <w:r w:rsidR="00F24414">
        <w:rPr>
          <w:bCs/>
        </w:rPr>
        <w:t>„</w:t>
      </w:r>
      <w:r w:rsidRPr="00384C2B">
        <w:rPr>
          <w:bCs/>
        </w:rPr>
        <w:t>Die Pfarreien und ihre Bücher im Karpatenbecken in der frühen Neuzeit</w:t>
      </w:r>
      <w:r w:rsidR="00F24414">
        <w:rPr>
          <w:bCs/>
        </w:rPr>
        <w:t>“</w:t>
      </w:r>
      <w:r w:rsidR="00337B49">
        <w:rPr>
          <w:bCs/>
        </w:rPr>
        <w:t>, die ein Forschungsgebiet vertritt, jenes der Geschichte und Zusammensetzung von Pfarrbibliotheken, dem in Gegensatz zu anderen Bereichen in den letzten Jahrzehnten zunehmend Aufmerksamkeit geschenkt wurde</w:t>
      </w:r>
      <w:r w:rsidR="000E7505">
        <w:rPr>
          <w:rStyle w:val="FootnoteReference"/>
          <w:bCs/>
        </w:rPr>
        <w:footnoteReference w:id="23"/>
      </w:r>
      <w:r w:rsidR="00337B49">
        <w:rPr>
          <w:bCs/>
        </w:rPr>
        <w:t xml:space="preserve">. </w:t>
      </w:r>
      <w:r>
        <w:rPr>
          <w:bCs/>
        </w:rPr>
        <w:t>In einer politisch heterogenen, religiös wiederholt neu ausgerichteten und im Einflussbereich des Osmanischen Reiches befindlichen Region spielte die niedere Geistlichkeit</w:t>
      </w:r>
      <w:r w:rsidRPr="006F7237">
        <w:rPr>
          <w:bCs/>
        </w:rPr>
        <w:t xml:space="preserve"> </w:t>
      </w:r>
      <w:r>
        <w:rPr>
          <w:bCs/>
        </w:rPr>
        <w:t xml:space="preserve">eine besonders bedeutende </w:t>
      </w:r>
      <w:r w:rsidR="00337B49">
        <w:rPr>
          <w:bCs/>
        </w:rPr>
        <w:t>Rolle als Vermittler</w:t>
      </w:r>
      <w:r>
        <w:rPr>
          <w:bCs/>
        </w:rPr>
        <w:t xml:space="preserve"> gei</w:t>
      </w:r>
      <w:r w:rsidR="00337B49">
        <w:rPr>
          <w:bCs/>
        </w:rPr>
        <w:t xml:space="preserve">stesgeschichtlicher Strömungen </w:t>
      </w:r>
      <w:r>
        <w:rPr>
          <w:bCs/>
        </w:rPr>
        <w:t>vom Humanismus bis zur nachreformatorischen Ausgestaltung der rivalisierenden konfes</w:t>
      </w:r>
      <w:r w:rsidR="00337B49">
        <w:rPr>
          <w:bCs/>
        </w:rPr>
        <w:t>sionellen Kulturen</w:t>
      </w:r>
      <w:r>
        <w:rPr>
          <w:bCs/>
        </w:rPr>
        <w:t>. Weil der kommerzielle Buchhandel im Karpatenbecken nur schwach entwickelt war, entwickelten sich Pfarrei- und Schulbibliotheken zu zentralen Stützpfeilern des intellektuellen und religiösen Lebens.</w:t>
      </w:r>
    </w:p>
    <w:p w:rsidR="00F24414" w:rsidRDefault="00F24414" w:rsidP="002A05C4">
      <w:pPr>
        <w:spacing w:afterLines="80" w:after="192" w:line="380" w:lineRule="exact"/>
        <w:rPr>
          <w:bCs/>
        </w:rPr>
      </w:pPr>
    </w:p>
    <w:p w:rsidR="00BC6D96" w:rsidRDefault="009D4350" w:rsidP="00BC6D96">
      <w:pPr>
        <w:spacing w:after="80" w:line="380" w:lineRule="exact"/>
        <w:rPr>
          <w:i/>
        </w:rPr>
      </w:pPr>
      <w:r w:rsidRPr="00337B49">
        <w:rPr>
          <w:i/>
        </w:rPr>
        <w:lastRenderedPageBreak/>
        <w:t>Ausblick</w:t>
      </w:r>
    </w:p>
    <w:p w:rsidR="00BC6D96" w:rsidRDefault="00337B49" w:rsidP="00BC6D96">
      <w:pPr>
        <w:spacing w:after="80" w:line="380" w:lineRule="exact"/>
        <w:rPr>
          <w:i/>
        </w:rPr>
      </w:pPr>
      <w:r w:rsidRPr="00292624">
        <w:t>Nicht nur auf de</w:t>
      </w:r>
      <w:r w:rsidR="00964333" w:rsidRPr="00292624">
        <w:t>n</w:t>
      </w:r>
      <w:r w:rsidRPr="00292624">
        <w:t xml:space="preserve"> in diesem Band vertretenen </w:t>
      </w:r>
      <w:r w:rsidR="00C17F18" w:rsidRPr="00292624">
        <w:t>Untersuchungs</w:t>
      </w:r>
      <w:r w:rsidR="00964333" w:rsidRPr="00292624">
        <w:t>gebieten</w:t>
      </w:r>
      <w:r w:rsidRPr="00292624">
        <w:t xml:space="preserve"> sind Interdisziplinarität </w:t>
      </w:r>
      <w:r>
        <w:t>und übernationale</w:t>
      </w:r>
      <w:r w:rsidR="00C17F18">
        <w:t xml:space="preserve">r Dialog </w:t>
      </w:r>
      <w:r>
        <w:t>wünschenswerte, aussichtsreiche Ausgangspunkte</w:t>
      </w:r>
      <w:r w:rsidR="00C17F18">
        <w:t xml:space="preserve"> für die geisteswissenschaftliche Forschungsarbeit</w:t>
      </w:r>
      <w:r>
        <w:t xml:space="preserve">. </w:t>
      </w:r>
      <w:r w:rsidR="00BE37C1">
        <w:t>Seit langem</w:t>
      </w:r>
      <w:r w:rsidR="00095E3E">
        <w:t xml:space="preserve"> und spätestens seit Marc Bloch</w:t>
      </w:r>
      <w:r w:rsidR="00095E3E">
        <w:rPr>
          <w:rStyle w:val="FootnoteReference"/>
        </w:rPr>
        <w:footnoteReference w:id="24"/>
      </w:r>
      <w:r w:rsidR="009D4350">
        <w:t xml:space="preserve"> gilt d</w:t>
      </w:r>
      <w:r w:rsidR="009D4350" w:rsidRPr="009336F3">
        <w:t xml:space="preserve">er historische Vergleich als ein geeignetes Instrument, um neue Fragestellungen zu gewinnen, Hypothesen zu </w:t>
      </w:r>
      <w:r>
        <w:t>überprüfen</w:t>
      </w:r>
      <w:r w:rsidR="009D4350" w:rsidRPr="009336F3">
        <w:t xml:space="preserve"> und </w:t>
      </w:r>
      <w:r>
        <w:t>Unterscheide wie</w:t>
      </w:r>
      <w:r w:rsidR="009D4350" w:rsidRPr="009336F3">
        <w:t xml:space="preserve"> Ähnlichkeiten bestimmter Untersuchungsräume, Phänomene oder Prozesse zu erfassen</w:t>
      </w:r>
      <w:r w:rsidR="00095E3E">
        <w:t>.</w:t>
      </w:r>
      <w:r w:rsidR="009D4350" w:rsidRPr="009336F3">
        <w:t xml:space="preserve"> Neben seinem heuristischen und erklärenden Potential birgt er aber auch viele methodische Schwierigkeiten, sei es bezüglich der Auswahl </w:t>
      </w:r>
      <w:r w:rsidR="00C17F18">
        <w:t>geeigneter</w:t>
      </w:r>
      <w:r w:rsidR="009D4350" w:rsidRPr="009336F3">
        <w:t xml:space="preserve"> Objekte, der oft uneinheitlichen Quellenlage, der </w:t>
      </w:r>
      <w:r w:rsidR="00C17F18">
        <w:t>Herausarbeitung spezifischer Merkmale</w:t>
      </w:r>
      <w:r w:rsidR="009D4350" w:rsidRPr="009336F3">
        <w:t xml:space="preserve">, der gebührenden Berücksichtigung sozialer und zeitlicher </w:t>
      </w:r>
      <w:r w:rsidR="00095E3E">
        <w:t>Varianten</w:t>
      </w:r>
      <w:r w:rsidR="009D4350" w:rsidRPr="009336F3">
        <w:t xml:space="preserve"> oder dem Umgang mit heterogenen Kontexten. Oft muss bei den gepaarten Untersuchungseinheiten vieles konstruiert und gleichzeitig von manchen Aspekten abstrahiert werden</w:t>
      </w:r>
      <w:r w:rsidR="009D4350" w:rsidRPr="009336F3">
        <w:rPr>
          <w:rStyle w:val="FootnoteReference"/>
        </w:rPr>
        <w:footnoteReference w:id="25"/>
      </w:r>
      <w:r w:rsidR="009D4350" w:rsidRPr="009336F3">
        <w:t>.</w:t>
      </w:r>
    </w:p>
    <w:p w:rsidR="00D755A3" w:rsidRPr="00320FF4" w:rsidRDefault="009D4350" w:rsidP="00320FF4">
      <w:pPr>
        <w:spacing w:after="80" w:line="380" w:lineRule="exact"/>
        <w:rPr>
          <w:color w:val="00B050"/>
          <w:lang w:eastAsia="en-GB"/>
        </w:rPr>
      </w:pPr>
      <w:r w:rsidRPr="009336F3">
        <w:t>In expliziter Abgrenzung zu dieser Tradition</w:t>
      </w:r>
      <w:r w:rsidR="0085057D">
        <w:t xml:space="preserve"> etablierte sich ab den 1980er </w:t>
      </w:r>
      <w:r w:rsidRPr="009336F3">
        <w:t>Jahren die Kulturtransferforschung</w:t>
      </w:r>
      <w:r w:rsidR="00262086">
        <w:t xml:space="preserve">, die </w:t>
      </w:r>
      <w:r w:rsidRPr="009336F3">
        <w:t>vor allem am Beispiel der deutsch-französischen Beziehungen in der Moderne über den Vergleich homogen-statischer Objekte hinaus zur Analyse wechselseitige</w:t>
      </w:r>
      <w:r w:rsidR="00BE37C1">
        <w:t>r</w:t>
      </w:r>
      <w:r w:rsidRPr="009336F3">
        <w:t xml:space="preserve"> </w:t>
      </w:r>
      <w:r w:rsidR="00BE37C1">
        <w:t>Beeinflussung</w:t>
      </w:r>
      <w:r w:rsidRPr="009336F3">
        <w:t xml:space="preserve"> zu gelangen versuchte. Letztere sollen nicht auf integrale Exporte bzw. Importe reduziert, sondern als Übertragungsprozesse verstanden werden, durch die sich Ideen, Praktiken und Werte fall- und situationsspezifisch verändern und in der Folge nicht mehr in ihrer ursprünglichen Form repatriiert werden können</w:t>
      </w:r>
      <w:r w:rsidRPr="009336F3">
        <w:rPr>
          <w:rStyle w:val="FootnoteReference"/>
        </w:rPr>
        <w:footnoteReference w:id="26"/>
      </w:r>
      <w:r w:rsidRPr="009336F3">
        <w:t xml:space="preserve">. In den Blick geraten somit verschiedenste Kontakte, Einflüsse, </w:t>
      </w:r>
      <w:r w:rsidR="00615D01">
        <w:t>Umformungen</w:t>
      </w:r>
      <w:r w:rsidRPr="009336F3">
        <w:t>, Entlehnungen und Abgrenzungen, wobei sowohl Ausgangs- wie Aufnahmek</w:t>
      </w:r>
      <w:r w:rsidR="00964333">
        <w:t>ulturen den Charakter der Verbin</w:t>
      </w:r>
      <w:r w:rsidRPr="009336F3">
        <w:t>dungen mitprägen</w:t>
      </w:r>
      <w:r w:rsidR="00D755A3">
        <w:t xml:space="preserve">. </w:t>
      </w:r>
      <w:r w:rsidR="00964333" w:rsidRPr="00292624">
        <w:t>Wie eine Reihe neuerer Arbeiten belegen, lassen sich aus diesen Debatten auch für die Vormoderne wertvolle Impulse und Fragestellungen gewinnen</w:t>
      </w:r>
      <w:r w:rsidR="00964333" w:rsidRPr="00292624">
        <w:rPr>
          <w:rStyle w:val="FootnoteReference"/>
        </w:rPr>
        <w:footnoteReference w:id="27"/>
      </w:r>
      <w:r w:rsidR="00964333" w:rsidRPr="00292624">
        <w:t xml:space="preserve">. Dabei beobachtet man vermehrt die Tendenz, den hierarchisch interpretierbaren Begriff des „Transfers“ durch die neutralere, interaktive, aber vielleicht auch beliebigere Formulierung des „Austausches“ zu </w:t>
      </w:r>
      <w:r w:rsidR="00964333" w:rsidRPr="00292624">
        <w:lastRenderedPageBreak/>
        <w:t>ersetzen</w:t>
      </w:r>
      <w:r w:rsidR="00964333" w:rsidRPr="00292624">
        <w:rPr>
          <w:rStyle w:val="FootnoteReference"/>
          <w:lang w:eastAsia="en-GB"/>
        </w:rPr>
        <w:footnoteReference w:id="28"/>
      </w:r>
      <w:r w:rsidR="00964333" w:rsidRPr="00292624">
        <w:rPr>
          <w:lang w:eastAsia="en-GB"/>
        </w:rPr>
        <w:t>.</w:t>
      </w:r>
      <w:r w:rsidR="00964333" w:rsidRPr="00292624">
        <w:rPr>
          <w:lang w:eastAsia="en-GB"/>
        </w:rPr>
        <w:br/>
      </w:r>
      <w:r w:rsidR="006C08D1">
        <w:t xml:space="preserve">Mit diesem Konzept liegt ein methodologisches Angebot vor, das gerade auf dem von den </w:t>
      </w:r>
      <w:r w:rsidR="006C08D1" w:rsidRPr="00292624">
        <w:t>Herausgebern und den Autoren dieses Bandes gepflegten Forschungs</w:t>
      </w:r>
      <w:r w:rsidR="00964333" w:rsidRPr="00292624">
        <w:t>feld</w:t>
      </w:r>
      <w:r w:rsidR="00933EC2" w:rsidRPr="00292624">
        <w:t xml:space="preserve"> zum Einsatz kommen kann</w:t>
      </w:r>
      <w:r w:rsidR="006C08D1" w:rsidRPr="00292624">
        <w:t>. Hier eröffnen sich breit angelegten Pfarreistudien neue Möglichkeiten, befassen sie sich doch mit</w:t>
      </w:r>
      <w:r w:rsidR="00296F0C" w:rsidRPr="00292624">
        <w:t xml:space="preserve"> Gemeinwesen, die nicht nur vertikale (Kirchenhierarchie, landesherrschaftliche Zentren) und horizontale (weltliche Gemeinden, grundherrschaftliche Strukturen) </w:t>
      </w:r>
      <w:r w:rsidR="00292624">
        <w:t xml:space="preserve">Bezüge </w:t>
      </w:r>
      <w:r w:rsidR="00296F0C" w:rsidRPr="00292624">
        <w:t xml:space="preserve">aufweisen, sondern </w:t>
      </w:r>
      <w:r w:rsidR="00F82FAF" w:rsidRPr="00292624">
        <w:t xml:space="preserve">im Mittelpunkt von vielfältigen, allgemein als kulturell zu bezeichnenden </w:t>
      </w:r>
      <w:r w:rsidR="00964333" w:rsidRPr="00292624">
        <w:t>Austauschprozessen</w:t>
      </w:r>
      <w:r w:rsidR="00F82FAF" w:rsidRPr="00292624">
        <w:t xml:space="preserve"> stehen. Dies wiederum weist darauf hin, dass </w:t>
      </w:r>
      <w:r w:rsidR="005C26E3" w:rsidRPr="00292624">
        <w:t xml:space="preserve">die Pfarrei </w:t>
      </w:r>
      <w:r w:rsidR="005C26E3">
        <w:t>immer sowohl als Objekt der Selbstwahrnehmung und (wie bei Neidhart) Abgrenzung als auch als Ergebnis der Interaktion fremder Einflüsse zu betrachten ist.</w:t>
      </w:r>
    </w:p>
    <w:p w:rsidR="00320FF4" w:rsidRPr="00292624" w:rsidRDefault="005C26E3" w:rsidP="00320FF4">
      <w:pPr>
        <w:spacing w:afterLines="80" w:after="192" w:line="380" w:lineRule="exact"/>
      </w:pPr>
      <w:r w:rsidRPr="00292624">
        <w:t xml:space="preserve">Die Beiträge dieses Bandes </w:t>
      </w:r>
      <w:r w:rsidR="00320FF4" w:rsidRPr="00292624">
        <w:t>belegen mit aller Deutlichkeit</w:t>
      </w:r>
      <w:r w:rsidR="00FC4B05" w:rsidRPr="00292624">
        <w:t xml:space="preserve">, </w:t>
      </w:r>
      <w:r w:rsidRPr="00292624">
        <w:t xml:space="preserve">dass sich </w:t>
      </w:r>
      <w:r w:rsidR="00FC4B05" w:rsidRPr="00292624">
        <w:t xml:space="preserve">die </w:t>
      </w:r>
      <w:r w:rsidRPr="00292624">
        <w:t>Gemeinde- und Identitätsbildung in vormodernen Pfarreien nie auf einen einzigen Faktor reduzieren, sondern nur aus orts- und situationsspezifischen Kombinationen erklären lässt</w:t>
      </w:r>
      <w:r w:rsidR="008D7D33" w:rsidRPr="00292624">
        <w:t xml:space="preserve">. </w:t>
      </w:r>
      <w:r w:rsidRPr="00292624">
        <w:t xml:space="preserve">Wichtige Elemente, </w:t>
      </w:r>
      <w:r w:rsidRPr="009336F3">
        <w:t>um eine Auswahl aus dem weiten Spektrum</w:t>
      </w:r>
      <w:r>
        <w:t xml:space="preserve"> </w:t>
      </w:r>
      <w:r w:rsidR="00FC4B05">
        <w:t xml:space="preserve">der Einflüsse </w:t>
      </w:r>
      <w:r>
        <w:t xml:space="preserve">anzuführen, waren dabei die </w:t>
      </w:r>
      <w:r w:rsidRPr="009336F3">
        <w:t>geographisch</w:t>
      </w:r>
      <w:r>
        <w:t>e Lage, die Größe, Homogenität und</w:t>
      </w:r>
      <w:r w:rsidRPr="009336F3">
        <w:t xml:space="preserve"> </w:t>
      </w:r>
      <w:r>
        <w:t xml:space="preserve">interne Struktur der Sprengel, die </w:t>
      </w:r>
      <w:r w:rsidRPr="009336F3">
        <w:t xml:space="preserve">Anzahl und </w:t>
      </w:r>
      <w:r>
        <w:t>der wie auch immer geartete Wirkungskreis</w:t>
      </w:r>
      <w:r w:rsidRPr="009336F3">
        <w:t xml:space="preserve"> </w:t>
      </w:r>
      <w:r>
        <w:t>der Geistlichen</w:t>
      </w:r>
      <w:r w:rsidR="0022485C">
        <w:rPr>
          <w:rStyle w:val="FootnoteReference"/>
        </w:rPr>
        <w:footnoteReference w:id="29"/>
      </w:r>
      <w:r>
        <w:t xml:space="preserve">. Ferner kann man als Faktoren Kategorien wie die </w:t>
      </w:r>
      <w:r w:rsidRPr="009336F3">
        <w:t xml:space="preserve">Nähe zu religiösen Orden und </w:t>
      </w:r>
      <w:r>
        <w:t>zur Amtshierarchie, das geltende</w:t>
      </w:r>
      <w:r w:rsidRPr="009336F3">
        <w:t xml:space="preserve"> </w:t>
      </w:r>
      <w:r>
        <w:t>Kirchenre</w:t>
      </w:r>
      <w:r w:rsidR="00D93A0B">
        <w:t>cht</w:t>
      </w:r>
      <w:r w:rsidR="00FC4B05">
        <w:t xml:space="preserve"> und religiöse Bewegungen sowie, f</w:t>
      </w:r>
      <w:r w:rsidR="00D93A0B">
        <w:t>ür die spätere Zeit</w:t>
      </w:r>
      <w:r w:rsidR="00FC4B05">
        <w:t>,</w:t>
      </w:r>
      <w:r w:rsidR="00D93A0B">
        <w:t xml:space="preserve"> das konfessionelle </w:t>
      </w:r>
      <w:r w:rsidR="00D93A0B" w:rsidRPr="00292624">
        <w:t>Umfeld</w:t>
      </w:r>
      <w:r w:rsidR="00964333" w:rsidRPr="00292624">
        <w:t xml:space="preserve"> identifizieren</w:t>
      </w:r>
      <w:r w:rsidR="00FC4B05" w:rsidRPr="00292624">
        <w:t>. Die</w:t>
      </w:r>
      <w:r w:rsidR="00D93A0B" w:rsidRPr="00292624">
        <w:t xml:space="preserve"> Rolle </w:t>
      </w:r>
      <w:r w:rsidR="00FC4B05" w:rsidRPr="00292624">
        <w:t>von Personenverbänden (Familie, Bruderschaft</w:t>
      </w:r>
      <w:r w:rsidRPr="00292624">
        <w:t xml:space="preserve">, </w:t>
      </w:r>
      <w:r w:rsidR="00FC4B05" w:rsidRPr="00292624">
        <w:t xml:space="preserve">Zunft), die </w:t>
      </w:r>
      <w:r w:rsidRPr="009336F3">
        <w:t>Wechselbeziehungen mit weltlichen Gemeinden und lokalen/regionalen/territorialen Herrschaftsträgern</w:t>
      </w:r>
      <w:r w:rsidR="00FC4B05">
        <w:t xml:space="preserve">, </w:t>
      </w:r>
      <w:r w:rsidR="00E45D5E">
        <w:t>soziale und kulturelle Herkunft, die Art und Weise der Kulturvermittlung (Schule, Schriftlichkeit im allgemeinen) und deren lokale Realisierung, aber auch die</w:t>
      </w:r>
      <w:r w:rsidRPr="009336F3">
        <w:t xml:space="preserve"> Vielzah</w:t>
      </w:r>
      <w:r w:rsidR="00E45D5E">
        <w:t>l der quellenmäß</w:t>
      </w:r>
      <w:r>
        <w:t>ig kaum fassbar</w:t>
      </w:r>
      <w:r w:rsidR="00E45D5E">
        <w:t xml:space="preserve">en individuellen Normen und </w:t>
      </w:r>
      <w:r>
        <w:t>Werte</w:t>
      </w:r>
      <w:r w:rsidRPr="009336F3">
        <w:t xml:space="preserve"> und Prioritäten</w:t>
      </w:r>
      <w:r w:rsidR="00E45D5E">
        <w:t xml:space="preserve"> </w:t>
      </w:r>
      <w:r w:rsidR="00E45D5E" w:rsidRPr="00292624">
        <w:t xml:space="preserve">wären </w:t>
      </w:r>
      <w:r w:rsidR="00964333" w:rsidRPr="00292624">
        <w:t>ebenfalls</w:t>
      </w:r>
      <w:r w:rsidR="00E45D5E" w:rsidRPr="00292624">
        <w:t xml:space="preserve"> zu berücksichtigen. </w:t>
      </w:r>
    </w:p>
    <w:p w:rsidR="00D01E6A" w:rsidRDefault="00E45D5E" w:rsidP="00320FF4">
      <w:pPr>
        <w:spacing w:afterLines="80" w:after="192" w:line="380" w:lineRule="exact"/>
      </w:pPr>
      <w:r>
        <w:t>Es versteht sich von selbst, dass diese Varietät das Untersuchungsobjekt nicht nur spannend macht, sondern auch vor große methodische Schwierigkeiten stellt</w:t>
      </w:r>
      <w:r w:rsidR="00320FF4">
        <w:t xml:space="preserve">. </w:t>
      </w:r>
      <w:r w:rsidR="000273E8">
        <w:t xml:space="preserve">So sind Handlungen und Ereignisse, vor allem für vormoderne Gesellschaften, natürlich viel eher zu rekonstruieren als ihre Motive und Triebkräfte. </w:t>
      </w:r>
      <w:r w:rsidR="006B18FC">
        <w:t xml:space="preserve">Welche Gründe gab es </w:t>
      </w:r>
      <w:r w:rsidR="00797A71">
        <w:t>über praktische Überlegungen hinaus</w:t>
      </w:r>
      <w:r w:rsidR="006B18FC">
        <w:t xml:space="preserve"> für </w:t>
      </w:r>
      <w:r w:rsidR="006B18FC">
        <w:lastRenderedPageBreak/>
        <w:t>die Gründung von Pfarreien, die sich aus größeren Gemeinden auslösten</w:t>
      </w:r>
      <w:r w:rsidR="00797A71">
        <w:t>, dies umso mehr als diese Parzellierung in Europa nicht synchron verlief</w:t>
      </w:r>
      <w:r w:rsidR="006B18FC">
        <w:t xml:space="preserve">? </w:t>
      </w:r>
      <w:r w:rsidR="000273E8">
        <w:t xml:space="preserve">Warum entschied sich eine Pfarrei für ein innovatives architektonisches Stilelement, wenn Alternativen vorhanden und konventionellere Lösungen in ihrer Umgebung dominant waren? Kann man daran wirklich ein Akt der Identitätsstiftung ausmachen? Wie ist die Entstehung eines polyphonen musikalischen Repertoires am adäquatesten zu interpretieren: als Ausfluss von Frömmigkeit, als ästhetisches Bedürfnis, als Ausdruck kommunalen Stolzes oder als Demonstration kultureller Unterscheidung von einer als fremd empfundenden </w:t>
      </w:r>
      <w:r w:rsidR="00D07EE6">
        <w:t>sozialen</w:t>
      </w:r>
      <w:r w:rsidR="00D01E6A">
        <w:t xml:space="preserve"> </w:t>
      </w:r>
      <w:r w:rsidR="00292624">
        <w:t>Gruppe</w:t>
      </w:r>
      <w:r w:rsidR="00D01E6A">
        <w:t>?</w:t>
      </w:r>
    </w:p>
    <w:p w:rsidR="000273E8" w:rsidRPr="00292624" w:rsidRDefault="00FE4AA6" w:rsidP="005C26E3">
      <w:pPr>
        <w:spacing w:after="80" w:line="380" w:lineRule="exact"/>
      </w:pPr>
      <w:r>
        <w:t xml:space="preserve">So endet diese Einführung </w:t>
      </w:r>
      <w:r w:rsidR="000273E8">
        <w:t>mit vielen Fragen</w:t>
      </w:r>
      <w:r w:rsidR="00D649D9">
        <w:t>, und weitere könnten leicht hin</w:t>
      </w:r>
      <w:r w:rsidR="00D07EE6">
        <w:t>zu</w:t>
      </w:r>
      <w:r w:rsidR="00797A71">
        <w:t>kommen. Aber d</w:t>
      </w:r>
      <w:r w:rsidR="00D649D9">
        <w:t xml:space="preserve">as gemeinsame Bestreben der Autoren bestand </w:t>
      </w:r>
      <w:r w:rsidR="00797A71">
        <w:t xml:space="preserve">gerade </w:t>
      </w:r>
      <w:r w:rsidR="00D649D9">
        <w:t xml:space="preserve">darin, sowohl ein Plädoyer für eine intensive Beschäftigung mit der Pfarrei als </w:t>
      </w:r>
      <w:r w:rsidR="00D07EE6">
        <w:t xml:space="preserve">komplexes Phänomen des sozialen und kulturellen </w:t>
      </w:r>
      <w:r w:rsidR="00D07EE6" w:rsidRPr="00292624">
        <w:t>Lebens als auch das Potential von epochen- und rau</w:t>
      </w:r>
      <w:r w:rsidR="00394126" w:rsidRPr="00292624">
        <w:t>m</w:t>
      </w:r>
      <w:r w:rsidR="00D07EE6" w:rsidRPr="00292624">
        <w:t xml:space="preserve">übergreifenden Studien aufzuzeichnen. </w:t>
      </w:r>
      <w:r w:rsidR="00394126" w:rsidRPr="00292624">
        <w:rPr>
          <w:iCs/>
        </w:rPr>
        <w:t xml:space="preserve">Denn </w:t>
      </w:r>
      <w:r w:rsidR="00394126" w:rsidRPr="00292624">
        <w:rPr>
          <w:i/>
          <w:iCs/>
        </w:rPr>
        <w:t>eine</w:t>
      </w:r>
      <w:r w:rsidR="00394126" w:rsidRPr="00292624">
        <w:t xml:space="preserve"> europäische Pfarrei der Vormoderne, das geht aus den nachfolgenden Beiträgen klar hervor, hat es nie gegeben. </w:t>
      </w:r>
      <w:r w:rsidR="00D07EE6" w:rsidRPr="00292624">
        <w:t>An Perspektiven und Herausforderungen de</w:t>
      </w:r>
      <w:r w:rsidR="00394126" w:rsidRPr="00292624">
        <w:t xml:space="preserve">r Pfarreiforschung mangelt es daher </w:t>
      </w:r>
      <w:r w:rsidR="00D07EE6" w:rsidRPr="00292624">
        <w:t>nicht.</w:t>
      </w:r>
    </w:p>
    <w:sectPr w:rsidR="000273E8" w:rsidRPr="00292624" w:rsidSect="005F1598">
      <w:headerReference w:type="default" r:id="rId8"/>
      <w:pgSz w:w="11906" w:h="16838"/>
      <w:pgMar w:top="1440" w:right="1440" w:bottom="1440" w:left="1440" w:header="708" w:footer="708" w:gutter="0"/>
      <w:pgNumType w:fmt="lowerRoman"/>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5C56" w:rsidRDefault="00E95C56" w:rsidP="00765397">
      <w:r>
        <w:separator/>
      </w:r>
    </w:p>
  </w:endnote>
  <w:endnote w:type="continuationSeparator" w:id="0">
    <w:p w:rsidR="00E95C56" w:rsidRDefault="00E95C56" w:rsidP="00765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5C56" w:rsidRDefault="00E95C56" w:rsidP="00765397">
      <w:r>
        <w:separator/>
      </w:r>
    </w:p>
  </w:footnote>
  <w:footnote w:type="continuationSeparator" w:id="0">
    <w:p w:rsidR="00E95C56" w:rsidRDefault="00E95C56" w:rsidP="00765397">
      <w:r>
        <w:continuationSeparator/>
      </w:r>
    </w:p>
  </w:footnote>
  <w:footnote w:id="1">
    <w:p w:rsidR="009772BF" w:rsidRPr="001B54B9" w:rsidRDefault="009772BF" w:rsidP="00AA16B1">
      <w:pPr>
        <w:pStyle w:val="FootnoteText"/>
        <w:spacing w:after="80" w:line="300" w:lineRule="exact"/>
      </w:pPr>
      <w:r w:rsidRPr="002A05C4">
        <w:rPr>
          <w:rStyle w:val="FootnoteReference"/>
          <w:szCs w:val="24"/>
        </w:rPr>
        <w:footnoteRef/>
      </w:r>
      <w:r w:rsidRPr="002A05C4">
        <w:rPr>
          <w:szCs w:val="24"/>
        </w:rPr>
        <w:t xml:space="preserve"> </w:t>
      </w:r>
      <w:r w:rsidRPr="009772BF">
        <w:rPr>
          <w:szCs w:val="24"/>
        </w:rPr>
        <w:t>Neidhart-Lieder. Texte und Melodien sämtlicher Handschriften und Drucke. Hera</w:t>
      </w:r>
      <w:r>
        <w:rPr>
          <w:szCs w:val="24"/>
        </w:rPr>
        <w:t>usgegeben von Ulrich Müller, Ing</w:t>
      </w:r>
      <w:r w:rsidRPr="009772BF">
        <w:rPr>
          <w:szCs w:val="24"/>
        </w:rPr>
        <w:t xml:space="preserve">rid Bennewitz, </w:t>
      </w:r>
      <w:r w:rsidR="001B54B9">
        <w:rPr>
          <w:szCs w:val="24"/>
        </w:rPr>
        <w:t xml:space="preserve">Franz Viktor Spechtler. 3 Bde. </w:t>
      </w:r>
      <w:r w:rsidRPr="009772BF">
        <w:rPr>
          <w:szCs w:val="24"/>
        </w:rPr>
        <w:t>(Salzburger Neid</w:t>
      </w:r>
      <w:r>
        <w:rPr>
          <w:szCs w:val="24"/>
        </w:rPr>
        <w:t xml:space="preserve">hart-Edition 1-3 ), Berlin 2007, Bd. 1, S. 212-218, hier </w:t>
      </w:r>
      <w:r w:rsidR="000C1E62">
        <w:rPr>
          <w:szCs w:val="24"/>
        </w:rPr>
        <w:t xml:space="preserve">S. </w:t>
      </w:r>
      <w:r>
        <w:rPr>
          <w:szCs w:val="24"/>
        </w:rPr>
        <w:t>216 (</w:t>
      </w:r>
      <w:r w:rsidR="00585FD2" w:rsidRPr="00585FD2">
        <w:rPr>
          <w:i/>
          <w:szCs w:val="24"/>
        </w:rPr>
        <w:t>Owe mir dirre not</w:t>
      </w:r>
      <w:r w:rsidR="00585FD2">
        <w:rPr>
          <w:szCs w:val="24"/>
        </w:rPr>
        <w:t>, R 30</w:t>
      </w:r>
      <w:r w:rsidR="001B54B9">
        <w:rPr>
          <w:szCs w:val="24"/>
        </w:rPr>
        <w:t xml:space="preserve"> / C Str. 249-254 / c 128; </w:t>
      </w:r>
      <w:r w:rsidR="00585FD2">
        <w:rPr>
          <w:szCs w:val="24"/>
        </w:rPr>
        <w:t xml:space="preserve">Beyschlag L 28). Übersetzung ins moderne </w:t>
      </w:r>
      <w:r w:rsidR="00585FD2" w:rsidRPr="00585FD2">
        <w:t>Hochdeutsche: Siegfried Beyschlag, Die Lieder Neidharts. Der Textbestand der Pergament-Handschriften und die Melodien</w:t>
      </w:r>
      <w:r w:rsidR="00585FD2">
        <w:t>. Text und Übersetzung, Darmstadt 1975, S. 142.</w:t>
      </w:r>
    </w:p>
  </w:footnote>
  <w:footnote w:id="2">
    <w:p w:rsidR="009772BF" w:rsidRPr="00294C5E" w:rsidRDefault="009772BF" w:rsidP="009772BF">
      <w:pPr>
        <w:pStyle w:val="FootnoteText"/>
      </w:pPr>
      <w:r>
        <w:rPr>
          <w:rStyle w:val="FootnoteReference"/>
        </w:rPr>
        <w:footnoteRef/>
      </w:r>
      <w:r>
        <w:t xml:space="preserve"> </w:t>
      </w:r>
      <w:r w:rsidR="00294C5E" w:rsidRPr="009772BF">
        <w:rPr>
          <w:szCs w:val="24"/>
        </w:rPr>
        <w:t>Neidhart-Lieder</w:t>
      </w:r>
      <w:r w:rsidR="00294C5E">
        <w:rPr>
          <w:szCs w:val="24"/>
        </w:rPr>
        <w:t xml:space="preserve"> (wie Anm. 1) </w:t>
      </w:r>
      <w:r w:rsidR="000C1E62">
        <w:rPr>
          <w:szCs w:val="24"/>
        </w:rPr>
        <w:t xml:space="preserve">S. 100-105, hier </w:t>
      </w:r>
      <w:r w:rsidR="00294C5E">
        <w:rPr>
          <w:szCs w:val="24"/>
        </w:rPr>
        <w:t>S. 102 (</w:t>
      </w:r>
      <w:r w:rsidR="00294C5E" w:rsidRPr="00294C5E">
        <w:rPr>
          <w:i/>
          <w:szCs w:val="24"/>
        </w:rPr>
        <w:t>Ez grunet wol diu haide</w:t>
      </w:r>
      <w:r w:rsidR="00294C5E">
        <w:rPr>
          <w:szCs w:val="24"/>
        </w:rPr>
        <w:t>, R 12/ C Str. 26-33 / c. 27 [26]; Beyschlag L 17</w:t>
      </w:r>
      <w:r w:rsidR="000C1E62">
        <w:rPr>
          <w:szCs w:val="24"/>
        </w:rPr>
        <w:t>.</w:t>
      </w:r>
    </w:p>
  </w:footnote>
  <w:footnote w:id="3">
    <w:p w:rsidR="009772BF" w:rsidRPr="00A46924" w:rsidRDefault="009772BF">
      <w:pPr>
        <w:pStyle w:val="FootnoteText"/>
        <w:rPr>
          <w:szCs w:val="24"/>
        </w:rPr>
      </w:pPr>
      <w:r>
        <w:rPr>
          <w:rStyle w:val="FootnoteReference"/>
        </w:rPr>
        <w:footnoteRef/>
      </w:r>
      <w:r w:rsidRPr="00237755">
        <w:rPr>
          <w:lang w:val="en-GB"/>
        </w:rPr>
        <w:t xml:space="preserve"> </w:t>
      </w:r>
      <w:r w:rsidRPr="00237755">
        <w:rPr>
          <w:szCs w:val="24"/>
          <w:lang w:val="en-GB"/>
        </w:rPr>
        <w:t xml:space="preserve">Summa aurea 3,1 De parochiis: </w:t>
      </w:r>
      <w:r w:rsidRPr="00237755">
        <w:rPr>
          <w:i/>
          <w:szCs w:val="24"/>
          <w:lang w:val="en-GB"/>
        </w:rPr>
        <w:t xml:space="preserve">Locus in quo degit populus alicui ecclesie deputatus, certis finibus limitatus </w:t>
      </w:r>
      <w:r w:rsidRPr="00237755">
        <w:rPr>
          <w:szCs w:val="24"/>
          <w:lang w:val="en-GB"/>
        </w:rPr>
        <w:t xml:space="preserve">(Druck Lyon 1537, Neudruck Aalen 1962, f. 169v). </w:t>
      </w:r>
      <w:r>
        <w:rPr>
          <w:szCs w:val="24"/>
        </w:rPr>
        <w:t>D</w:t>
      </w:r>
      <w:r w:rsidRPr="00A46924">
        <w:rPr>
          <w:szCs w:val="24"/>
        </w:rPr>
        <w:t>eutsche Übersetzung</w:t>
      </w:r>
      <w:r>
        <w:rPr>
          <w:szCs w:val="24"/>
        </w:rPr>
        <w:t xml:space="preserve"> nach </w:t>
      </w:r>
      <w:r w:rsidR="000C1E62">
        <w:rPr>
          <w:szCs w:val="24"/>
        </w:rPr>
        <w:t xml:space="preserve">Wolfgang </w:t>
      </w:r>
      <w:r>
        <w:rPr>
          <w:szCs w:val="24"/>
        </w:rPr>
        <w:t>Petke</w:t>
      </w:r>
      <w:r w:rsidR="000C1E62">
        <w:rPr>
          <w:szCs w:val="24"/>
        </w:rPr>
        <w:t xml:space="preserve">, Die Pfarre in Mitteleuropa im Wandel vom Früh- zum Hochmittelalter, in: Die Pfarreien im späten Mittelalter, hg. </w:t>
      </w:r>
      <w:r w:rsidR="001A1138">
        <w:rPr>
          <w:szCs w:val="24"/>
        </w:rPr>
        <w:t>v</w:t>
      </w:r>
      <w:r w:rsidR="000C1E62">
        <w:rPr>
          <w:szCs w:val="24"/>
        </w:rPr>
        <w:t>on Enno Bünz und Gerhard Fouquet (Vorträge und forschungen 77), Osterfildern</w:t>
      </w:r>
      <w:r>
        <w:rPr>
          <w:szCs w:val="24"/>
        </w:rPr>
        <w:t xml:space="preserve"> 2013, </w:t>
      </w:r>
      <w:r w:rsidR="000C1E62">
        <w:rPr>
          <w:szCs w:val="24"/>
        </w:rPr>
        <w:t xml:space="preserve">S. 21-60, hier S. </w:t>
      </w:r>
      <w:r>
        <w:rPr>
          <w:szCs w:val="24"/>
        </w:rPr>
        <w:t>22.</w:t>
      </w:r>
      <w:r w:rsidR="001A1138">
        <w:rPr>
          <w:szCs w:val="24"/>
        </w:rPr>
        <w:t xml:space="preserve"> Zur Definition des Hostiensis </w:t>
      </w:r>
      <w:r w:rsidR="001A1138" w:rsidRPr="00080103">
        <w:rPr>
          <w:szCs w:val="24"/>
        </w:rPr>
        <w:t xml:space="preserve">siehe </w:t>
      </w:r>
      <w:r w:rsidR="0022485C" w:rsidRPr="00080103">
        <w:rPr>
          <w:szCs w:val="24"/>
        </w:rPr>
        <w:t>im selben</w:t>
      </w:r>
      <w:r w:rsidR="001A1138" w:rsidRPr="00080103">
        <w:rPr>
          <w:szCs w:val="24"/>
        </w:rPr>
        <w:t xml:space="preserve"> Band den Beitrag von Harald Müller, Die Pfarre im Normengefüge der </w:t>
      </w:r>
      <w:r w:rsidR="001A1138">
        <w:rPr>
          <w:szCs w:val="24"/>
        </w:rPr>
        <w:t>mittelalterlichen Kirche, S. 61-96, hier S. 83-85.</w:t>
      </w:r>
    </w:p>
  </w:footnote>
  <w:footnote w:id="4">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Für den deutschsprachigen Raum seien erwähnt Franz Xaver Künstle, Die deutsche Pfarrei und ihr Recht zu Ausgang des Mittelalters, Stuttgart 1905; Sebastian Schröcker, Die Kirchenpflegschaft: Die Verwaltung des Niederkirchenvermögens durch Laien seit dem ausgehenenden Mittelalter, Paderborn 1934; Hans Erich Feine, Kirche und Gemeindebildung, in: Die Anfänge der Landgemeinde und ihr Wesen, hg. von Theodor Mayer, Stuttgart 1964, S. 53-77; Dietrich Kurze, Pfarrerwahlen im Mittelalter: Ein Beitrag zur Geschichte der Gemeinde und des Niederkirchenwesens, Köln 1966.</w:t>
      </w:r>
    </w:p>
  </w:footnote>
  <w:footnote w:id="5">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Arnd Reitemeier, Pfarrkirchen in der Stadt des späten Mittelalters: Politik, Wirtschaft und Verwaltung</w:t>
      </w:r>
      <w:r w:rsidRPr="00266D7D">
        <w:rPr>
          <w:i/>
          <w:szCs w:val="24"/>
        </w:rPr>
        <w:t xml:space="preserve">, </w:t>
      </w:r>
      <w:r w:rsidRPr="00266D7D">
        <w:rPr>
          <w:szCs w:val="24"/>
        </w:rPr>
        <w:t>Stuttgart 2005;</w:t>
      </w:r>
      <w:r w:rsidR="0085057D">
        <w:rPr>
          <w:szCs w:val="24"/>
        </w:rPr>
        <w:t xml:space="preserve"> </w:t>
      </w:r>
      <w:r w:rsidRPr="00266D7D">
        <w:rPr>
          <w:rStyle w:val="Emphasis"/>
          <w:i w:val="0"/>
          <w:szCs w:val="24"/>
        </w:rPr>
        <w:t>Klerus, Kirche und Frömmigkeit im spätmittelalterlichen Schleswig-Holstein</w:t>
      </w:r>
      <w:r w:rsidRPr="00266D7D">
        <w:rPr>
          <w:szCs w:val="24"/>
        </w:rPr>
        <w:t xml:space="preserve">, hg. von Enno </w:t>
      </w:r>
      <w:r w:rsidRPr="00266D7D">
        <w:rPr>
          <w:rStyle w:val="boxstyle1"/>
          <w:szCs w:val="24"/>
          <w:bdr w:val="none" w:sz="0" w:space="0" w:color="auto"/>
        </w:rPr>
        <w:t xml:space="preserve">Bünz und </w:t>
      </w:r>
      <w:r w:rsidRPr="00266D7D">
        <w:rPr>
          <w:szCs w:val="24"/>
        </w:rPr>
        <w:t xml:space="preserve">Klaus-Joachim Lorenzen-Schmidt, Neumünster 2006; Beat Kümin, The Shaping of a Community: The Rise &amp; Reformation of the English Parish </w:t>
      </w:r>
      <w:r w:rsidRPr="00266D7D">
        <w:rPr>
          <w:i/>
          <w:szCs w:val="24"/>
        </w:rPr>
        <w:t>c</w:t>
      </w:r>
      <w:r w:rsidRPr="00266D7D">
        <w:rPr>
          <w:szCs w:val="24"/>
        </w:rPr>
        <w:t>. 1400-1560, Aldershot 1996; Bernd Moeller, Reichsstadt und Reformation, Gütersloh 1962; Zugänge zur bäuerlichen Reformation, hg. von Peter Blickle, Zürich 1987; Marc Forster, The Counter Reformation in the Villages: Religion and Reform in the Bishopric of Speyer 1560-1720, Ithaca 1992; Heinrich Richard Schmidt, Dorf und Religion: Reformierte Sittenzucht in Berner Landgemeinden der Frühen Neuzeit, Stuttgart 1995; C. Scott Dixon, Reformation and Rural Society: The Parishes of Brandenburg-Ansbach-Kul</w:t>
      </w:r>
      <w:r w:rsidR="009A69B0">
        <w:rPr>
          <w:szCs w:val="24"/>
        </w:rPr>
        <w:t>mbach 1528-1603, Cambridge 1996.</w:t>
      </w:r>
    </w:p>
  </w:footnote>
  <w:footnote w:id="6">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Siehe etwa Pamela Graves, Social Space in the Medieval English Parish Church, in: Economy and Society 18 (1989), 297-322; Craig Koslofsky, The Reformation of the Dead: Death and Ritual in Early Modern Germany c. 1450-1700, Basingstoke 1999; Enno Bünz, „Die Kirche im Dorf lassen …“: Formen der Kommunikation im spätmittelalterlichen Niederkirchenwesen, in: </w:t>
      </w:r>
      <w:r w:rsidRPr="00266D7D">
        <w:rPr>
          <w:rStyle w:val="Emphasis"/>
          <w:i w:val="0"/>
          <w:szCs w:val="24"/>
        </w:rPr>
        <w:t>Kommunikation in der ländlichen Gesellschaft vom Mittelalter bis zur Moderne</w:t>
      </w:r>
      <w:r w:rsidRPr="00266D7D">
        <w:rPr>
          <w:szCs w:val="24"/>
        </w:rPr>
        <w:t xml:space="preserve">, hg. von Werner Rösener, Göttingen 2000, S. 77-167; Margo Todd, The Culture of Protestantism in Early Modern Scotland, New Haven 2002; Sacred Space in Early Modern Europe, hg. von Will Coster und Andrew Spicer, Cambridge 2005; Leben bei den Toten: Kirchhöfe in der ländlichen Gesellschaft der Vormoderne, hg. von Jan Brademann und Werner Freitag, Münster 2007; Gabriela Signori, Frauen links – Männer rechts. Bemerkungen zu einem wissenschafltichen Gemeinplatz, in: Geschichte des Mittelalters für unsere Zeit, hg. von Rolf Ballof, Stuttgart 2003, S. 179-198; Katherine L. French, The Good Women of the Parish: Gender and Religion after the Black Death, Philadelphia 2008. </w:t>
      </w:r>
    </w:p>
  </w:footnote>
  <w:footnote w:id="7">
    <w:p w:rsidR="009772BF" w:rsidRPr="00266D7D" w:rsidRDefault="009772BF" w:rsidP="00AA16B1">
      <w:pPr>
        <w:pStyle w:val="FootnoteText"/>
        <w:spacing w:after="80" w:line="300" w:lineRule="exact"/>
        <w:rPr>
          <w:szCs w:val="24"/>
        </w:rPr>
      </w:pPr>
      <w:r w:rsidRPr="00266D7D">
        <w:rPr>
          <w:rStyle w:val="FootnoteReference"/>
          <w:szCs w:val="24"/>
        </w:rPr>
        <w:footnoteRef/>
      </w:r>
      <w:r w:rsidRPr="009A69B0">
        <w:rPr>
          <w:szCs w:val="24"/>
          <w:lang w:val="en-US"/>
        </w:rPr>
        <w:t xml:space="preserve"> </w:t>
      </w:r>
      <w:proofErr w:type="spellStart"/>
      <w:r w:rsidRPr="009A69B0">
        <w:rPr>
          <w:szCs w:val="24"/>
          <w:lang w:val="en-US"/>
        </w:rPr>
        <w:t>Exemplarisch</w:t>
      </w:r>
      <w:proofErr w:type="spellEnd"/>
      <w:r w:rsidRPr="009A69B0">
        <w:rPr>
          <w:szCs w:val="24"/>
          <w:lang w:val="en-US"/>
        </w:rPr>
        <w:t xml:space="preserve">: Arthur </w:t>
      </w:r>
      <w:proofErr w:type="spellStart"/>
      <w:r w:rsidRPr="009A69B0">
        <w:rPr>
          <w:szCs w:val="24"/>
          <w:lang w:val="en-US"/>
        </w:rPr>
        <w:t>Bissegger</w:t>
      </w:r>
      <w:proofErr w:type="spellEnd"/>
      <w:r w:rsidRPr="009A69B0">
        <w:rPr>
          <w:szCs w:val="24"/>
          <w:lang w:val="en-US"/>
        </w:rPr>
        <w:t xml:space="preserve">, </w:t>
      </w:r>
      <w:proofErr w:type="spellStart"/>
      <w:r w:rsidRPr="009A69B0">
        <w:rPr>
          <w:rStyle w:val="Emphasis"/>
          <w:i w:val="0"/>
          <w:szCs w:val="24"/>
          <w:lang w:val="en-US"/>
        </w:rPr>
        <w:t>Une</w:t>
      </w:r>
      <w:proofErr w:type="spellEnd"/>
      <w:r w:rsidRPr="009A69B0">
        <w:rPr>
          <w:rStyle w:val="Emphasis"/>
          <w:i w:val="0"/>
          <w:szCs w:val="24"/>
          <w:lang w:val="en-US"/>
        </w:rPr>
        <w:t xml:space="preserve"> </w:t>
      </w:r>
      <w:proofErr w:type="spellStart"/>
      <w:r w:rsidRPr="009A69B0">
        <w:rPr>
          <w:rStyle w:val="Emphasis"/>
          <w:i w:val="0"/>
          <w:szCs w:val="24"/>
          <w:lang w:val="en-US"/>
        </w:rPr>
        <w:t>paroisse</w:t>
      </w:r>
      <w:proofErr w:type="spellEnd"/>
      <w:r w:rsidRPr="009A69B0">
        <w:rPr>
          <w:rStyle w:val="Emphasis"/>
          <w:i w:val="0"/>
          <w:szCs w:val="24"/>
          <w:lang w:val="en-US"/>
        </w:rPr>
        <w:t xml:space="preserve"> </w:t>
      </w:r>
      <w:proofErr w:type="spellStart"/>
      <w:r w:rsidRPr="009A69B0">
        <w:rPr>
          <w:rStyle w:val="Emphasis"/>
          <w:i w:val="0"/>
          <w:szCs w:val="24"/>
          <w:lang w:val="en-US"/>
        </w:rPr>
        <w:t>raconte</w:t>
      </w:r>
      <w:proofErr w:type="spellEnd"/>
      <w:r w:rsidRPr="009A69B0">
        <w:rPr>
          <w:rStyle w:val="Emphasis"/>
          <w:i w:val="0"/>
          <w:szCs w:val="24"/>
          <w:lang w:val="en-US"/>
        </w:rPr>
        <w:t xml:space="preserve"> </w:t>
      </w:r>
      <w:proofErr w:type="spellStart"/>
      <w:r w:rsidRPr="009A69B0">
        <w:rPr>
          <w:rStyle w:val="Emphasis"/>
          <w:i w:val="0"/>
          <w:szCs w:val="24"/>
          <w:lang w:val="en-US"/>
        </w:rPr>
        <w:t>ses</w:t>
      </w:r>
      <w:proofErr w:type="spellEnd"/>
      <w:r w:rsidRPr="009A69B0">
        <w:rPr>
          <w:rStyle w:val="Emphasis"/>
          <w:i w:val="0"/>
          <w:szCs w:val="24"/>
          <w:lang w:val="en-US"/>
        </w:rPr>
        <w:t xml:space="preserve"> </w:t>
      </w:r>
      <w:proofErr w:type="spellStart"/>
      <w:r w:rsidRPr="009A69B0">
        <w:rPr>
          <w:rStyle w:val="Emphasis"/>
          <w:i w:val="0"/>
          <w:szCs w:val="24"/>
          <w:lang w:val="en-US"/>
        </w:rPr>
        <w:t>morts</w:t>
      </w:r>
      <w:proofErr w:type="spellEnd"/>
      <w:r w:rsidRPr="009A69B0">
        <w:rPr>
          <w:rStyle w:val="Emphasis"/>
          <w:i w:val="0"/>
          <w:szCs w:val="24"/>
          <w:lang w:val="en-US"/>
        </w:rPr>
        <w:t xml:space="preserve">: </w:t>
      </w:r>
      <w:proofErr w:type="spellStart"/>
      <w:r w:rsidRPr="009A69B0">
        <w:rPr>
          <w:rStyle w:val="Emphasis"/>
          <w:i w:val="0"/>
          <w:szCs w:val="24"/>
          <w:lang w:val="en-US"/>
        </w:rPr>
        <w:t>L’obituaire</w:t>
      </w:r>
      <w:proofErr w:type="spellEnd"/>
      <w:r w:rsidRPr="009A69B0">
        <w:rPr>
          <w:rStyle w:val="Emphasis"/>
          <w:i w:val="0"/>
          <w:szCs w:val="24"/>
          <w:lang w:val="en-US"/>
        </w:rPr>
        <w:t xml:space="preserve"> de </w:t>
      </w:r>
      <w:proofErr w:type="spellStart"/>
      <w:r w:rsidRPr="009A69B0">
        <w:rPr>
          <w:rStyle w:val="Emphasis"/>
          <w:i w:val="0"/>
          <w:szCs w:val="24"/>
          <w:lang w:val="en-US"/>
        </w:rPr>
        <w:t>l’église</w:t>
      </w:r>
      <w:proofErr w:type="spellEnd"/>
      <w:r w:rsidRPr="009A69B0">
        <w:rPr>
          <w:rStyle w:val="Emphasis"/>
          <w:i w:val="0"/>
          <w:szCs w:val="24"/>
          <w:lang w:val="en-US"/>
        </w:rPr>
        <w:t xml:space="preserve"> Saint-Paul à Villeneuve, XIV-XV siècles</w:t>
      </w:r>
      <w:r w:rsidR="009A69B0" w:rsidRPr="009A69B0">
        <w:rPr>
          <w:szCs w:val="24"/>
          <w:lang w:val="en-US"/>
        </w:rPr>
        <w:t>, Lausanne 2003</w:t>
      </w:r>
      <w:r w:rsidRPr="00266D7D">
        <w:rPr>
          <w:szCs w:val="24"/>
          <w:lang w:val="en-GB"/>
        </w:rPr>
        <w:t xml:space="preserve">; Simon </w:t>
      </w:r>
      <w:proofErr w:type="spellStart"/>
      <w:r w:rsidRPr="00266D7D">
        <w:rPr>
          <w:szCs w:val="24"/>
          <w:lang w:val="en-GB"/>
        </w:rPr>
        <w:t>Roffey</w:t>
      </w:r>
      <w:proofErr w:type="spellEnd"/>
      <w:r w:rsidRPr="00266D7D">
        <w:rPr>
          <w:szCs w:val="24"/>
          <w:lang w:val="en-GB"/>
        </w:rPr>
        <w:t xml:space="preserve">, </w:t>
      </w:r>
      <w:r w:rsidRPr="00266D7D">
        <w:rPr>
          <w:rStyle w:val="Emphasis"/>
          <w:i w:val="0"/>
          <w:iCs w:val="0"/>
          <w:szCs w:val="24"/>
          <w:lang w:val="en-GB"/>
        </w:rPr>
        <w:t>The Medieval Chantry Chapel: An Archaeology</w:t>
      </w:r>
      <w:r w:rsidRPr="00266D7D">
        <w:rPr>
          <w:szCs w:val="24"/>
          <w:lang w:val="en-GB"/>
        </w:rPr>
        <w:t>, Woodbridge 2007; Bridget Heal, The Cult of the Virgin Mary in Early Modern Germany: Protestant and Catholic Piety 1500-1648, Cambridge 2007; Daniel</w:t>
      </w:r>
      <w:r w:rsidR="0085057D">
        <w:rPr>
          <w:szCs w:val="24"/>
          <w:lang w:val="en-GB"/>
        </w:rPr>
        <w:t xml:space="preserve"> </w:t>
      </w:r>
      <w:r w:rsidRPr="00266D7D">
        <w:rPr>
          <w:szCs w:val="24"/>
          <w:lang w:val="en-GB"/>
        </w:rPr>
        <w:t xml:space="preserve">E. </w:t>
      </w:r>
      <w:proofErr w:type="spellStart"/>
      <w:r w:rsidRPr="00266D7D">
        <w:rPr>
          <w:szCs w:val="24"/>
          <w:lang w:val="en-GB"/>
        </w:rPr>
        <w:t>Thiery</w:t>
      </w:r>
      <w:proofErr w:type="spellEnd"/>
      <w:r w:rsidRPr="00266D7D">
        <w:rPr>
          <w:szCs w:val="24"/>
          <w:lang w:val="en-GB"/>
        </w:rPr>
        <w:t>, Polluting the Sacred. Violence, Faith and the „Civilizing</w:t>
      </w:r>
      <w:proofErr w:type="gramStart"/>
      <w:r w:rsidRPr="00266D7D">
        <w:rPr>
          <w:szCs w:val="24"/>
          <w:lang w:val="en-GB"/>
        </w:rPr>
        <w:t>“ of</w:t>
      </w:r>
      <w:proofErr w:type="gramEnd"/>
      <w:r w:rsidRPr="00266D7D">
        <w:rPr>
          <w:szCs w:val="24"/>
          <w:lang w:val="en-GB"/>
        </w:rPr>
        <w:t xml:space="preserve"> Parishioners in Late Medieval England, Leiden 2009; Lutheran Parish Churches in Early Modern Europe, hg. </w:t>
      </w:r>
      <w:proofErr w:type="gramStart"/>
      <w:r w:rsidRPr="00266D7D">
        <w:rPr>
          <w:szCs w:val="24"/>
          <w:lang w:val="en-GB"/>
        </w:rPr>
        <w:t>von</w:t>
      </w:r>
      <w:proofErr w:type="gramEnd"/>
      <w:r w:rsidRPr="00266D7D">
        <w:rPr>
          <w:szCs w:val="24"/>
          <w:lang w:val="en-GB"/>
        </w:rPr>
        <w:t xml:space="preserve"> Andrew Spicer, Farnham 2012; Parish Churches in the Early Modern World, hg. </w:t>
      </w:r>
      <w:proofErr w:type="gramStart"/>
      <w:r w:rsidRPr="00266D7D">
        <w:rPr>
          <w:szCs w:val="24"/>
          <w:lang w:val="en-GB"/>
        </w:rPr>
        <w:t>von</w:t>
      </w:r>
      <w:proofErr w:type="gramEnd"/>
      <w:r w:rsidRPr="00266D7D">
        <w:rPr>
          <w:szCs w:val="24"/>
          <w:lang w:val="en-GB"/>
        </w:rPr>
        <w:t xml:space="preserve"> </w:t>
      </w:r>
      <w:proofErr w:type="spellStart"/>
      <w:r w:rsidRPr="00080103">
        <w:rPr>
          <w:szCs w:val="24"/>
          <w:lang w:val="en-GB"/>
        </w:rPr>
        <w:t>dems.</w:t>
      </w:r>
      <w:proofErr w:type="spellEnd"/>
      <w:r w:rsidRPr="00080103">
        <w:rPr>
          <w:szCs w:val="24"/>
          <w:lang w:val="en-GB"/>
        </w:rPr>
        <w:t xml:space="preserve">, Farnham </w:t>
      </w:r>
      <w:r w:rsidR="00080103">
        <w:rPr>
          <w:szCs w:val="24"/>
          <w:lang w:val="en-GB"/>
        </w:rPr>
        <w:t>2015</w:t>
      </w:r>
      <w:r w:rsidRPr="00080103">
        <w:rPr>
          <w:szCs w:val="24"/>
          <w:lang w:val="en-GB"/>
        </w:rPr>
        <w:t xml:space="preserve">; </w:t>
      </w:r>
      <w:proofErr w:type="spellStart"/>
      <w:r w:rsidRPr="00080103">
        <w:rPr>
          <w:rFonts w:eastAsiaTheme="minorHAnsi"/>
          <w:iCs/>
          <w:szCs w:val="24"/>
          <w:lang w:val="en-GB"/>
        </w:rPr>
        <w:t>Musik</w:t>
      </w:r>
      <w:proofErr w:type="spellEnd"/>
      <w:r w:rsidRPr="00080103">
        <w:rPr>
          <w:rFonts w:eastAsiaTheme="minorHAnsi"/>
          <w:iCs/>
          <w:szCs w:val="24"/>
          <w:lang w:val="en-GB"/>
        </w:rPr>
        <w:t xml:space="preserve"> in </w:t>
      </w:r>
      <w:proofErr w:type="spellStart"/>
      <w:r w:rsidRPr="00080103">
        <w:rPr>
          <w:rFonts w:eastAsiaTheme="minorHAnsi"/>
          <w:iCs/>
          <w:szCs w:val="24"/>
          <w:lang w:val="en-GB"/>
        </w:rPr>
        <w:t>neuzeitlichen</w:t>
      </w:r>
      <w:proofErr w:type="spellEnd"/>
      <w:r w:rsidRPr="00080103">
        <w:rPr>
          <w:rFonts w:eastAsiaTheme="minorHAnsi"/>
          <w:iCs/>
          <w:szCs w:val="24"/>
          <w:lang w:val="en-GB"/>
        </w:rPr>
        <w:t xml:space="preserve"> </w:t>
      </w:r>
      <w:proofErr w:type="spellStart"/>
      <w:r w:rsidRPr="00080103">
        <w:rPr>
          <w:rFonts w:eastAsiaTheme="minorHAnsi"/>
          <w:iCs/>
          <w:szCs w:val="24"/>
          <w:lang w:val="en-GB"/>
        </w:rPr>
        <w:t>Konfessionskulturen</w:t>
      </w:r>
      <w:proofErr w:type="spellEnd"/>
      <w:r w:rsidRPr="00080103">
        <w:rPr>
          <w:rFonts w:eastAsiaTheme="minorHAnsi"/>
          <w:iCs/>
          <w:szCs w:val="24"/>
          <w:lang w:val="en-GB"/>
        </w:rPr>
        <w:t xml:space="preserve"> (16. </w:t>
      </w:r>
      <w:proofErr w:type="spellStart"/>
      <w:r w:rsidRPr="00080103">
        <w:rPr>
          <w:rFonts w:eastAsiaTheme="minorHAnsi"/>
          <w:iCs/>
          <w:szCs w:val="24"/>
          <w:lang w:val="en-GB"/>
        </w:rPr>
        <w:t>bis</w:t>
      </w:r>
      <w:proofErr w:type="spellEnd"/>
      <w:r w:rsidRPr="00080103">
        <w:rPr>
          <w:rFonts w:eastAsiaTheme="minorHAnsi"/>
          <w:iCs/>
          <w:szCs w:val="24"/>
          <w:lang w:val="en-GB"/>
        </w:rPr>
        <w:t xml:space="preserve"> 19. </w:t>
      </w:r>
      <w:r w:rsidRPr="00080103">
        <w:rPr>
          <w:rFonts w:eastAsiaTheme="minorHAnsi"/>
          <w:iCs/>
          <w:szCs w:val="24"/>
        </w:rPr>
        <w:t xml:space="preserve">Jahrhundert): </w:t>
      </w:r>
      <w:r w:rsidRPr="00266D7D">
        <w:rPr>
          <w:rFonts w:eastAsiaTheme="minorHAnsi"/>
          <w:iCs/>
          <w:color w:val="000000"/>
          <w:szCs w:val="24"/>
        </w:rPr>
        <w:t>Räume - Medien - Funktionen</w:t>
      </w:r>
      <w:r w:rsidRPr="00266D7D">
        <w:rPr>
          <w:rFonts w:eastAsiaTheme="minorHAnsi"/>
          <w:color w:val="000000"/>
          <w:szCs w:val="24"/>
        </w:rPr>
        <w:t>, hg. von Michael Fischer, Norbert Haag and Gabriele Haug-Moritz, Ostfildern 2014.</w:t>
      </w:r>
      <w:r w:rsidR="007A4F20">
        <w:rPr>
          <w:rFonts w:eastAsiaTheme="minorHAnsi"/>
          <w:color w:val="000000"/>
          <w:szCs w:val="24"/>
        </w:rPr>
        <w:t xml:space="preserve"> Zu den Pfarrbibliotheken siehe unten, Anm. </w:t>
      </w:r>
      <w:r w:rsidR="0069500E">
        <w:rPr>
          <w:rFonts w:eastAsiaTheme="minorHAnsi"/>
          <w:color w:val="000000"/>
          <w:szCs w:val="24"/>
        </w:rPr>
        <w:t>23</w:t>
      </w:r>
      <w:r w:rsidR="007A4F20">
        <w:rPr>
          <w:rFonts w:eastAsiaTheme="minorHAnsi"/>
          <w:color w:val="000000"/>
          <w:szCs w:val="24"/>
        </w:rPr>
        <w:t>.</w:t>
      </w:r>
    </w:p>
  </w:footnote>
  <w:footnote w:id="8">
    <w:p w:rsidR="009772BF" w:rsidRPr="00266D7D" w:rsidRDefault="009772BF" w:rsidP="00AA16B1">
      <w:pPr>
        <w:pStyle w:val="NormalWeb"/>
        <w:spacing w:before="0" w:beforeAutospacing="0" w:after="80" w:afterAutospacing="0" w:line="300" w:lineRule="exact"/>
      </w:pPr>
      <w:r w:rsidRPr="00266D7D">
        <w:rPr>
          <w:rStyle w:val="FootnoteReference"/>
        </w:rPr>
        <w:footnoteRef/>
      </w:r>
      <w:r w:rsidRPr="00266D7D">
        <w:t xml:space="preserve"> Diesem Ziel dienen regional bzw. zeitlich vergleichend angelegte Studien wie </w:t>
      </w:r>
      <w:r w:rsidRPr="00266D7D">
        <w:rPr>
          <w:rStyle w:val="Emphasis"/>
          <w:i w:val="0"/>
        </w:rPr>
        <w:t>Communautés rurales, vol IV: Europe occidentale</w:t>
      </w:r>
      <w:r w:rsidRPr="00266D7D">
        <w:t xml:space="preserve"> (Receuils de la société Jean Bodin 43), Paris 1984; Pfaff, C., Pfarrei und Pfarreileben, in:</w:t>
      </w:r>
      <w:r w:rsidRPr="00266D7D">
        <w:rPr>
          <w:rStyle w:val="Emphasis"/>
        </w:rPr>
        <w:t xml:space="preserve"> </w:t>
      </w:r>
      <w:r w:rsidRPr="00266D7D">
        <w:rPr>
          <w:rStyle w:val="Emphasis"/>
          <w:i w:val="0"/>
        </w:rPr>
        <w:t>Innerschweiz und frühe Eidgenossenschaft</w:t>
      </w:r>
      <w:r w:rsidRPr="00266D7D">
        <w:t xml:space="preserve">, hg. vom Historischen Verein der V Orte, 2 Bände, Olten 1990, Bd. 1, S. 203-282; Landgemeinde und Kirche im Zeitalter der Konfessionen, hg. von Beat Kümin, Zürich 2004; Pfarreien im Mittelalter: Deutschland, Polen, Tschechien und Ungarn im Vergleich, hg. von Nathalie Kruppa, Göttingen 2008; Michel Aubrun, La paroisse en France des origines au XVe siècle, Paris 1986; La paroisse urbaine: du Moyen Age à nos jours, hg. von Anne Bonzon, Philippe Guignet und Marc Venard, Paris 2014; Pievi e parrrocchie in Italia nel basso medioevo, 2 Bände, Rom 1984; La parrocchia nel medio evo: economia, scambi, solidarietà, hg. von Agostino Paravicini Bagliani and Véronique Pasche, Rom 1995; Paolo Cozzo, </w:t>
      </w:r>
      <w:r w:rsidRPr="00266D7D">
        <w:rPr>
          <w:rStyle w:val="Emphasis"/>
          <w:i w:val="0"/>
        </w:rPr>
        <w:t>Andate in pace: Parroci e parrocchie in Italia dal Concilio di Trento a papa Francesco</w:t>
      </w:r>
      <w:r w:rsidRPr="00266D7D">
        <w:t xml:space="preserve">, Rom 2014; The Parish in Late Medieval England, hg. von Clive Burgess and Eamon Duffy, Donington 2006; The Parish in English Life 1400-1600, hg. von Katherine French, Gary Gibbs und Beat Kümin, Manchester 1997; The English Parish Church through the Centuries, hg. von Dee Dyas, DVD, York 2010; </w:t>
      </w:r>
      <w:r w:rsidR="00C13920">
        <w:t xml:space="preserve">Die Pfarreien im späten Mittelalter (wie Anm. 3). </w:t>
      </w:r>
      <w:r w:rsidR="00C13920">
        <w:t>D</w:t>
      </w:r>
      <w:r w:rsidRPr="00266D7D">
        <w:t xml:space="preserve">etailliertere Informationen zu Quellen, Literatur und digitalen Ressourcen der Pfarreiforschung bietet die vom Warwick Network for Parish </w:t>
      </w:r>
      <w:r w:rsidRPr="00266D7D">
        <w:t xml:space="preserve">Research betreute Internetplattform </w:t>
      </w:r>
      <w:r w:rsidR="00A51F43">
        <w:fldChar w:fldCharType="begin"/>
      </w:r>
      <w:r w:rsidR="00A51F43">
        <w:instrText xml:space="preserve"> HYPERLINK "http://my-parish.org" </w:instrText>
      </w:r>
      <w:r w:rsidR="00A51F43">
        <w:fldChar w:fldCharType="separate"/>
      </w:r>
      <w:r w:rsidRPr="00266D7D">
        <w:rPr>
          <w:rStyle w:val="Hyperlink"/>
        </w:rPr>
        <w:t>http://my-parish.org</w:t>
      </w:r>
      <w:r w:rsidR="00A51F43">
        <w:rPr>
          <w:rStyle w:val="Hyperlink"/>
        </w:rPr>
        <w:fldChar w:fldCharType="end"/>
      </w:r>
      <w:r w:rsidRPr="00266D7D">
        <w:t xml:space="preserve"> (letzter Zugriff </w:t>
      </w:r>
      <w:r w:rsidR="00D755A3">
        <w:t>20</w:t>
      </w:r>
      <w:r w:rsidRPr="00266D7D">
        <w:t xml:space="preserve">. Februar </w:t>
      </w:r>
      <w:r w:rsidRPr="00292624">
        <w:t>201</w:t>
      </w:r>
      <w:r w:rsidR="0022485C" w:rsidRPr="00292624">
        <w:t>6</w:t>
      </w:r>
      <w:r w:rsidRPr="00266D7D">
        <w:t xml:space="preserve">). </w:t>
      </w:r>
    </w:p>
  </w:footnote>
  <w:footnote w:id="9">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Tagungsbericht: </w:t>
      </w:r>
      <w:hyperlink r:id="rId1" w:history="1">
        <w:r w:rsidRPr="00266D7D">
          <w:rPr>
            <w:rStyle w:val="Hyperlink"/>
            <w:szCs w:val="24"/>
          </w:rPr>
          <w:t>http://www.hsozkult.de/conferencereport/id/tagungsberichte-1531</w:t>
        </w:r>
      </w:hyperlink>
      <w:r w:rsidRPr="00266D7D">
        <w:rPr>
          <w:color w:val="000000"/>
          <w:szCs w:val="24"/>
        </w:rPr>
        <w:t xml:space="preserve"> </w:t>
      </w:r>
      <w:r w:rsidRPr="00266D7D">
        <w:rPr>
          <w:szCs w:val="24"/>
        </w:rPr>
        <w:t xml:space="preserve">(letzter Zugriff </w:t>
      </w:r>
      <w:r w:rsidR="00D755A3">
        <w:rPr>
          <w:szCs w:val="24"/>
        </w:rPr>
        <w:t>20</w:t>
      </w:r>
      <w:r w:rsidRPr="00266D7D">
        <w:rPr>
          <w:szCs w:val="24"/>
        </w:rPr>
        <w:t xml:space="preserve">. Februar </w:t>
      </w:r>
      <w:r w:rsidR="0022485C" w:rsidRPr="00292624">
        <w:rPr>
          <w:szCs w:val="24"/>
        </w:rPr>
        <w:t>2016</w:t>
      </w:r>
      <w:r w:rsidRPr="00266D7D">
        <w:rPr>
          <w:szCs w:val="24"/>
        </w:rPr>
        <w:t>).</w:t>
      </w:r>
    </w:p>
  </w:footnote>
  <w:footnote w:id="10">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Peter Blickle, Kommunalismus: Skizzen einer gesellschaftlichen Organisationsform,</w:t>
      </w:r>
      <w:r w:rsidRPr="00266D7D">
        <w:rPr>
          <w:i/>
          <w:szCs w:val="24"/>
        </w:rPr>
        <w:t xml:space="preserve"> </w:t>
      </w:r>
      <w:r w:rsidRPr="00266D7D">
        <w:rPr>
          <w:szCs w:val="24"/>
        </w:rPr>
        <w:t>2 Bände, München 2000.</w:t>
      </w:r>
    </w:p>
  </w:footnote>
  <w:footnote w:id="11">
    <w:p w:rsidR="009772BF" w:rsidRPr="00266D7D" w:rsidRDefault="009772BF" w:rsidP="00AA16B1">
      <w:pPr>
        <w:pStyle w:val="FootnoteText"/>
        <w:spacing w:after="80" w:line="300" w:lineRule="exact"/>
        <w:rPr>
          <w:szCs w:val="24"/>
          <w:lang w:val="en-GB"/>
        </w:rPr>
      </w:pPr>
      <w:r w:rsidRPr="00266D7D">
        <w:rPr>
          <w:rStyle w:val="FootnoteReference"/>
          <w:szCs w:val="24"/>
        </w:rPr>
        <w:footnoteRef/>
      </w:r>
      <w:r w:rsidRPr="00266D7D">
        <w:rPr>
          <w:szCs w:val="24"/>
          <w:lang w:val="en-GB"/>
        </w:rPr>
        <w:t xml:space="preserve"> Beat </w:t>
      </w:r>
      <w:proofErr w:type="spellStart"/>
      <w:r w:rsidRPr="00266D7D">
        <w:rPr>
          <w:szCs w:val="24"/>
          <w:lang w:val="en-GB"/>
        </w:rPr>
        <w:t>Kümin</w:t>
      </w:r>
      <w:proofErr w:type="spellEnd"/>
      <w:r w:rsidRPr="00266D7D">
        <w:rPr>
          <w:szCs w:val="24"/>
          <w:lang w:val="en-GB"/>
        </w:rPr>
        <w:t xml:space="preserve">, </w:t>
      </w:r>
      <w:proofErr w:type="gramStart"/>
      <w:r w:rsidRPr="00266D7D">
        <w:rPr>
          <w:szCs w:val="24"/>
          <w:lang w:val="en-GB"/>
        </w:rPr>
        <w:t>The</w:t>
      </w:r>
      <w:proofErr w:type="gramEnd"/>
      <w:r w:rsidRPr="00266D7D">
        <w:rPr>
          <w:szCs w:val="24"/>
          <w:lang w:val="en-GB"/>
        </w:rPr>
        <w:t xml:space="preserve"> Communal Age in Western Europe 1100-1800: Towns, Villages and Parishes in Pre-modern Society, Basingstoke 2013.</w:t>
      </w:r>
    </w:p>
  </w:footnote>
  <w:footnote w:id="12">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lang w:val="en-GB"/>
        </w:rPr>
        <w:t xml:space="preserve"> Robert </w:t>
      </w:r>
      <w:r w:rsidRPr="00DF0830">
        <w:rPr>
          <w:szCs w:val="24"/>
          <w:lang w:val="en-GB"/>
        </w:rPr>
        <w:t xml:space="preserve">W. Scribner, </w:t>
      </w:r>
      <w:r w:rsidRPr="00DF0830">
        <w:rPr>
          <w:szCs w:val="24"/>
          <w:lang w:val="en-GB" w:eastAsia="en-GB"/>
        </w:rPr>
        <w:t xml:space="preserve">Communalism: Universal category or ideological construct? </w:t>
      </w:r>
      <w:r w:rsidRPr="00266D7D">
        <w:rPr>
          <w:szCs w:val="24"/>
          <w:lang w:eastAsia="en-GB"/>
        </w:rPr>
        <w:t>A debate in the historiography of modern Germany and Switzerland, in: Historical Journal 37 (1994), S. 199-207</w:t>
      </w:r>
      <w:r w:rsidRPr="00266D7D">
        <w:rPr>
          <w:szCs w:val="24"/>
        </w:rPr>
        <w:t>; Robert von Friedburg, „Kommunalismus“ und „Republikanismus“ in der Frühen Neuzeit? Überlegungen zur politischen Mobilisierung sozial differenzierter ländlicher Gemeinden unter agrar- und sozialhistorischem Blickwinkel, in: Zeitschrift für historische Forschung 21 (1994), S. 65-91.</w:t>
      </w:r>
    </w:p>
  </w:footnote>
  <w:footnote w:id="13">
    <w:p w:rsidR="009772BF" w:rsidRPr="00266D7D" w:rsidRDefault="009772BF" w:rsidP="00AA16B1">
      <w:pPr>
        <w:pStyle w:val="FootnoteText"/>
        <w:spacing w:after="80" w:line="300" w:lineRule="exact"/>
        <w:rPr>
          <w:szCs w:val="24"/>
        </w:rPr>
      </w:pPr>
      <w:r w:rsidRPr="00266D7D">
        <w:rPr>
          <w:rStyle w:val="FootnoteReference"/>
          <w:szCs w:val="24"/>
        </w:rPr>
        <w:footnoteRef/>
      </w:r>
      <w:r w:rsidR="000B495B">
        <w:rPr>
          <w:szCs w:val="24"/>
        </w:rPr>
        <w:t xml:space="preserve"> Randolph C. Head, </w:t>
      </w:r>
      <w:r w:rsidRPr="000B495B">
        <w:rPr>
          <w:i/>
          <w:iCs/>
          <w:szCs w:val="24"/>
        </w:rPr>
        <w:t>Nit alß zwo Gmeinden, od</w:t>
      </w:r>
      <w:r w:rsidR="000B495B" w:rsidRPr="000B495B">
        <w:rPr>
          <w:i/>
          <w:iCs/>
          <w:szCs w:val="24"/>
        </w:rPr>
        <w:t>er Partheyen, sonder ein Gmeind</w:t>
      </w:r>
      <w:r w:rsidRPr="00266D7D">
        <w:rPr>
          <w:szCs w:val="24"/>
        </w:rPr>
        <w:t>: Kommunalismus zwischen den Konfessionen in Graubünden, 1530-1620, in Landgemeinde und Kirche (</w:t>
      </w:r>
      <w:r w:rsidR="00DD5BFA">
        <w:rPr>
          <w:szCs w:val="24"/>
        </w:rPr>
        <w:t>wie</w:t>
      </w:r>
      <w:r w:rsidRPr="00266D7D">
        <w:rPr>
          <w:szCs w:val="24"/>
        </w:rPr>
        <w:t xml:space="preserve"> Anm</w:t>
      </w:r>
      <w:r w:rsidRPr="00DD5BFA">
        <w:t xml:space="preserve">. </w:t>
      </w:r>
      <w:r w:rsidR="00DD5BFA" w:rsidRPr="00DD5BFA">
        <w:t>8</w:t>
      </w:r>
      <w:r w:rsidRPr="00266D7D">
        <w:rPr>
          <w:szCs w:val="24"/>
        </w:rPr>
        <w:t xml:space="preserve">), S. 21-57; David Mayes, Communal Christianity: The Life and Loss of a Peasant Vision in Early Modern Germany, Leiden 2004. </w:t>
      </w:r>
    </w:p>
  </w:footnote>
  <w:footnote w:id="14">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Beiträge und Debatten bilanzieren Stefan Ehrenpreis und Ute Lotz Heumann, Reformation und konfessionelles Zeitalter, 2. Aufl., Darmstadt 2008.</w:t>
      </w:r>
    </w:p>
  </w:footnote>
  <w:footnote w:id="15">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Robert Muchembled, Kultur des Volkes – Kultur der Eliten. Die Geschichte einer erfolgreichen Verdrängung, Stuttgart 1982.</w:t>
      </w:r>
    </w:p>
  </w:footnote>
  <w:footnote w:id="16">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Heinrich Richard Schmidt: Sozialdisziplinierung? Ein Plädoyer für das Ende des Etatismus in der Konfessionalisierungsforschung, in: Historische Zeitschrift 265 (1997), S. 639–682; Jean Wirth, Against the acculturation thesis, in: Religion and Society in Early Modern Europe 1500-1800, hg. von Kaspar von Greyerz, London 1984, S. 66-78.</w:t>
      </w:r>
    </w:p>
  </w:footnote>
  <w:footnote w:id="17">
    <w:p w:rsidR="009772BF" w:rsidRPr="00266D7D" w:rsidRDefault="009772BF" w:rsidP="00AA16B1">
      <w:pPr>
        <w:pStyle w:val="FootnoteText"/>
        <w:spacing w:after="80" w:line="300" w:lineRule="exact"/>
        <w:rPr>
          <w:szCs w:val="24"/>
          <w:lang w:val="en-GB"/>
        </w:rPr>
      </w:pPr>
      <w:r w:rsidRPr="00266D7D">
        <w:rPr>
          <w:rStyle w:val="FootnoteReference"/>
          <w:szCs w:val="24"/>
        </w:rPr>
        <w:footnoteRef/>
      </w:r>
      <w:r w:rsidRPr="00266D7D">
        <w:rPr>
          <w:szCs w:val="24"/>
          <w:lang w:val="en-GB"/>
        </w:rPr>
        <w:t xml:space="preserve"> Stephen Greenblatt, Renaissance Self-Fashioning: From More to Shakespeare, Chicago 1984.</w:t>
      </w:r>
    </w:p>
  </w:footnote>
  <w:footnote w:id="18">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Rosi Fuhrmann, Kirche und Dorf: Religiöse Bedürfnisse und kirchliche Stiftung auf dem Lande vor der Reformation, Stuttgart 1995; Peter Jezler, Der spätgotische Kirchenbau in der Zürcher Landschaft, Wetzikon 1988; Steve Hindle, The State and Social Change in Early Modern England, Basingstoke 1999. </w:t>
      </w:r>
    </w:p>
  </w:footnote>
  <w:footnote w:id="19">
    <w:p w:rsidR="009772BF" w:rsidRPr="00266D7D" w:rsidRDefault="009772BF" w:rsidP="00AA16B1">
      <w:pPr>
        <w:pStyle w:val="FootnoteText"/>
        <w:spacing w:after="80" w:line="300" w:lineRule="exact"/>
        <w:rPr>
          <w:szCs w:val="24"/>
          <w:lang w:val="en-GB"/>
        </w:rPr>
      </w:pPr>
      <w:r w:rsidRPr="00266D7D">
        <w:rPr>
          <w:rStyle w:val="FootnoteReference"/>
          <w:szCs w:val="24"/>
        </w:rPr>
        <w:footnoteRef/>
      </w:r>
      <w:r w:rsidRPr="00266D7D">
        <w:rPr>
          <w:szCs w:val="24"/>
          <w:lang w:val="en-GB"/>
        </w:rPr>
        <w:t xml:space="preserve"> Clive Burgess und Beat </w:t>
      </w:r>
      <w:proofErr w:type="spellStart"/>
      <w:r w:rsidRPr="00266D7D">
        <w:rPr>
          <w:szCs w:val="24"/>
          <w:lang w:val="en-GB"/>
        </w:rPr>
        <w:t>Kümin</w:t>
      </w:r>
      <w:proofErr w:type="spellEnd"/>
      <w:r w:rsidRPr="00266D7D">
        <w:rPr>
          <w:szCs w:val="24"/>
          <w:lang w:val="en-GB"/>
        </w:rPr>
        <w:t>, Penitential bequests and parish regimes in late medieval England, in: Journal of Ecclesiastical History 44 (1993), S. 610-30.</w:t>
      </w:r>
    </w:p>
  </w:footnote>
  <w:footnote w:id="20">
    <w:p w:rsidR="009772BF" w:rsidRPr="00266D7D" w:rsidRDefault="009772BF" w:rsidP="00AA16B1">
      <w:pPr>
        <w:pStyle w:val="FootnoteText"/>
        <w:spacing w:after="80" w:line="300" w:lineRule="exact"/>
        <w:rPr>
          <w:szCs w:val="24"/>
          <w:lang w:val="en-GB"/>
        </w:rPr>
      </w:pPr>
      <w:r w:rsidRPr="00266D7D">
        <w:rPr>
          <w:rStyle w:val="FootnoteReference"/>
          <w:szCs w:val="24"/>
        </w:rPr>
        <w:footnoteRef/>
      </w:r>
      <w:r w:rsidRPr="00266D7D">
        <w:rPr>
          <w:szCs w:val="24"/>
          <w:lang w:val="en-GB"/>
        </w:rPr>
        <w:t xml:space="preserve"> Katherine L. French, </w:t>
      </w:r>
      <w:r w:rsidRPr="00266D7D">
        <w:rPr>
          <w:iCs/>
          <w:szCs w:val="24"/>
          <w:lang w:val="en-GB"/>
        </w:rPr>
        <w:t>The People of the Parish: Community Life in a Late Medieval English Diocese</w:t>
      </w:r>
      <w:r w:rsidRPr="00266D7D">
        <w:rPr>
          <w:szCs w:val="24"/>
          <w:lang w:val="en-GB"/>
        </w:rPr>
        <w:t xml:space="preserve">, Philadelphia 2001, </w:t>
      </w:r>
      <w:proofErr w:type="spellStart"/>
      <w:r w:rsidRPr="00266D7D">
        <w:rPr>
          <w:szCs w:val="24"/>
          <w:lang w:val="en-GB"/>
        </w:rPr>
        <w:t>hier</w:t>
      </w:r>
      <w:proofErr w:type="spellEnd"/>
      <w:r w:rsidRPr="00266D7D">
        <w:rPr>
          <w:szCs w:val="24"/>
          <w:lang w:val="en-GB"/>
        </w:rPr>
        <w:t xml:space="preserve"> S. 18 (</w:t>
      </w:r>
      <w:proofErr w:type="spellStart"/>
      <w:r w:rsidRPr="00266D7D">
        <w:rPr>
          <w:szCs w:val="24"/>
          <w:lang w:val="en-GB"/>
        </w:rPr>
        <w:t>Zitat</w:t>
      </w:r>
      <w:proofErr w:type="spellEnd"/>
      <w:r w:rsidRPr="00266D7D">
        <w:rPr>
          <w:szCs w:val="24"/>
          <w:lang w:val="en-GB"/>
        </w:rPr>
        <w:t xml:space="preserve">) und </w:t>
      </w:r>
      <w:proofErr w:type="spellStart"/>
      <w:r w:rsidRPr="00266D7D">
        <w:rPr>
          <w:szCs w:val="24"/>
          <w:lang w:val="en-GB"/>
        </w:rPr>
        <w:t>Kap</w:t>
      </w:r>
      <w:proofErr w:type="spellEnd"/>
      <w:r w:rsidRPr="00266D7D">
        <w:rPr>
          <w:szCs w:val="24"/>
          <w:lang w:val="en-GB"/>
        </w:rPr>
        <w:t xml:space="preserve">. </w:t>
      </w:r>
      <w:proofErr w:type="gramStart"/>
      <w:r w:rsidRPr="00266D7D">
        <w:rPr>
          <w:szCs w:val="24"/>
          <w:lang w:val="en-GB"/>
        </w:rPr>
        <w:t xml:space="preserve">2, </w:t>
      </w:r>
      <w:proofErr w:type="spellStart"/>
      <w:r w:rsidRPr="00266D7D">
        <w:rPr>
          <w:szCs w:val="24"/>
          <w:lang w:val="en-GB"/>
        </w:rPr>
        <w:t>mit</w:t>
      </w:r>
      <w:proofErr w:type="spellEnd"/>
      <w:r w:rsidRPr="00266D7D">
        <w:rPr>
          <w:szCs w:val="24"/>
          <w:lang w:val="en-GB"/>
        </w:rPr>
        <w:t xml:space="preserve"> </w:t>
      </w:r>
      <w:proofErr w:type="spellStart"/>
      <w:r w:rsidRPr="00266D7D">
        <w:rPr>
          <w:szCs w:val="24"/>
          <w:lang w:val="en-GB"/>
        </w:rPr>
        <w:t>Bezug</w:t>
      </w:r>
      <w:proofErr w:type="spellEnd"/>
      <w:r w:rsidRPr="00266D7D">
        <w:rPr>
          <w:szCs w:val="24"/>
          <w:lang w:val="en-GB"/>
        </w:rPr>
        <w:t xml:space="preserve"> auf </w:t>
      </w:r>
      <w:proofErr w:type="spellStart"/>
      <w:r w:rsidRPr="00266D7D">
        <w:rPr>
          <w:szCs w:val="24"/>
          <w:lang w:val="en-GB"/>
        </w:rPr>
        <w:t>Arbeiten</w:t>
      </w:r>
      <w:proofErr w:type="spellEnd"/>
      <w:r w:rsidRPr="00266D7D">
        <w:rPr>
          <w:szCs w:val="24"/>
          <w:lang w:val="en-GB"/>
        </w:rPr>
        <w:t xml:space="preserve"> von Brian Stock, Paul </w:t>
      </w:r>
      <w:proofErr w:type="spellStart"/>
      <w:r w:rsidRPr="00266D7D">
        <w:rPr>
          <w:szCs w:val="24"/>
          <w:lang w:val="en-GB"/>
        </w:rPr>
        <w:t>Zumthor</w:t>
      </w:r>
      <w:proofErr w:type="spellEnd"/>
      <w:r w:rsidRPr="00266D7D">
        <w:rPr>
          <w:szCs w:val="24"/>
          <w:lang w:val="en-GB"/>
        </w:rPr>
        <w:t xml:space="preserve"> und Michael </w:t>
      </w:r>
      <w:proofErr w:type="spellStart"/>
      <w:r w:rsidRPr="00266D7D">
        <w:rPr>
          <w:szCs w:val="24"/>
          <w:lang w:val="en-GB"/>
        </w:rPr>
        <w:t>Clanchy</w:t>
      </w:r>
      <w:proofErr w:type="spellEnd"/>
      <w:r w:rsidRPr="00266D7D">
        <w:rPr>
          <w:szCs w:val="24"/>
          <w:lang w:val="en-GB"/>
        </w:rPr>
        <w:t>.</w:t>
      </w:r>
      <w:proofErr w:type="gramEnd"/>
    </w:p>
  </w:footnote>
  <w:footnote w:id="21">
    <w:p w:rsidR="009772BF" w:rsidRPr="00266D7D" w:rsidRDefault="009772BF" w:rsidP="00AA16B1">
      <w:pPr>
        <w:pStyle w:val="FootnoteText"/>
        <w:spacing w:after="80" w:line="300" w:lineRule="exact"/>
        <w:rPr>
          <w:szCs w:val="24"/>
        </w:rPr>
      </w:pPr>
      <w:r w:rsidRPr="00292624">
        <w:rPr>
          <w:rStyle w:val="FootnoteReference"/>
          <w:szCs w:val="24"/>
        </w:rPr>
        <w:footnoteRef/>
      </w:r>
      <w:r w:rsidRPr="00292624">
        <w:rPr>
          <w:szCs w:val="24"/>
        </w:rPr>
        <w:t xml:space="preserve"> Für eine besonders extensive Schriftkultur und –überlieferung siehe: The Pre-Reformation </w:t>
      </w:r>
      <w:r w:rsidRPr="00266D7D">
        <w:rPr>
          <w:szCs w:val="24"/>
        </w:rPr>
        <w:t>Records of All Saints’ Church, Bristol, hg. von Clive Burgess, 3 Bände, Bristol 1995-2004; zur These der bis ins 17. Jahrhundert vorherrschenden Kommunikationsstruktur der Anwesenheitsgesellschaft siehe Rudolf Schlögl, Kommunikation und Vergesellschaftung unter Anwesenden. Formen des Sozialen und ihre Transformation in der Frühen Neuzeit, in: Geschichte und Gesellschaft 34 (2008), S. 155-224.</w:t>
      </w:r>
    </w:p>
  </w:footnote>
  <w:footnote w:id="22">
    <w:p w:rsidR="009772BF" w:rsidRDefault="009772BF">
      <w:pPr>
        <w:pStyle w:val="FootnoteText"/>
      </w:pPr>
      <w:r>
        <w:rPr>
          <w:rStyle w:val="FootnoteReference"/>
        </w:rPr>
        <w:footnoteRef/>
      </w:r>
      <w:r>
        <w:t xml:space="preserve"> </w:t>
      </w:r>
      <w:r w:rsidR="00355232">
        <w:t xml:space="preserve">Man vergleiche z.B. die Einschätzung von Marc Carel Schurr zur Kunstgeschichte in seinem Beitrag: Architektur als politisches Argument. Die Pfarrkirche als Bauaufgabe der mittelalterlichen Städte im Südwesten des Reiches, in: Die Pfarreien im späten Mittelalter (wie Anm. 3) S. 259-278, hier S. 260. </w:t>
      </w:r>
    </w:p>
  </w:footnote>
  <w:footnote w:id="23">
    <w:p w:rsidR="000E7505" w:rsidRPr="001B4853" w:rsidRDefault="000E7505">
      <w:pPr>
        <w:pStyle w:val="FootnoteText"/>
      </w:pPr>
      <w:r>
        <w:rPr>
          <w:rStyle w:val="FootnoteReference"/>
        </w:rPr>
        <w:footnoteRef/>
      </w:r>
      <w:r>
        <w:t xml:space="preserve"> </w:t>
      </w:r>
      <w:r w:rsidR="00C724F7">
        <w:t xml:space="preserve">Aus der Fülle der Beiträge </w:t>
      </w:r>
      <w:r w:rsidR="00326C91">
        <w:t>seien</w:t>
      </w:r>
      <w:r w:rsidR="00C724F7">
        <w:t xml:space="preserve"> hier nur genannt: </w:t>
      </w:r>
      <w:r w:rsidR="00D55607" w:rsidRPr="00D55607">
        <w:rPr>
          <w:i/>
          <w:szCs w:val="24"/>
        </w:rPr>
        <w:t>Vil gute Bucher zu St. Oswalden</w:t>
      </w:r>
      <w:r w:rsidR="00C724F7">
        <w:rPr>
          <w:szCs w:val="24"/>
        </w:rPr>
        <w:t xml:space="preserve">: Die Pfarrbibliothek in Zug im 15. und 16. </w:t>
      </w:r>
      <w:r w:rsidR="00C724F7" w:rsidRPr="00C724F7">
        <w:rPr>
          <w:szCs w:val="24"/>
        </w:rPr>
        <w:t xml:space="preserve">Jahrhundert, hg. von Michele C. Ferrari, Zürich 2003; </w:t>
      </w:r>
      <w:r w:rsidR="00C724F7">
        <w:rPr>
          <w:szCs w:val="24"/>
        </w:rPr>
        <w:t>Pfarrkirchen in den Städten des Hanseraums, hg. von Felix Biermann, Manfred Schneider und Thomas Terberger, Rahden 2006 (darin die Beiträge von Guntram Wilks und Anette Löffler); Stanislav</w:t>
      </w:r>
      <w:r w:rsidR="00C724F7" w:rsidRPr="00C724F7">
        <w:rPr>
          <w:szCs w:val="24"/>
        </w:rPr>
        <w:t xml:space="preserve"> Petr, Soupis rukopi</w:t>
      </w:r>
      <w:r w:rsidR="00C724F7">
        <w:rPr>
          <w:szCs w:val="24"/>
        </w:rPr>
        <w:t>sů knihovny při farním kostele svatého Jakuba v Brně, Praha 2007</w:t>
      </w:r>
      <w:r w:rsidR="00E74FDA">
        <w:rPr>
          <w:szCs w:val="24"/>
        </w:rPr>
        <w:t xml:space="preserve">; </w:t>
      </w:r>
      <w:r w:rsidR="008E0BD6" w:rsidRPr="008E0BD6">
        <w:t xml:space="preserve">Xavier Hermand, </w:t>
      </w:r>
      <w:hyperlink r:id="rId2" w:history="1">
        <w:r w:rsidR="008E0BD6" w:rsidRPr="008E0BD6">
          <w:t>Le prêtre de paroisse et le livre dans les Pays-Bas méridionaux à la fin du Moyen Âge : culture, lectures et pratiques de l'écrit</w:t>
        </w:r>
      </w:hyperlink>
      <w:r w:rsidR="008E0BD6">
        <w:t xml:space="preserve">, in: </w:t>
      </w:r>
      <w:r w:rsidR="008E0BD6" w:rsidRPr="008E0BD6">
        <w:t>Livre</w:t>
      </w:r>
      <w:r w:rsidR="008E0BD6">
        <w:t>s, éducation et religion dans l’</w:t>
      </w:r>
      <w:r w:rsidR="008E0BD6" w:rsidRPr="008E0BD6">
        <w:t>espace franco-belge, XV</w:t>
      </w:r>
      <w:r w:rsidR="008E0BD6" w:rsidRPr="008E0BD6">
        <w:rPr>
          <w:vertAlign w:val="superscript"/>
        </w:rPr>
        <w:t>e</w:t>
      </w:r>
      <w:r w:rsidR="008E0BD6" w:rsidRPr="008E0BD6">
        <w:t>-XIX</w:t>
      </w:r>
      <w:r w:rsidR="008E0BD6" w:rsidRPr="008E0BD6">
        <w:rPr>
          <w:vertAlign w:val="superscript"/>
        </w:rPr>
        <w:t>e</w:t>
      </w:r>
      <w:r w:rsidR="008E0BD6" w:rsidRPr="008E0BD6">
        <w:t xml:space="preserve"> siècles: Actes de la journée d'étude du 29 février 200</w:t>
      </w:r>
      <w:r w:rsidR="008E0BD6">
        <w:t xml:space="preserve">8 tenue aux FUNDP Namur, hg. </w:t>
      </w:r>
      <w:r w:rsidR="001B4853" w:rsidRPr="001B4853">
        <w:t>v</w:t>
      </w:r>
      <w:r w:rsidR="008E0BD6" w:rsidRPr="001B4853">
        <w:t xml:space="preserve">on Isabelle Parmentier, Namur 2009, S. 7-58; </w:t>
      </w:r>
      <w:r w:rsidR="00E74FDA" w:rsidRPr="001B4853">
        <w:rPr>
          <w:szCs w:val="24"/>
        </w:rPr>
        <w:t xml:space="preserve">Mathew Warnovix, Ulrich Pfeffel’s library: Paris priest, </w:t>
      </w:r>
      <w:r w:rsidR="00E74FDA" w:rsidRPr="001B4853">
        <w:t xml:space="preserve">preachers and the book in the 15th century, in: Speculum 87 (2012) S. </w:t>
      </w:r>
      <w:r w:rsidR="008E0BD6" w:rsidRPr="001B4853">
        <w:t>1125-1555</w:t>
      </w:r>
      <w:r w:rsidR="0085577E">
        <w:t>.</w:t>
      </w:r>
    </w:p>
  </w:footnote>
  <w:footnote w:id="24">
    <w:p w:rsidR="009772BF" w:rsidRDefault="009772BF">
      <w:pPr>
        <w:pStyle w:val="FootnoteText"/>
      </w:pPr>
      <w:r>
        <w:rPr>
          <w:rStyle w:val="FootnoteReference"/>
        </w:rPr>
        <w:footnoteRef/>
      </w:r>
      <w:r>
        <w:t xml:space="preserve"> </w:t>
      </w:r>
      <w:r w:rsidRPr="00266D7D">
        <w:rPr>
          <w:szCs w:val="24"/>
          <w:lang w:val="fr-FR"/>
        </w:rPr>
        <w:t xml:space="preserve">Marc Bloch, Pour une histoire comparée des sociétés </w:t>
      </w:r>
      <w:proofErr w:type="spellStart"/>
      <w:r w:rsidRPr="00266D7D">
        <w:rPr>
          <w:szCs w:val="24"/>
          <w:lang w:val="fr-FR"/>
        </w:rPr>
        <w:t>européenes</w:t>
      </w:r>
      <w:proofErr w:type="spellEnd"/>
      <w:r w:rsidRPr="00266D7D">
        <w:rPr>
          <w:szCs w:val="24"/>
          <w:lang w:val="fr-FR"/>
        </w:rPr>
        <w:t>, in: Revue de synthèse historique 46 (1925), S. 15-50</w:t>
      </w:r>
    </w:p>
  </w:footnote>
  <w:footnote w:id="25">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lang w:val="fr-FR"/>
        </w:rPr>
        <w:t xml:space="preserve"> Michel Espagne, </w:t>
      </w:r>
      <w:proofErr w:type="spellStart"/>
      <w:r w:rsidRPr="00266D7D">
        <w:rPr>
          <w:szCs w:val="24"/>
          <w:lang w:val="fr-FR"/>
        </w:rPr>
        <w:t>Au delà</w:t>
      </w:r>
      <w:proofErr w:type="spellEnd"/>
      <w:r w:rsidRPr="00266D7D">
        <w:rPr>
          <w:szCs w:val="24"/>
          <w:lang w:val="fr-FR"/>
        </w:rPr>
        <w:t xml:space="preserve"> du comparatisme, in: Ders., Les transferts culturels franco-allemands, Paris 1999, S. 35-49.</w:t>
      </w:r>
    </w:p>
  </w:footnote>
  <w:footnote w:id="26">
    <w:p w:rsidR="009772BF" w:rsidRPr="00266D7D" w:rsidRDefault="009772BF" w:rsidP="00AA16B1">
      <w:pPr>
        <w:pStyle w:val="FootnoteText"/>
        <w:spacing w:after="80" w:line="300" w:lineRule="exact"/>
        <w:rPr>
          <w:szCs w:val="24"/>
        </w:rPr>
      </w:pPr>
      <w:r w:rsidRPr="00266D7D">
        <w:rPr>
          <w:rStyle w:val="FootnoteReference"/>
          <w:szCs w:val="24"/>
        </w:rPr>
        <w:footnoteRef/>
      </w:r>
      <w:r w:rsidRPr="00266D7D">
        <w:rPr>
          <w:szCs w:val="24"/>
        </w:rPr>
        <w:t xml:space="preserve"> Transfers werden verstanden als „ein auf Mehrdeutigkeit basierendes multiplexes Verfahren des Austauschs von Informationen, Symbolen und Praktiken ..., „im Laufe dessen permanent Uminterpretationen und Transformationen stattfinden“: </w:t>
      </w:r>
      <w:r w:rsidRPr="00266D7D">
        <w:rPr>
          <w:color w:val="000000"/>
          <w:szCs w:val="24"/>
        </w:rPr>
        <w:t xml:space="preserve">Federico Celestini und Helga Mitterbauer, </w:t>
      </w:r>
      <w:r w:rsidRPr="00266D7D">
        <w:rPr>
          <w:szCs w:val="24"/>
        </w:rPr>
        <w:t>Einleitung, in:</w:t>
      </w:r>
      <w:r w:rsidRPr="00266D7D">
        <w:rPr>
          <w:color w:val="000000"/>
          <w:szCs w:val="24"/>
        </w:rPr>
        <w:t xml:space="preserve"> Ver-rückte Kulturen. Zur Dynamik kultureller Transfers, Tübingen 2003,</w:t>
      </w:r>
      <w:r w:rsidRPr="00266D7D">
        <w:rPr>
          <w:szCs w:val="24"/>
        </w:rPr>
        <w:t xml:space="preserve"> S. 11-17, hier </w:t>
      </w:r>
      <w:r w:rsidR="00247EE7">
        <w:rPr>
          <w:szCs w:val="24"/>
        </w:rPr>
        <w:t xml:space="preserve">S. </w:t>
      </w:r>
      <w:r w:rsidRPr="00266D7D">
        <w:rPr>
          <w:szCs w:val="24"/>
        </w:rPr>
        <w:t>12.</w:t>
      </w:r>
    </w:p>
  </w:footnote>
  <w:footnote w:id="27">
    <w:p w:rsidR="00964333" w:rsidRPr="00292624" w:rsidRDefault="00964333" w:rsidP="00964333">
      <w:pPr>
        <w:pStyle w:val="FootnoteText"/>
        <w:rPr>
          <w:szCs w:val="24"/>
          <w:lang w:val="de-CH"/>
        </w:rPr>
      </w:pPr>
      <w:r w:rsidRPr="00266D7D">
        <w:rPr>
          <w:rStyle w:val="FootnoteReference"/>
          <w:szCs w:val="24"/>
        </w:rPr>
        <w:footnoteRef/>
      </w:r>
      <w:r w:rsidRPr="00D755A3">
        <w:rPr>
          <w:szCs w:val="24"/>
          <w:lang w:val="de-CH"/>
        </w:rPr>
        <w:t xml:space="preserve"> Kulturtransfer: Kulturelle Praxis im 16. </w:t>
      </w:r>
      <w:r w:rsidRPr="00964333">
        <w:rPr>
          <w:szCs w:val="24"/>
          <w:lang w:val="de-CH"/>
        </w:rPr>
        <w:t xml:space="preserve">Jahrhundert, hg. von Wolfgang Schmale, </w:t>
      </w:r>
      <w:r w:rsidRPr="00292624">
        <w:rPr>
          <w:szCs w:val="24"/>
          <w:lang w:val="de-CH"/>
        </w:rPr>
        <w:t>Innsbruck 2003.</w:t>
      </w:r>
    </w:p>
  </w:footnote>
  <w:footnote w:id="28">
    <w:p w:rsidR="00964333" w:rsidRPr="00292624" w:rsidRDefault="00964333" w:rsidP="00964333">
      <w:pPr>
        <w:autoSpaceDE w:val="0"/>
        <w:autoSpaceDN w:val="0"/>
        <w:adjustRightInd w:val="0"/>
        <w:rPr>
          <w:szCs w:val="24"/>
        </w:rPr>
      </w:pPr>
      <w:r w:rsidRPr="00292624">
        <w:rPr>
          <w:rStyle w:val="FootnoteReference"/>
          <w:szCs w:val="24"/>
        </w:rPr>
        <w:footnoteRef/>
      </w:r>
      <w:r w:rsidRPr="00292624">
        <w:rPr>
          <w:szCs w:val="24"/>
        </w:rPr>
        <w:t xml:space="preserve"> Im vorliegenden Zusammenhang interessieren </w:t>
      </w:r>
      <w:r w:rsidR="00011637" w:rsidRPr="00292624">
        <w:rPr>
          <w:szCs w:val="24"/>
        </w:rPr>
        <w:t>etwa</w:t>
      </w:r>
      <w:r w:rsidRPr="00292624">
        <w:rPr>
          <w:szCs w:val="24"/>
        </w:rPr>
        <w:t xml:space="preserve"> </w:t>
      </w:r>
      <w:r w:rsidRPr="00292624">
        <w:rPr>
          <w:szCs w:val="24"/>
          <w:lang w:eastAsia="en-GB"/>
        </w:rPr>
        <w:t xml:space="preserve">Religion and Cultural Exchange in Europe, 1400-1700, hg. von Heinz Schilling und István György Tóth, Cambridge 2006, wo Austauschprozesse in den Randzonen Ostmitteleuropas sowie religiöse Kommunikation durch Rituale, Predigten, Theater, Musik und Druckschriften </w:t>
      </w:r>
      <w:r w:rsidRPr="00292624">
        <w:rPr>
          <w:rFonts w:cs="Times New Roman"/>
          <w:szCs w:val="24"/>
          <w:lang w:eastAsia="en-GB"/>
        </w:rPr>
        <w:t>beleuchtet werden; sowie die generellen konzeptionellen Überlegungen in Bernd Roeck, Introduction, in: Forging European Identities, 1400-1700, hg. von Herman Roodenburg</w:t>
      </w:r>
      <w:r w:rsidRPr="00292624">
        <w:rPr>
          <w:szCs w:val="24"/>
          <w:lang w:eastAsia="en-GB"/>
        </w:rPr>
        <w:t xml:space="preserve">, </w:t>
      </w:r>
      <w:r w:rsidRPr="00292624">
        <w:rPr>
          <w:rFonts w:cs="Times New Roman"/>
          <w:szCs w:val="24"/>
          <w:lang w:eastAsia="en-GB"/>
        </w:rPr>
        <w:t>Cambridge 2007</w:t>
      </w:r>
      <w:r w:rsidRPr="00292624">
        <w:rPr>
          <w:szCs w:val="24"/>
          <w:lang w:eastAsia="en-GB"/>
        </w:rPr>
        <w:t xml:space="preserve">, </w:t>
      </w:r>
      <w:r w:rsidRPr="00292624">
        <w:rPr>
          <w:rFonts w:cs="Times New Roman"/>
          <w:szCs w:val="24"/>
          <w:lang w:eastAsia="en-GB"/>
        </w:rPr>
        <w:t xml:space="preserve">S. 1-29. Vgl. auch </w:t>
      </w:r>
      <w:r w:rsidRPr="00292624">
        <w:rPr>
          <w:bCs/>
          <w:szCs w:val="24"/>
        </w:rPr>
        <w:t>Kultureller Austausch: Bilanz und Perspektiven der Frühneuzeitforschung, hg. von Michael North, Köln 2009</w:t>
      </w:r>
      <w:r w:rsidRPr="00292624">
        <w:rPr>
          <w:szCs w:val="24"/>
        </w:rPr>
        <w:t>.</w:t>
      </w:r>
    </w:p>
  </w:footnote>
  <w:footnote w:id="29">
    <w:p w:rsidR="0022485C" w:rsidRPr="00292624" w:rsidRDefault="0022485C">
      <w:pPr>
        <w:pStyle w:val="FootnoteText"/>
      </w:pPr>
      <w:r w:rsidRPr="00292624">
        <w:rPr>
          <w:rStyle w:val="FootnoteReference"/>
        </w:rPr>
        <w:footnoteRef/>
      </w:r>
      <w:r w:rsidRPr="00292624">
        <w:t xml:space="preserve"> Breite Quellenbelege </w:t>
      </w:r>
      <w:r w:rsidR="00320FF4" w:rsidRPr="00292624">
        <w:t>zur Rolle des Pfarreiklerus</w:t>
      </w:r>
      <w:r w:rsidRPr="00292624">
        <w:t xml:space="preserve"> bietet Pastors and the Care of Souls in Medieval England, hg. von John Shinners und William J. Dohar, Notre Dame 1998.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910856"/>
      <w:docPartObj>
        <w:docPartGallery w:val="Page Numbers (Top of Page)"/>
        <w:docPartUnique/>
      </w:docPartObj>
    </w:sdtPr>
    <w:sdtEndPr>
      <w:rPr>
        <w:noProof/>
      </w:rPr>
    </w:sdtEndPr>
    <w:sdtContent>
      <w:p w:rsidR="009772BF" w:rsidRDefault="009772BF">
        <w:pPr>
          <w:pStyle w:val="Header"/>
          <w:jc w:val="right"/>
        </w:pPr>
        <w:r>
          <w:fldChar w:fldCharType="begin"/>
        </w:r>
        <w:r>
          <w:instrText xml:space="preserve"> PAGE   \* MERGEFORMAT </w:instrText>
        </w:r>
        <w:r>
          <w:fldChar w:fldCharType="separate"/>
        </w:r>
        <w:r w:rsidR="00BB2111">
          <w:rPr>
            <w:noProof/>
          </w:rPr>
          <w:t>xiv</w:t>
        </w:r>
        <w:r>
          <w:rPr>
            <w:noProof/>
          </w:rPr>
          <w:fldChar w:fldCharType="end"/>
        </w:r>
      </w:p>
    </w:sdtContent>
  </w:sdt>
  <w:p w:rsidR="009772BF" w:rsidRDefault="009772B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4D5"/>
    <w:rsid w:val="00001932"/>
    <w:rsid w:val="00005FC6"/>
    <w:rsid w:val="00011637"/>
    <w:rsid w:val="00013E17"/>
    <w:rsid w:val="000273E8"/>
    <w:rsid w:val="0003087A"/>
    <w:rsid w:val="000314B9"/>
    <w:rsid w:val="0003276B"/>
    <w:rsid w:val="00035A05"/>
    <w:rsid w:val="00043E0D"/>
    <w:rsid w:val="00052178"/>
    <w:rsid w:val="00080103"/>
    <w:rsid w:val="00093122"/>
    <w:rsid w:val="00095E3E"/>
    <w:rsid w:val="000A01C6"/>
    <w:rsid w:val="000A0E01"/>
    <w:rsid w:val="000B2AD1"/>
    <w:rsid w:val="000B495B"/>
    <w:rsid w:val="000C1E62"/>
    <w:rsid w:val="000D2797"/>
    <w:rsid w:val="000E1EB9"/>
    <w:rsid w:val="000E5D0F"/>
    <w:rsid w:val="000E7505"/>
    <w:rsid w:val="000F0275"/>
    <w:rsid w:val="000F0B7B"/>
    <w:rsid w:val="00101338"/>
    <w:rsid w:val="00105ED3"/>
    <w:rsid w:val="001130F8"/>
    <w:rsid w:val="001329C7"/>
    <w:rsid w:val="00143A75"/>
    <w:rsid w:val="00145155"/>
    <w:rsid w:val="00167919"/>
    <w:rsid w:val="00172BCF"/>
    <w:rsid w:val="001772FB"/>
    <w:rsid w:val="00185C22"/>
    <w:rsid w:val="001A1138"/>
    <w:rsid w:val="001A3741"/>
    <w:rsid w:val="001B4853"/>
    <w:rsid w:val="001B54B9"/>
    <w:rsid w:val="001C6C41"/>
    <w:rsid w:val="001E14D5"/>
    <w:rsid w:val="001E2D81"/>
    <w:rsid w:val="001F7442"/>
    <w:rsid w:val="001F7A59"/>
    <w:rsid w:val="002127DF"/>
    <w:rsid w:val="00223BF5"/>
    <w:rsid w:val="0022485C"/>
    <w:rsid w:val="00237755"/>
    <w:rsid w:val="00242C62"/>
    <w:rsid w:val="00247EE7"/>
    <w:rsid w:val="00262086"/>
    <w:rsid w:val="00266D7D"/>
    <w:rsid w:val="00271370"/>
    <w:rsid w:val="0027198B"/>
    <w:rsid w:val="00281CF5"/>
    <w:rsid w:val="0028356D"/>
    <w:rsid w:val="0028500A"/>
    <w:rsid w:val="00292624"/>
    <w:rsid w:val="00294C5E"/>
    <w:rsid w:val="00296F0C"/>
    <w:rsid w:val="002A05C4"/>
    <w:rsid w:val="002B37A8"/>
    <w:rsid w:val="002B6663"/>
    <w:rsid w:val="002B70B2"/>
    <w:rsid w:val="002C2AE0"/>
    <w:rsid w:val="002C7928"/>
    <w:rsid w:val="002D2B25"/>
    <w:rsid w:val="002D4F10"/>
    <w:rsid w:val="002D592C"/>
    <w:rsid w:val="00306AAB"/>
    <w:rsid w:val="00312432"/>
    <w:rsid w:val="00313C08"/>
    <w:rsid w:val="0031477B"/>
    <w:rsid w:val="00320FF4"/>
    <w:rsid w:val="00326C91"/>
    <w:rsid w:val="00335C0A"/>
    <w:rsid w:val="00337B49"/>
    <w:rsid w:val="0034037B"/>
    <w:rsid w:val="00345DF0"/>
    <w:rsid w:val="00355232"/>
    <w:rsid w:val="0038087A"/>
    <w:rsid w:val="00381C8B"/>
    <w:rsid w:val="00383B9A"/>
    <w:rsid w:val="00384C2B"/>
    <w:rsid w:val="00384EA3"/>
    <w:rsid w:val="00387D87"/>
    <w:rsid w:val="00394126"/>
    <w:rsid w:val="003A2BD5"/>
    <w:rsid w:val="003A5ECF"/>
    <w:rsid w:val="003A6538"/>
    <w:rsid w:val="003B0338"/>
    <w:rsid w:val="0040295B"/>
    <w:rsid w:val="00403AD3"/>
    <w:rsid w:val="00415661"/>
    <w:rsid w:val="004474BA"/>
    <w:rsid w:val="00450F73"/>
    <w:rsid w:val="00461317"/>
    <w:rsid w:val="004638CD"/>
    <w:rsid w:val="004768E9"/>
    <w:rsid w:val="00477132"/>
    <w:rsid w:val="00477ECD"/>
    <w:rsid w:val="00481D89"/>
    <w:rsid w:val="0048391E"/>
    <w:rsid w:val="00486828"/>
    <w:rsid w:val="00493BBD"/>
    <w:rsid w:val="00497552"/>
    <w:rsid w:val="004A5730"/>
    <w:rsid w:val="00511090"/>
    <w:rsid w:val="00512628"/>
    <w:rsid w:val="005234F4"/>
    <w:rsid w:val="005448C1"/>
    <w:rsid w:val="00554EA6"/>
    <w:rsid w:val="00557B8D"/>
    <w:rsid w:val="005670AD"/>
    <w:rsid w:val="00581597"/>
    <w:rsid w:val="00584E0F"/>
    <w:rsid w:val="00585FD2"/>
    <w:rsid w:val="00595817"/>
    <w:rsid w:val="005B1192"/>
    <w:rsid w:val="005B6666"/>
    <w:rsid w:val="005C1A1C"/>
    <w:rsid w:val="005C2339"/>
    <w:rsid w:val="005C26E3"/>
    <w:rsid w:val="005C4335"/>
    <w:rsid w:val="005D2DE7"/>
    <w:rsid w:val="005D6E93"/>
    <w:rsid w:val="005E25EA"/>
    <w:rsid w:val="005E5C3D"/>
    <w:rsid w:val="005F03E5"/>
    <w:rsid w:val="005F1598"/>
    <w:rsid w:val="005F23E3"/>
    <w:rsid w:val="00600FDA"/>
    <w:rsid w:val="006043AC"/>
    <w:rsid w:val="0061328E"/>
    <w:rsid w:val="00615D01"/>
    <w:rsid w:val="00616FCB"/>
    <w:rsid w:val="006265EC"/>
    <w:rsid w:val="0063083A"/>
    <w:rsid w:val="00632A33"/>
    <w:rsid w:val="006345CE"/>
    <w:rsid w:val="00634E8D"/>
    <w:rsid w:val="006559C7"/>
    <w:rsid w:val="00656849"/>
    <w:rsid w:val="00657EBF"/>
    <w:rsid w:val="00660C2A"/>
    <w:rsid w:val="00660ECA"/>
    <w:rsid w:val="006613E6"/>
    <w:rsid w:val="0066710E"/>
    <w:rsid w:val="0067574F"/>
    <w:rsid w:val="006933C2"/>
    <w:rsid w:val="0069500E"/>
    <w:rsid w:val="006B0585"/>
    <w:rsid w:val="006B1068"/>
    <w:rsid w:val="006B18FC"/>
    <w:rsid w:val="006B6F85"/>
    <w:rsid w:val="006C08D1"/>
    <w:rsid w:val="006C4883"/>
    <w:rsid w:val="006C773E"/>
    <w:rsid w:val="006E0303"/>
    <w:rsid w:val="006F18A8"/>
    <w:rsid w:val="00714B71"/>
    <w:rsid w:val="00733E9A"/>
    <w:rsid w:val="00742521"/>
    <w:rsid w:val="00750F35"/>
    <w:rsid w:val="00754EA4"/>
    <w:rsid w:val="00756710"/>
    <w:rsid w:val="00765397"/>
    <w:rsid w:val="007705BC"/>
    <w:rsid w:val="007856C1"/>
    <w:rsid w:val="00797A71"/>
    <w:rsid w:val="007A0460"/>
    <w:rsid w:val="007A4F20"/>
    <w:rsid w:val="007B49EE"/>
    <w:rsid w:val="007D67D0"/>
    <w:rsid w:val="007E0070"/>
    <w:rsid w:val="007E436A"/>
    <w:rsid w:val="007F2655"/>
    <w:rsid w:val="007F4D57"/>
    <w:rsid w:val="00835048"/>
    <w:rsid w:val="008451CC"/>
    <w:rsid w:val="00847945"/>
    <w:rsid w:val="0085057D"/>
    <w:rsid w:val="0085577E"/>
    <w:rsid w:val="00856C7A"/>
    <w:rsid w:val="00865098"/>
    <w:rsid w:val="00876EDC"/>
    <w:rsid w:val="00891D5D"/>
    <w:rsid w:val="00895259"/>
    <w:rsid w:val="008B0160"/>
    <w:rsid w:val="008B3650"/>
    <w:rsid w:val="008D7D33"/>
    <w:rsid w:val="008E0BD6"/>
    <w:rsid w:val="008F190D"/>
    <w:rsid w:val="008F7062"/>
    <w:rsid w:val="00903722"/>
    <w:rsid w:val="00906ADC"/>
    <w:rsid w:val="00933EC2"/>
    <w:rsid w:val="009455B6"/>
    <w:rsid w:val="009518AF"/>
    <w:rsid w:val="00964333"/>
    <w:rsid w:val="0096567C"/>
    <w:rsid w:val="00973774"/>
    <w:rsid w:val="00974108"/>
    <w:rsid w:val="00974BDD"/>
    <w:rsid w:val="009772BF"/>
    <w:rsid w:val="009A69B0"/>
    <w:rsid w:val="009C4CC0"/>
    <w:rsid w:val="009D4350"/>
    <w:rsid w:val="009D5720"/>
    <w:rsid w:val="009D5FB2"/>
    <w:rsid w:val="00A077DF"/>
    <w:rsid w:val="00A113D7"/>
    <w:rsid w:val="00A43AE6"/>
    <w:rsid w:val="00A46924"/>
    <w:rsid w:val="00A5024C"/>
    <w:rsid w:val="00A51F43"/>
    <w:rsid w:val="00A6687F"/>
    <w:rsid w:val="00A7537F"/>
    <w:rsid w:val="00AA16B1"/>
    <w:rsid w:val="00AC594D"/>
    <w:rsid w:val="00AC5E33"/>
    <w:rsid w:val="00AD7A6C"/>
    <w:rsid w:val="00AE0A80"/>
    <w:rsid w:val="00AE59A0"/>
    <w:rsid w:val="00B120CA"/>
    <w:rsid w:val="00B123DF"/>
    <w:rsid w:val="00B17057"/>
    <w:rsid w:val="00B23661"/>
    <w:rsid w:val="00B275DB"/>
    <w:rsid w:val="00B27DA5"/>
    <w:rsid w:val="00B327FC"/>
    <w:rsid w:val="00B37157"/>
    <w:rsid w:val="00B41D4B"/>
    <w:rsid w:val="00B5111B"/>
    <w:rsid w:val="00B61265"/>
    <w:rsid w:val="00B817EC"/>
    <w:rsid w:val="00B8343D"/>
    <w:rsid w:val="00B90235"/>
    <w:rsid w:val="00B908E6"/>
    <w:rsid w:val="00B940F5"/>
    <w:rsid w:val="00B9551D"/>
    <w:rsid w:val="00B9615E"/>
    <w:rsid w:val="00BB2032"/>
    <w:rsid w:val="00BB2111"/>
    <w:rsid w:val="00BC6D96"/>
    <w:rsid w:val="00BC721D"/>
    <w:rsid w:val="00BD104B"/>
    <w:rsid w:val="00BE37C1"/>
    <w:rsid w:val="00BF5DEC"/>
    <w:rsid w:val="00C0155F"/>
    <w:rsid w:val="00C05DF3"/>
    <w:rsid w:val="00C13920"/>
    <w:rsid w:val="00C17F18"/>
    <w:rsid w:val="00C22096"/>
    <w:rsid w:val="00C350C4"/>
    <w:rsid w:val="00C46BC7"/>
    <w:rsid w:val="00C53785"/>
    <w:rsid w:val="00C724F7"/>
    <w:rsid w:val="00C839BE"/>
    <w:rsid w:val="00C8492E"/>
    <w:rsid w:val="00C95BEB"/>
    <w:rsid w:val="00CA379E"/>
    <w:rsid w:val="00CC432F"/>
    <w:rsid w:val="00CF526E"/>
    <w:rsid w:val="00CF68A9"/>
    <w:rsid w:val="00D01E6A"/>
    <w:rsid w:val="00D07EE6"/>
    <w:rsid w:val="00D41E73"/>
    <w:rsid w:val="00D55607"/>
    <w:rsid w:val="00D615B3"/>
    <w:rsid w:val="00D639A1"/>
    <w:rsid w:val="00D649D9"/>
    <w:rsid w:val="00D755A3"/>
    <w:rsid w:val="00D93A0B"/>
    <w:rsid w:val="00D94423"/>
    <w:rsid w:val="00D9442B"/>
    <w:rsid w:val="00D97AD1"/>
    <w:rsid w:val="00DA2C09"/>
    <w:rsid w:val="00DA41CF"/>
    <w:rsid w:val="00DA65C8"/>
    <w:rsid w:val="00DB2407"/>
    <w:rsid w:val="00DC536D"/>
    <w:rsid w:val="00DD2EDD"/>
    <w:rsid w:val="00DD5BFA"/>
    <w:rsid w:val="00DD7A4C"/>
    <w:rsid w:val="00DF0830"/>
    <w:rsid w:val="00DF5AF3"/>
    <w:rsid w:val="00E15A5E"/>
    <w:rsid w:val="00E2183F"/>
    <w:rsid w:val="00E27AA3"/>
    <w:rsid w:val="00E45D5E"/>
    <w:rsid w:val="00E475E7"/>
    <w:rsid w:val="00E5093F"/>
    <w:rsid w:val="00E60909"/>
    <w:rsid w:val="00E60C74"/>
    <w:rsid w:val="00E74FDA"/>
    <w:rsid w:val="00E9109D"/>
    <w:rsid w:val="00E95C56"/>
    <w:rsid w:val="00E95F3C"/>
    <w:rsid w:val="00EA2C24"/>
    <w:rsid w:val="00EA6CB2"/>
    <w:rsid w:val="00EC6AC2"/>
    <w:rsid w:val="00EF5713"/>
    <w:rsid w:val="00F0727E"/>
    <w:rsid w:val="00F2301E"/>
    <w:rsid w:val="00F24414"/>
    <w:rsid w:val="00F35AAD"/>
    <w:rsid w:val="00F620B3"/>
    <w:rsid w:val="00F62F4F"/>
    <w:rsid w:val="00F77C85"/>
    <w:rsid w:val="00F809EB"/>
    <w:rsid w:val="00F82FAF"/>
    <w:rsid w:val="00F9065A"/>
    <w:rsid w:val="00F92D38"/>
    <w:rsid w:val="00F936F6"/>
    <w:rsid w:val="00F979FC"/>
    <w:rsid w:val="00FA2FED"/>
    <w:rsid w:val="00FB2CC5"/>
    <w:rsid w:val="00FB6F37"/>
    <w:rsid w:val="00FC15F7"/>
    <w:rsid w:val="00FC4A81"/>
    <w:rsid w:val="00FC4B05"/>
    <w:rsid w:val="00FE075C"/>
    <w:rsid w:val="00FE24AD"/>
    <w:rsid w:val="00FE3C70"/>
    <w:rsid w:val="00FE4AA6"/>
    <w:rsid w:val="00FF63E0"/>
    <w:rsid w:val="00FF6B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lang w:val="de-DE"/>
    </w:rPr>
  </w:style>
  <w:style w:type="paragraph" w:styleId="Heading1">
    <w:name w:val="heading 1"/>
    <w:basedOn w:val="Normal"/>
    <w:next w:val="Normal"/>
    <w:link w:val="Heading1Char"/>
    <w:uiPriority w:val="99"/>
    <w:qFormat/>
    <w:rsid w:val="00306AAB"/>
    <w:pPr>
      <w:keepNext/>
      <w:spacing w:after="160"/>
      <w:outlineLvl w:val="0"/>
    </w:pPr>
    <w:rPr>
      <w:rFonts w:eastAsia="Times New Roman" w:cs="Times New Roman"/>
      <w:b/>
      <w:bCs/>
      <w:szCs w:val="24"/>
      <w:lang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AAB"/>
    <w:pPr>
      <w:ind w:left="720"/>
      <w:contextualSpacing/>
    </w:pPr>
  </w:style>
  <w:style w:type="paragraph" w:styleId="Title">
    <w:name w:val="Title"/>
    <w:basedOn w:val="Normal"/>
    <w:link w:val="TitleChar"/>
    <w:uiPriority w:val="99"/>
    <w:qFormat/>
    <w:rsid w:val="00306AAB"/>
    <w:pPr>
      <w:jc w:val="center"/>
    </w:pPr>
    <w:rPr>
      <w:rFonts w:eastAsia="Times New Roman" w:cs="Times New Roman"/>
      <w:b/>
      <w:bCs/>
      <w:szCs w:val="24"/>
    </w:rPr>
  </w:style>
  <w:style w:type="character" w:customStyle="1" w:styleId="TitleChar">
    <w:name w:val="Title Char"/>
    <w:basedOn w:val="DefaultParagraphFont"/>
    <w:link w:val="Title"/>
    <w:uiPriority w:val="99"/>
    <w:rsid w:val="00306AAB"/>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uiPriority w:val="99"/>
    <w:rsid w:val="00306AAB"/>
    <w:rPr>
      <w:rFonts w:ascii="Times New Roman" w:eastAsia="Times New Roman" w:hAnsi="Times New Roman" w:cs="Times New Roman"/>
      <w:b/>
      <w:bCs/>
      <w:sz w:val="24"/>
      <w:szCs w:val="24"/>
      <w:lang w:val="de-DE" w:eastAsia="hu-HU"/>
    </w:rPr>
  </w:style>
  <w:style w:type="paragraph" w:styleId="BalloonText">
    <w:name w:val="Balloon Text"/>
    <w:basedOn w:val="Normal"/>
    <w:link w:val="BalloonTextChar"/>
    <w:uiPriority w:val="99"/>
    <w:semiHidden/>
    <w:unhideWhenUsed/>
    <w:rsid w:val="003B0338"/>
    <w:rPr>
      <w:rFonts w:ascii="Tahoma" w:hAnsi="Tahoma" w:cs="Tahoma"/>
      <w:sz w:val="16"/>
      <w:szCs w:val="16"/>
    </w:rPr>
  </w:style>
  <w:style w:type="character" w:customStyle="1" w:styleId="BalloonTextChar">
    <w:name w:val="Balloon Text Char"/>
    <w:basedOn w:val="DefaultParagraphFont"/>
    <w:link w:val="BalloonText"/>
    <w:uiPriority w:val="99"/>
    <w:semiHidden/>
    <w:rsid w:val="003B0338"/>
    <w:rPr>
      <w:rFonts w:ascii="Tahoma" w:hAnsi="Tahoma" w:cs="Tahoma"/>
      <w:sz w:val="16"/>
      <w:szCs w:val="16"/>
    </w:rPr>
  </w:style>
  <w:style w:type="character" w:styleId="Hyperlink">
    <w:name w:val="Hyperlink"/>
    <w:basedOn w:val="DefaultParagraphFont"/>
    <w:uiPriority w:val="99"/>
    <w:rsid w:val="00765397"/>
    <w:rPr>
      <w:rFonts w:cs="Times New Roman"/>
      <w:color w:val="0000FF"/>
      <w:u w:val="single"/>
    </w:rPr>
  </w:style>
  <w:style w:type="paragraph" w:styleId="FootnoteText">
    <w:name w:val="footnote text"/>
    <w:basedOn w:val="Normal"/>
    <w:link w:val="FootnoteTextChar"/>
    <w:uiPriority w:val="99"/>
    <w:semiHidden/>
    <w:rsid w:val="009772BF"/>
    <w:rPr>
      <w:rFonts w:eastAsia="Times New Roman" w:cs="Times New Roman"/>
      <w:szCs w:val="20"/>
    </w:rPr>
  </w:style>
  <w:style w:type="character" w:customStyle="1" w:styleId="FootnoteTextChar">
    <w:name w:val="Footnote Text Char"/>
    <w:basedOn w:val="DefaultParagraphFont"/>
    <w:link w:val="FootnoteText"/>
    <w:uiPriority w:val="99"/>
    <w:semiHidden/>
    <w:rsid w:val="009772BF"/>
    <w:rPr>
      <w:rFonts w:ascii="Times New Roman" w:eastAsia="Times New Roman" w:hAnsi="Times New Roman" w:cs="Times New Roman"/>
      <w:sz w:val="24"/>
      <w:szCs w:val="20"/>
      <w:lang w:val="de-DE"/>
    </w:rPr>
  </w:style>
  <w:style w:type="character" w:styleId="FootnoteReference">
    <w:name w:val="footnote reference"/>
    <w:basedOn w:val="DefaultParagraphFont"/>
    <w:uiPriority w:val="99"/>
    <w:semiHidden/>
    <w:rsid w:val="00765397"/>
    <w:rPr>
      <w:rFonts w:cs="Times New Roman"/>
      <w:vertAlign w:val="superscript"/>
    </w:rPr>
  </w:style>
  <w:style w:type="character" w:styleId="Emphasis">
    <w:name w:val="Emphasis"/>
    <w:basedOn w:val="DefaultParagraphFont"/>
    <w:uiPriority w:val="20"/>
    <w:qFormat/>
    <w:rsid w:val="00765397"/>
    <w:rPr>
      <w:rFonts w:cs="Times New Roman"/>
      <w:i/>
      <w:iCs/>
    </w:rPr>
  </w:style>
  <w:style w:type="character" w:customStyle="1" w:styleId="boxstyle1">
    <w:name w:val="boxstyle1"/>
    <w:basedOn w:val="DefaultParagraphFont"/>
    <w:uiPriority w:val="99"/>
    <w:rsid w:val="00765397"/>
    <w:rPr>
      <w:rFonts w:cs="Times New Roman"/>
      <w:bdr w:val="single" w:sz="6" w:space="1" w:color="auto" w:frame="1"/>
      <w:shd w:val="clear" w:color="auto" w:fill="auto"/>
    </w:rPr>
  </w:style>
  <w:style w:type="paragraph" w:styleId="NormalWeb">
    <w:name w:val="Normal (Web)"/>
    <w:basedOn w:val="Normal"/>
    <w:uiPriority w:val="99"/>
    <w:rsid w:val="00765397"/>
    <w:pPr>
      <w:spacing w:before="100" w:beforeAutospacing="1" w:after="100" w:afterAutospacing="1"/>
    </w:pPr>
    <w:rPr>
      <w:rFonts w:eastAsia="Times New Roman" w:cs="Times New Roman"/>
      <w:szCs w:val="24"/>
      <w:lang w:eastAsia="en-GB"/>
    </w:rPr>
  </w:style>
  <w:style w:type="paragraph" w:styleId="Header">
    <w:name w:val="header"/>
    <w:basedOn w:val="Normal"/>
    <w:link w:val="HeaderChar"/>
    <w:uiPriority w:val="99"/>
    <w:unhideWhenUsed/>
    <w:rsid w:val="005F1598"/>
    <w:pPr>
      <w:tabs>
        <w:tab w:val="center" w:pos="4513"/>
        <w:tab w:val="right" w:pos="9026"/>
      </w:tabs>
    </w:pPr>
  </w:style>
  <w:style w:type="character" w:customStyle="1" w:styleId="HeaderChar">
    <w:name w:val="Header Char"/>
    <w:basedOn w:val="DefaultParagraphFont"/>
    <w:link w:val="Header"/>
    <w:uiPriority w:val="99"/>
    <w:rsid w:val="005F1598"/>
    <w:rPr>
      <w:rFonts w:ascii="Times New Roman" w:hAnsi="Times New Roman"/>
      <w:sz w:val="24"/>
    </w:rPr>
  </w:style>
  <w:style w:type="paragraph" w:styleId="Footer">
    <w:name w:val="footer"/>
    <w:basedOn w:val="Normal"/>
    <w:link w:val="FooterChar"/>
    <w:uiPriority w:val="99"/>
    <w:unhideWhenUsed/>
    <w:rsid w:val="005F1598"/>
    <w:pPr>
      <w:tabs>
        <w:tab w:val="center" w:pos="4513"/>
        <w:tab w:val="right" w:pos="9026"/>
      </w:tabs>
    </w:pPr>
  </w:style>
  <w:style w:type="character" w:customStyle="1" w:styleId="FooterChar">
    <w:name w:val="Footer Char"/>
    <w:basedOn w:val="DefaultParagraphFont"/>
    <w:link w:val="Footer"/>
    <w:uiPriority w:val="99"/>
    <w:rsid w:val="005F1598"/>
    <w:rPr>
      <w:rFonts w:ascii="Times New Roman" w:hAnsi="Times New Roman"/>
      <w:sz w:val="24"/>
    </w:rPr>
  </w:style>
  <w:style w:type="character" w:customStyle="1" w:styleId="st1">
    <w:name w:val="st1"/>
    <w:basedOn w:val="DefaultParagraphFont"/>
    <w:rsid w:val="00581597"/>
  </w:style>
  <w:style w:type="character" w:styleId="FollowedHyperlink">
    <w:name w:val="FollowedHyperlink"/>
    <w:basedOn w:val="DefaultParagraphFont"/>
    <w:uiPriority w:val="99"/>
    <w:semiHidden/>
    <w:unhideWhenUsed/>
    <w:rsid w:val="00BE37C1"/>
    <w:rPr>
      <w:color w:val="800080" w:themeColor="followedHyperlink"/>
      <w:u w:val="single"/>
    </w:rPr>
  </w:style>
  <w:style w:type="character" w:customStyle="1" w:styleId="pages">
    <w:name w:val="pages"/>
    <w:basedOn w:val="DefaultParagraphFont"/>
    <w:rsid w:val="008E0B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883"/>
    <w:pPr>
      <w:spacing w:after="0" w:line="240" w:lineRule="auto"/>
    </w:pPr>
    <w:rPr>
      <w:rFonts w:ascii="Times New Roman" w:hAnsi="Times New Roman"/>
      <w:sz w:val="24"/>
      <w:lang w:val="de-DE"/>
    </w:rPr>
  </w:style>
  <w:style w:type="paragraph" w:styleId="Heading1">
    <w:name w:val="heading 1"/>
    <w:basedOn w:val="Normal"/>
    <w:next w:val="Normal"/>
    <w:link w:val="Heading1Char"/>
    <w:uiPriority w:val="99"/>
    <w:qFormat/>
    <w:rsid w:val="00306AAB"/>
    <w:pPr>
      <w:keepNext/>
      <w:spacing w:after="160"/>
      <w:outlineLvl w:val="0"/>
    </w:pPr>
    <w:rPr>
      <w:rFonts w:eastAsia="Times New Roman" w:cs="Times New Roman"/>
      <w:b/>
      <w:bCs/>
      <w:szCs w:val="24"/>
      <w:lang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6AAB"/>
    <w:pPr>
      <w:ind w:left="720"/>
      <w:contextualSpacing/>
    </w:pPr>
  </w:style>
  <w:style w:type="paragraph" w:styleId="Title">
    <w:name w:val="Title"/>
    <w:basedOn w:val="Normal"/>
    <w:link w:val="TitleChar"/>
    <w:uiPriority w:val="99"/>
    <w:qFormat/>
    <w:rsid w:val="00306AAB"/>
    <w:pPr>
      <w:jc w:val="center"/>
    </w:pPr>
    <w:rPr>
      <w:rFonts w:eastAsia="Times New Roman" w:cs="Times New Roman"/>
      <w:b/>
      <w:bCs/>
      <w:szCs w:val="24"/>
    </w:rPr>
  </w:style>
  <w:style w:type="character" w:customStyle="1" w:styleId="TitleChar">
    <w:name w:val="Title Char"/>
    <w:basedOn w:val="DefaultParagraphFont"/>
    <w:link w:val="Title"/>
    <w:uiPriority w:val="99"/>
    <w:rsid w:val="00306AAB"/>
    <w:rPr>
      <w:rFonts w:ascii="Times New Roman" w:eastAsia="Times New Roman" w:hAnsi="Times New Roman" w:cs="Times New Roman"/>
      <w:b/>
      <w:bCs/>
      <w:sz w:val="24"/>
      <w:szCs w:val="24"/>
    </w:rPr>
  </w:style>
  <w:style w:type="character" w:customStyle="1" w:styleId="Heading1Char">
    <w:name w:val="Heading 1 Char"/>
    <w:basedOn w:val="DefaultParagraphFont"/>
    <w:link w:val="Heading1"/>
    <w:uiPriority w:val="99"/>
    <w:rsid w:val="00306AAB"/>
    <w:rPr>
      <w:rFonts w:ascii="Times New Roman" w:eastAsia="Times New Roman" w:hAnsi="Times New Roman" w:cs="Times New Roman"/>
      <w:b/>
      <w:bCs/>
      <w:sz w:val="24"/>
      <w:szCs w:val="24"/>
      <w:lang w:val="de-DE" w:eastAsia="hu-HU"/>
    </w:rPr>
  </w:style>
  <w:style w:type="paragraph" w:styleId="BalloonText">
    <w:name w:val="Balloon Text"/>
    <w:basedOn w:val="Normal"/>
    <w:link w:val="BalloonTextChar"/>
    <w:uiPriority w:val="99"/>
    <w:semiHidden/>
    <w:unhideWhenUsed/>
    <w:rsid w:val="003B0338"/>
    <w:rPr>
      <w:rFonts w:ascii="Tahoma" w:hAnsi="Tahoma" w:cs="Tahoma"/>
      <w:sz w:val="16"/>
      <w:szCs w:val="16"/>
    </w:rPr>
  </w:style>
  <w:style w:type="character" w:customStyle="1" w:styleId="BalloonTextChar">
    <w:name w:val="Balloon Text Char"/>
    <w:basedOn w:val="DefaultParagraphFont"/>
    <w:link w:val="BalloonText"/>
    <w:uiPriority w:val="99"/>
    <w:semiHidden/>
    <w:rsid w:val="003B0338"/>
    <w:rPr>
      <w:rFonts w:ascii="Tahoma" w:hAnsi="Tahoma" w:cs="Tahoma"/>
      <w:sz w:val="16"/>
      <w:szCs w:val="16"/>
    </w:rPr>
  </w:style>
  <w:style w:type="character" w:styleId="Hyperlink">
    <w:name w:val="Hyperlink"/>
    <w:basedOn w:val="DefaultParagraphFont"/>
    <w:uiPriority w:val="99"/>
    <w:rsid w:val="00765397"/>
    <w:rPr>
      <w:rFonts w:cs="Times New Roman"/>
      <w:color w:val="0000FF"/>
      <w:u w:val="single"/>
    </w:rPr>
  </w:style>
  <w:style w:type="paragraph" w:styleId="FootnoteText">
    <w:name w:val="footnote text"/>
    <w:basedOn w:val="Normal"/>
    <w:link w:val="FootnoteTextChar"/>
    <w:uiPriority w:val="99"/>
    <w:semiHidden/>
    <w:rsid w:val="009772BF"/>
    <w:rPr>
      <w:rFonts w:eastAsia="Times New Roman" w:cs="Times New Roman"/>
      <w:szCs w:val="20"/>
    </w:rPr>
  </w:style>
  <w:style w:type="character" w:customStyle="1" w:styleId="FootnoteTextChar">
    <w:name w:val="Footnote Text Char"/>
    <w:basedOn w:val="DefaultParagraphFont"/>
    <w:link w:val="FootnoteText"/>
    <w:uiPriority w:val="99"/>
    <w:semiHidden/>
    <w:rsid w:val="009772BF"/>
    <w:rPr>
      <w:rFonts w:ascii="Times New Roman" w:eastAsia="Times New Roman" w:hAnsi="Times New Roman" w:cs="Times New Roman"/>
      <w:sz w:val="24"/>
      <w:szCs w:val="20"/>
      <w:lang w:val="de-DE"/>
    </w:rPr>
  </w:style>
  <w:style w:type="character" w:styleId="FootnoteReference">
    <w:name w:val="footnote reference"/>
    <w:basedOn w:val="DefaultParagraphFont"/>
    <w:uiPriority w:val="99"/>
    <w:semiHidden/>
    <w:rsid w:val="00765397"/>
    <w:rPr>
      <w:rFonts w:cs="Times New Roman"/>
      <w:vertAlign w:val="superscript"/>
    </w:rPr>
  </w:style>
  <w:style w:type="character" w:styleId="Emphasis">
    <w:name w:val="Emphasis"/>
    <w:basedOn w:val="DefaultParagraphFont"/>
    <w:uiPriority w:val="20"/>
    <w:qFormat/>
    <w:rsid w:val="00765397"/>
    <w:rPr>
      <w:rFonts w:cs="Times New Roman"/>
      <w:i/>
      <w:iCs/>
    </w:rPr>
  </w:style>
  <w:style w:type="character" w:customStyle="1" w:styleId="boxstyle1">
    <w:name w:val="boxstyle1"/>
    <w:basedOn w:val="DefaultParagraphFont"/>
    <w:uiPriority w:val="99"/>
    <w:rsid w:val="00765397"/>
    <w:rPr>
      <w:rFonts w:cs="Times New Roman"/>
      <w:bdr w:val="single" w:sz="6" w:space="1" w:color="auto" w:frame="1"/>
      <w:shd w:val="clear" w:color="auto" w:fill="auto"/>
    </w:rPr>
  </w:style>
  <w:style w:type="paragraph" w:styleId="NormalWeb">
    <w:name w:val="Normal (Web)"/>
    <w:basedOn w:val="Normal"/>
    <w:uiPriority w:val="99"/>
    <w:rsid w:val="00765397"/>
    <w:pPr>
      <w:spacing w:before="100" w:beforeAutospacing="1" w:after="100" w:afterAutospacing="1"/>
    </w:pPr>
    <w:rPr>
      <w:rFonts w:eastAsia="Times New Roman" w:cs="Times New Roman"/>
      <w:szCs w:val="24"/>
      <w:lang w:eastAsia="en-GB"/>
    </w:rPr>
  </w:style>
  <w:style w:type="paragraph" w:styleId="Header">
    <w:name w:val="header"/>
    <w:basedOn w:val="Normal"/>
    <w:link w:val="HeaderChar"/>
    <w:uiPriority w:val="99"/>
    <w:unhideWhenUsed/>
    <w:rsid w:val="005F1598"/>
    <w:pPr>
      <w:tabs>
        <w:tab w:val="center" w:pos="4513"/>
        <w:tab w:val="right" w:pos="9026"/>
      </w:tabs>
    </w:pPr>
  </w:style>
  <w:style w:type="character" w:customStyle="1" w:styleId="HeaderChar">
    <w:name w:val="Header Char"/>
    <w:basedOn w:val="DefaultParagraphFont"/>
    <w:link w:val="Header"/>
    <w:uiPriority w:val="99"/>
    <w:rsid w:val="005F1598"/>
    <w:rPr>
      <w:rFonts w:ascii="Times New Roman" w:hAnsi="Times New Roman"/>
      <w:sz w:val="24"/>
    </w:rPr>
  </w:style>
  <w:style w:type="paragraph" w:styleId="Footer">
    <w:name w:val="footer"/>
    <w:basedOn w:val="Normal"/>
    <w:link w:val="FooterChar"/>
    <w:uiPriority w:val="99"/>
    <w:unhideWhenUsed/>
    <w:rsid w:val="005F1598"/>
    <w:pPr>
      <w:tabs>
        <w:tab w:val="center" w:pos="4513"/>
        <w:tab w:val="right" w:pos="9026"/>
      </w:tabs>
    </w:pPr>
  </w:style>
  <w:style w:type="character" w:customStyle="1" w:styleId="FooterChar">
    <w:name w:val="Footer Char"/>
    <w:basedOn w:val="DefaultParagraphFont"/>
    <w:link w:val="Footer"/>
    <w:uiPriority w:val="99"/>
    <w:rsid w:val="005F1598"/>
    <w:rPr>
      <w:rFonts w:ascii="Times New Roman" w:hAnsi="Times New Roman"/>
      <w:sz w:val="24"/>
    </w:rPr>
  </w:style>
  <w:style w:type="character" w:customStyle="1" w:styleId="st1">
    <w:name w:val="st1"/>
    <w:basedOn w:val="DefaultParagraphFont"/>
    <w:rsid w:val="00581597"/>
  </w:style>
  <w:style w:type="character" w:styleId="FollowedHyperlink">
    <w:name w:val="FollowedHyperlink"/>
    <w:basedOn w:val="DefaultParagraphFont"/>
    <w:uiPriority w:val="99"/>
    <w:semiHidden/>
    <w:unhideWhenUsed/>
    <w:rsid w:val="00BE37C1"/>
    <w:rPr>
      <w:color w:val="800080" w:themeColor="followedHyperlink"/>
      <w:u w:val="single"/>
    </w:rPr>
  </w:style>
  <w:style w:type="character" w:customStyle="1" w:styleId="pages">
    <w:name w:val="pages"/>
    <w:basedOn w:val="DefaultParagraphFont"/>
    <w:rsid w:val="008E0B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7915092">
      <w:bodyDiv w:val="1"/>
      <w:marLeft w:val="0"/>
      <w:marRight w:val="0"/>
      <w:marTop w:val="0"/>
      <w:marBottom w:val="0"/>
      <w:divBdr>
        <w:top w:val="none" w:sz="0" w:space="0" w:color="auto"/>
        <w:left w:val="none" w:sz="0" w:space="0" w:color="auto"/>
        <w:bottom w:val="none" w:sz="0" w:space="0" w:color="auto"/>
        <w:right w:val="none" w:sz="0" w:space="0" w:color="auto"/>
      </w:divBdr>
    </w:div>
    <w:div w:id="892280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directory.unamur.be/research/publications/5f56f91b-f95f-404b-98e5-d4b1b79bdc28" TargetMode="External"/><Relationship Id="rId1" Type="http://schemas.openxmlformats.org/officeDocument/2006/relationships/hyperlink" Target="http://www.hsozkult.de/conferencereport/id/tagungsberichte-15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7A08FC-57C8-4501-A35F-CF66D8467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4131</Words>
  <Characters>23552</Characters>
  <Application>Microsoft Office Word</Application>
  <DocSecurity>0</DocSecurity>
  <Lines>196</Lines>
  <Paragraphs>55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27628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Warwick History Dept</dc:creator>
  <cp:lastModifiedBy>Warwick History Dept</cp:lastModifiedBy>
  <cp:revision>2</cp:revision>
  <cp:lastPrinted>2016-02-19T16:05:00Z</cp:lastPrinted>
  <dcterms:created xsi:type="dcterms:W3CDTF">2016-02-22T12:41:00Z</dcterms:created>
  <dcterms:modified xsi:type="dcterms:W3CDTF">2016-02-22T12:41:00Z</dcterms:modified>
</cp:coreProperties>
</file>