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F0" w:rsidRDefault="00460656" w:rsidP="00A00326">
      <w:pPr>
        <w:spacing w:line="360" w:lineRule="auto"/>
      </w:pPr>
      <w:r>
        <w:t>Parish Churches in the Early Modern World – An Afterword</w:t>
      </w:r>
    </w:p>
    <w:p w:rsidR="00460656" w:rsidRDefault="00460656" w:rsidP="00A00326">
      <w:pPr>
        <w:spacing w:line="360" w:lineRule="auto"/>
      </w:pPr>
    </w:p>
    <w:p w:rsidR="00460656" w:rsidRPr="00460656" w:rsidRDefault="00460656" w:rsidP="00A00326">
      <w:pPr>
        <w:spacing w:line="360" w:lineRule="auto"/>
        <w:rPr>
          <w:i/>
        </w:rPr>
      </w:pPr>
      <w:r w:rsidRPr="00460656">
        <w:rPr>
          <w:i/>
        </w:rPr>
        <w:t xml:space="preserve">Beat </w:t>
      </w:r>
      <w:proofErr w:type="spellStart"/>
      <w:r w:rsidRPr="00460656">
        <w:rPr>
          <w:i/>
        </w:rPr>
        <w:t>Kümin</w:t>
      </w:r>
      <w:proofErr w:type="spellEnd"/>
    </w:p>
    <w:p w:rsidR="00460656" w:rsidRDefault="00460656" w:rsidP="00A00326">
      <w:pPr>
        <w:spacing w:line="360" w:lineRule="auto"/>
      </w:pPr>
    </w:p>
    <w:p w:rsidR="00A00326" w:rsidRDefault="00A00326" w:rsidP="00A00326">
      <w:pPr>
        <w:spacing w:line="360" w:lineRule="auto"/>
      </w:pPr>
    </w:p>
    <w:p w:rsidR="00C251AD" w:rsidRDefault="004761A0" w:rsidP="00A00326">
      <w:pPr>
        <w:spacing w:line="360" w:lineRule="auto"/>
      </w:pPr>
      <w:r>
        <w:t xml:space="preserve">The first </w:t>
      </w:r>
      <w:r w:rsidR="005F7C0A">
        <w:t>feature</w:t>
      </w:r>
      <w:r>
        <w:t xml:space="preserve"> </w:t>
      </w:r>
      <w:r w:rsidR="005C55D9">
        <w:t>likely to</w:t>
      </w:r>
      <w:r>
        <w:t xml:space="preserve"> </w:t>
      </w:r>
      <w:r w:rsidR="005C55D9">
        <w:t>strike</w:t>
      </w:r>
      <w:r>
        <w:t xml:space="preserve"> readers </w:t>
      </w:r>
      <w:r w:rsidR="005F7C0A">
        <w:t>of</w:t>
      </w:r>
      <w:r>
        <w:t xml:space="preserve"> this collection is its confessional, soci</w:t>
      </w:r>
      <w:r w:rsidR="007017E9">
        <w:t>al and regional range. They will find</w:t>
      </w:r>
      <w:r>
        <w:t xml:space="preserve"> essays about Anglican, Calvinist, Catholic, Lutheran, Unitarian and </w:t>
      </w:r>
      <w:proofErr w:type="spellStart"/>
      <w:r>
        <w:t>Zwinglian</w:t>
      </w:r>
      <w:proofErr w:type="spellEnd"/>
      <w:r>
        <w:t xml:space="preserve"> contexts; discussions </w:t>
      </w:r>
      <w:r w:rsidR="00382888">
        <w:t>of</w:t>
      </w:r>
      <w:r>
        <w:t xml:space="preserve"> nobles, burghers, country people and slaves;</w:t>
      </w:r>
      <w:r w:rsidR="00382888">
        <w:t xml:space="preserve"> and contributions focusing on </w:t>
      </w:r>
      <w:proofErr w:type="spellStart"/>
      <w:r w:rsidR="00382888">
        <w:t>northwestern</w:t>
      </w:r>
      <w:proofErr w:type="spellEnd"/>
      <w:r w:rsidR="00382888">
        <w:t xml:space="preserve"> / central / eastern Europe, southern parts of Asia and La</w:t>
      </w:r>
      <w:r w:rsidR="007017E9">
        <w:t>tin America. The arguments are</w:t>
      </w:r>
      <w:r w:rsidR="00382888">
        <w:t xml:space="preserve"> supported with over eighty </w:t>
      </w:r>
      <w:r w:rsidR="007017E9">
        <w:t>illustrations</w:t>
      </w:r>
      <w:r w:rsidR="00382888">
        <w:t xml:space="preserve"> and the </w:t>
      </w:r>
      <w:r w:rsidR="008E42E4">
        <w:t>volume as a whole</w:t>
      </w:r>
      <w:r w:rsidR="00382888">
        <w:t xml:space="preserve"> is fittingly dedicated to a scholar who would have loved to engage with </w:t>
      </w:r>
      <w:r w:rsidR="007017E9">
        <w:t>new works</w:t>
      </w:r>
      <w:r w:rsidR="00382888">
        <w:t xml:space="preserve"> at the intersection of religious, </w:t>
      </w:r>
      <w:r w:rsidR="005F7C0A">
        <w:t>political</w:t>
      </w:r>
      <w:r w:rsidR="00382888">
        <w:t xml:space="preserve"> and cultural history over the course of the ‘long’ Reformation.</w:t>
      </w:r>
      <w:r w:rsidR="008E42E4">
        <w:rPr>
          <w:rStyle w:val="FootnoteReference"/>
        </w:rPr>
        <w:footnoteReference w:id="1"/>
      </w:r>
      <w:r w:rsidR="008E42E4">
        <w:t xml:space="preserve"> A second </w:t>
      </w:r>
      <w:r w:rsidR="005C55D9">
        <w:t>i</w:t>
      </w:r>
      <w:r w:rsidR="007017E9">
        <w:t>mpressive aspect is the editorial</w:t>
      </w:r>
      <w:r w:rsidR="005C55D9">
        <w:t xml:space="preserve"> achievement</w:t>
      </w:r>
      <w:r w:rsidR="005F7C0A">
        <w:t xml:space="preserve">, not only in assembling this international group of authors, but also of making the field of comparative parish church studies very much his own over the last decade. Alongside </w:t>
      </w:r>
      <w:r w:rsidR="008E15B2">
        <w:t xml:space="preserve">anthologies on sacred space, </w:t>
      </w:r>
      <w:r w:rsidR="005F7C0A">
        <w:t xml:space="preserve">a monograph on Calvinist places of worship and a collaborative research project on ‘The Early Modern Parish Church and the Religious Landscape’, he </w:t>
      </w:r>
      <w:r w:rsidR="007017E9">
        <w:t>took charge of</w:t>
      </w:r>
      <w:r w:rsidR="008E15B2">
        <w:t xml:space="preserve"> </w:t>
      </w:r>
      <w:r w:rsidR="004D5A50">
        <w:t>a</w:t>
      </w:r>
      <w:r w:rsidR="008E15B2">
        <w:t xml:space="preserve"> collection on Lutheran churches before widening the horizon to Catholicism and </w:t>
      </w:r>
      <w:r w:rsidR="008C1522">
        <w:t>colonial</w:t>
      </w:r>
      <w:r w:rsidR="008E15B2">
        <w:t xml:space="preserve"> perspectives in this latest </w:t>
      </w:r>
      <w:r w:rsidR="002C4960">
        <w:t>venture</w:t>
      </w:r>
      <w:r w:rsidR="008E15B2">
        <w:t>.</w:t>
      </w:r>
      <w:r w:rsidR="008E15B2">
        <w:rPr>
          <w:rStyle w:val="FootnoteReference"/>
        </w:rPr>
        <w:footnoteReference w:id="2"/>
      </w:r>
      <w:r w:rsidR="005F7C0A">
        <w:t xml:space="preserve"> </w:t>
      </w:r>
      <w:r w:rsidR="002C4960">
        <w:t>His</w:t>
      </w:r>
      <w:r w:rsidR="008C1522">
        <w:t xml:space="preserve"> initiatives form part of a general </w:t>
      </w:r>
      <w:r w:rsidR="002C4960">
        <w:t>surge in</w:t>
      </w:r>
      <w:r w:rsidR="008C1522">
        <w:t xml:space="preserve"> parish studies (in the broadest sense of the term) reflected in numerous conferences and regional / national </w:t>
      </w:r>
      <w:r w:rsidR="005C55D9">
        <w:t xml:space="preserve">/ thematic </w:t>
      </w:r>
      <w:r w:rsidR="008C1522">
        <w:t>surveys, but as yet no European-wide (not to speak of global) synthesis.</w:t>
      </w:r>
      <w:r w:rsidR="008C1522">
        <w:rPr>
          <w:rStyle w:val="FootnoteReference"/>
        </w:rPr>
        <w:footnoteReference w:id="3"/>
      </w:r>
      <w:r w:rsidR="005F7C0A">
        <w:t xml:space="preserve"> </w:t>
      </w:r>
      <w:r w:rsidR="004D5A50">
        <w:t xml:space="preserve">Many regions remain relatively dark corners, at least in Anglophone scholarship, among which surprisingly Dutch and Italian cities, so the essays on Ghent and Milan are particularly </w:t>
      </w:r>
      <w:r w:rsidR="004D5A50">
        <w:lastRenderedPageBreak/>
        <w:t xml:space="preserve">welcome. Looking at early modern historiography </w:t>
      </w:r>
      <w:r w:rsidR="002C4960">
        <w:t>as a whole</w:t>
      </w:r>
      <w:r w:rsidR="004D5A50">
        <w:t xml:space="preserve">, many contributions chime with recent priorities such as spatial approaches and the </w:t>
      </w:r>
      <w:r w:rsidR="002A3479">
        <w:t xml:space="preserve">ever-expanding </w:t>
      </w:r>
      <w:r w:rsidR="004D5A50">
        <w:t xml:space="preserve">‘cultural turn’. The resulting picture, as Susan </w:t>
      </w:r>
      <w:proofErr w:type="spellStart"/>
      <w:r w:rsidR="004D5A50">
        <w:t>Karant</w:t>
      </w:r>
      <w:proofErr w:type="spellEnd"/>
      <w:r w:rsidR="004D5A50">
        <w:t xml:space="preserve">-Nunn has stressed in a </w:t>
      </w:r>
      <w:r w:rsidR="002C4960">
        <w:t>previous</w:t>
      </w:r>
      <w:r w:rsidR="004D5A50">
        <w:t xml:space="preserve"> comment, </w:t>
      </w:r>
      <w:r w:rsidR="002A3479">
        <w:t xml:space="preserve">reveals parish churches as anything but static and homogeneous entities; much rather, they were in dynamic evolution, constantly interacting with </w:t>
      </w:r>
      <w:r w:rsidR="00E91CCD">
        <w:t>idiosyncratic</w:t>
      </w:r>
      <w:r w:rsidR="002A3479">
        <w:t xml:space="preserve"> ecclesiastical, political and economic frameworks to produce distinctly local varieties of sacred space.</w:t>
      </w:r>
      <w:r w:rsidR="002A3479">
        <w:rPr>
          <w:rStyle w:val="FootnoteReference"/>
        </w:rPr>
        <w:footnoteReference w:id="4"/>
      </w:r>
      <w:r w:rsidR="004D5A50">
        <w:t xml:space="preserve">  </w:t>
      </w:r>
    </w:p>
    <w:p w:rsidR="00E91CCD" w:rsidRDefault="00E91CCD" w:rsidP="00A00326">
      <w:pPr>
        <w:spacing w:line="360" w:lineRule="auto"/>
      </w:pPr>
    </w:p>
    <w:p w:rsidR="003E1C2D" w:rsidRDefault="00E91CCD" w:rsidP="00A00326">
      <w:pPr>
        <w:spacing w:line="360" w:lineRule="auto"/>
      </w:pPr>
      <w:r>
        <w:t>These brief remarks cannot do justice to the richness of insights emerging from the preceding pages. Out of the multitude of possible thematic strands</w:t>
      </w:r>
      <w:r w:rsidR="00AC4A09">
        <w:t xml:space="preserve"> (some of which – like architectural styles/peculiarities, links to local memory and inter-denominational relations – </w:t>
      </w:r>
      <w:r w:rsidR="002C4960">
        <w:t xml:space="preserve">are </w:t>
      </w:r>
      <w:r w:rsidR="00BB13DB">
        <w:t>addressed</w:t>
      </w:r>
      <w:r w:rsidR="00AC4A09">
        <w:t xml:space="preserve"> in the ‘Introduction’)</w:t>
      </w:r>
      <w:r>
        <w:t>, three shall be examined a little more closely</w:t>
      </w:r>
      <w:r w:rsidR="002C4960">
        <w:t xml:space="preserve"> here</w:t>
      </w:r>
      <w:r>
        <w:t xml:space="preserve">: </w:t>
      </w:r>
      <w:r w:rsidR="001B3BA9">
        <w:t>the role</w:t>
      </w:r>
      <w:r w:rsidR="002C4960">
        <w:t>s</w:t>
      </w:r>
      <w:r w:rsidR="001B3BA9">
        <w:t xml:space="preserve"> of parish churches in the forma</w:t>
      </w:r>
      <w:r w:rsidR="002C4960">
        <w:t>tion of confessional identities, overseas mission</w:t>
      </w:r>
      <w:r w:rsidR="001B3BA9">
        <w:t xml:space="preserve"> and the ‘secular’ world around them. While the first two </w:t>
      </w:r>
      <w:r w:rsidR="002C4960">
        <w:t>relate</w:t>
      </w:r>
      <w:r w:rsidR="001B3BA9">
        <w:t xml:space="preserve"> to the specifically </w:t>
      </w:r>
      <w:r w:rsidR="001B3BA9" w:rsidRPr="001B3BA9">
        <w:rPr>
          <w:i/>
        </w:rPr>
        <w:t>early modern</w:t>
      </w:r>
      <w:r w:rsidR="001B3BA9">
        <w:t xml:space="preserve"> </w:t>
      </w:r>
      <w:r w:rsidR="0078277E">
        <w:t>diversification</w:t>
      </w:r>
      <w:r w:rsidR="001B3BA9">
        <w:t xml:space="preserve"> of the religious landscape and colonial expansion in both Asia and America, the last one transcends all periods and </w:t>
      </w:r>
      <w:r w:rsidR="00AC4A09">
        <w:t>locales</w:t>
      </w:r>
      <w:r w:rsidR="0078277E">
        <w:t>. Parish churches, after all,</w:t>
      </w:r>
      <w:r w:rsidR="00AC4A09">
        <w:t xml:space="preserve"> formed</w:t>
      </w:r>
      <w:r w:rsidR="001B3BA9">
        <w:t xml:space="preserve"> one of the most tangible points of intersection between the physical and metaphysical world</w:t>
      </w:r>
      <w:r w:rsidR="00AC4A09">
        <w:t>s</w:t>
      </w:r>
      <w:r w:rsidR="001B3BA9">
        <w:t>.</w:t>
      </w:r>
      <w:r w:rsidR="00DE72E8">
        <w:rPr>
          <w:rStyle w:val="FootnoteReference"/>
        </w:rPr>
        <w:footnoteReference w:id="5"/>
      </w:r>
    </w:p>
    <w:p w:rsidR="00E91CCD" w:rsidRDefault="003E1C2D" w:rsidP="00A00326">
      <w:pPr>
        <w:spacing w:line="360" w:lineRule="auto"/>
        <w:ind w:firstLine="720"/>
      </w:pPr>
      <w:r>
        <w:t xml:space="preserve">In many ways, of course, the moulding of religious </w:t>
      </w:r>
      <w:r w:rsidRPr="003E1C2D">
        <w:rPr>
          <w:i/>
        </w:rPr>
        <w:t>identities</w:t>
      </w:r>
      <w:r w:rsidR="0078277E">
        <w:t xml:space="preserve"> forms</w:t>
      </w:r>
      <w:r>
        <w:t xml:space="preserve"> the </w:t>
      </w:r>
      <w:r w:rsidRPr="003E1C2D">
        <w:rPr>
          <w:i/>
        </w:rPr>
        <w:t>raison d’</w:t>
      </w:r>
      <w:r w:rsidRPr="003E1C2D">
        <w:rPr>
          <w:rFonts w:cs="Times New Roman"/>
          <w:i/>
        </w:rPr>
        <w:t>ê</w:t>
      </w:r>
      <w:r w:rsidRPr="003E1C2D">
        <w:rPr>
          <w:i/>
        </w:rPr>
        <w:t>tre</w:t>
      </w:r>
      <w:r>
        <w:t xml:space="preserve"> </w:t>
      </w:r>
      <w:r w:rsidR="0078277E">
        <w:t>of any place of worship</w:t>
      </w:r>
      <w:r>
        <w:t xml:space="preserve">. To convey the </w:t>
      </w:r>
      <w:r w:rsidR="002D6664">
        <w:t>Christian</w:t>
      </w:r>
      <w:r>
        <w:t xml:space="preserve"> message, to bind individuals to the Church and to </w:t>
      </w:r>
      <w:r w:rsidR="002D6664">
        <w:t>deliver</w:t>
      </w:r>
      <w:r>
        <w:t xml:space="preserve"> the</w:t>
      </w:r>
      <w:r w:rsidR="002D6664">
        <w:t xml:space="preserve"> necessary </w:t>
      </w:r>
      <w:r>
        <w:t xml:space="preserve">aids to salvation required </w:t>
      </w:r>
      <w:r w:rsidR="002D6664">
        <w:t>a multitude of</w:t>
      </w:r>
      <w:r>
        <w:t xml:space="preserve"> </w:t>
      </w:r>
      <w:r w:rsidR="002D6664">
        <w:t>local</w:t>
      </w:r>
      <w:r>
        <w:t xml:space="preserve"> ‘</w:t>
      </w:r>
      <w:r w:rsidR="002D6664">
        <w:t>access points</w:t>
      </w:r>
      <w:r>
        <w:t>’. From around the first millennium, this network started to take shape in Europe. In many parts (although certainly not all), it was virtually complete by 1300</w:t>
      </w:r>
      <w:r w:rsidR="008E7F9F">
        <w:t>.</w:t>
      </w:r>
      <w:r>
        <w:t xml:space="preserve"> </w:t>
      </w:r>
      <w:r w:rsidR="008E7F9F">
        <w:t xml:space="preserve">A key moment of </w:t>
      </w:r>
      <w:r w:rsidR="0078277E">
        <w:t xml:space="preserve">parish </w:t>
      </w:r>
      <w:r w:rsidR="008E7F9F">
        <w:t>consolidation came in 1215, when the Fourth Lateran Council enshrined the duty of annual confession and communion in canon law.</w:t>
      </w:r>
      <w:r w:rsidR="008E7F9F">
        <w:rPr>
          <w:rStyle w:val="FootnoteReference"/>
        </w:rPr>
        <w:footnoteReference w:id="6"/>
      </w:r>
      <w:r w:rsidR="008E7F9F">
        <w:t xml:space="preserve"> </w:t>
      </w:r>
      <w:r w:rsidR="0078277E">
        <w:t>Subsequently</w:t>
      </w:r>
      <w:r w:rsidR="00341562">
        <w:t>,</w:t>
      </w:r>
      <w:r w:rsidR="008E7F9F">
        <w:t xml:space="preserve"> </w:t>
      </w:r>
      <w:r w:rsidR="0078277E">
        <w:t>contemporaries experienced</w:t>
      </w:r>
      <w:r w:rsidR="00341562">
        <w:t xml:space="preserve"> a</w:t>
      </w:r>
      <w:r w:rsidR="002D6664">
        <w:t xml:space="preserve"> substantial ‘increase of divine service’</w:t>
      </w:r>
      <w:r>
        <w:t xml:space="preserve"> </w:t>
      </w:r>
      <w:r w:rsidR="002D6664">
        <w:t xml:space="preserve">(exemplified by a surge in chantry </w:t>
      </w:r>
      <w:r w:rsidR="00341562">
        <w:t>/</w:t>
      </w:r>
      <w:r w:rsidR="002D6664">
        <w:t xml:space="preserve"> fraternity foundations) </w:t>
      </w:r>
      <w:r w:rsidR="00341562">
        <w:t>and</w:t>
      </w:r>
      <w:r w:rsidR="002D6664">
        <w:t xml:space="preserve"> a great wave of ‘rebuilding’ and decorative elaboration. To this day, the English landscape </w:t>
      </w:r>
      <w:r w:rsidR="0078277E">
        <w:t>remains</w:t>
      </w:r>
      <w:r w:rsidR="002D6664">
        <w:t xml:space="preserve"> punctuated by thousands of religious edifices constructed in the </w:t>
      </w:r>
      <w:r w:rsidR="00D67E04">
        <w:t>specific late Gothic (‘perpendicular’</w:t>
      </w:r>
      <w:r w:rsidR="002D6664">
        <w:t xml:space="preserve">) </w:t>
      </w:r>
      <w:r w:rsidR="00D67E04">
        <w:t xml:space="preserve">style of the </w:t>
      </w:r>
      <w:r w:rsidR="0078277E">
        <w:t xml:space="preserve">late </w:t>
      </w:r>
      <w:proofErr w:type="gramStart"/>
      <w:r w:rsidR="0078277E">
        <w:t>Middle</w:t>
      </w:r>
      <w:proofErr w:type="gramEnd"/>
      <w:r w:rsidR="0078277E">
        <w:t xml:space="preserve"> Ages</w:t>
      </w:r>
      <w:r w:rsidR="002D6664">
        <w:t>.</w:t>
      </w:r>
      <w:r w:rsidR="002D6664">
        <w:rPr>
          <w:rStyle w:val="FootnoteReference"/>
        </w:rPr>
        <w:footnoteReference w:id="7"/>
      </w:r>
      <w:r w:rsidR="001B3BA9">
        <w:t xml:space="preserve"> </w:t>
      </w:r>
      <w:r w:rsidR="00341562">
        <w:t xml:space="preserve">From the sixteenth </w:t>
      </w:r>
      <w:r w:rsidR="00341562">
        <w:lastRenderedPageBreak/>
        <w:t xml:space="preserve">century, as many of </w:t>
      </w:r>
      <w:r w:rsidR="0078277E">
        <w:t>our authors</w:t>
      </w:r>
      <w:r w:rsidR="00341562">
        <w:t xml:space="preserve"> </w:t>
      </w:r>
      <w:r w:rsidR="00291F75">
        <w:t>underline</w:t>
      </w:r>
      <w:r w:rsidR="00341562">
        <w:t xml:space="preserve">, reformers felt that the proliferation of devotions </w:t>
      </w:r>
      <w:r w:rsidR="0078277E">
        <w:t>had gone too far</w:t>
      </w:r>
      <w:r w:rsidR="00341562">
        <w:t xml:space="preserve">. In Catholic towns and villages, bishops and priests made energetic efforts to re-emphasize </w:t>
      </w:r>
      <w:r w:rsidR="0078277E">
        <w:t>the</w:t>
      </w:r>
      <w:r w:rsidR="00341562">
        <w:t xml:space="preserve"> parish</w:t>
      </w:r>
      <w:r w:rsidR="0078277E">
        <w:t>’</w:t>
      </w:r>
      <w:r w:rsidR="000776C3">
        <w:t>s</w:t>
      </w:r>
      <w:r w:rsidR="00341562">
        <w:t xml:space="preserve"> </w:t>
      </w:r>
      <w:r w:rsidR="0078277E">
        <w:t>pre-eminence</w:t>
      </w:r>
      <w:r w:rsidR="00341562">
        <w:t xml:space="preserve"> in </w:t>
      </w:r>
      <w:r w:rsidR="0078277E">
        <w:t>religious life</w:t>
      </w:r>
      <w:r w:rsidR="00230957">
        <w:t xml:space="preserve">; hence the ‘re-sanctification’ of chapel space in Milan’s S. </w:t>
      </w:r>
      <w:proofErr w:type="spellStart"/>
      <w:r w:rsidR="00230957">
        <w:t>Nazaro</w:t>
      </w:r>
      <w:proofErr w:type="spellEnd"/>
      <w:r w:rsidR="00230957">
        <w:t xml:space="preserve"> and the emergence of </w:t>
      </w:r>
      <w:r w:rsidR="0078277E">
        <w:t xml:space="preserve">parish closes as </w:t>
      </w:r>
      <w:r w:rsidR="00230957">
        <w:t>n</w:t>
      </w:r>
      <w:r w:rsidR="0078277E">
        <w:t>ew processional theatres right across</w:t>
      </w:r>
      <w:r w:rsidR="00230957">
        <w:t xml:space="preserve"> Brittany.</w:t>
      </w:r>
      <w:r w:rsidR="00341562">
        <w:rPr>
          <w:rStyle w:val="FootnoteReference"/>
        </w:rPr>
        <w:footnoteReference w:id="8"/>
      </w:r>
      <w:r w:rsidR="00E91CCD">
        <w:t xml:space="preserve"> </w:t>
      </w:r>
      <w:r w:rsidR="00230957">
        <w:t xml:space="preserve">Even on the Protestant side, where early voices had </w:t>
      </w:r>
      <w:r w:rsidR="000776C3">
        <w:t>located</w:t>
      </w:r>
      <w:r w:rsidR="00230957">
        <w:t xml:space="preserve"> the sacred in congregations of the faithful (rather than physical site</w:t>
      </w:r>
      <w:r w:rsidR="0078277E">
        <w:t>s</w:t>
      </w:r>
      <w:r w:rsidR="00230957">
        <w:t xml:space="preserve">), practical considerations and </w:t>
      </w:r>
      <w:r w:rsidR="0078277E">
        <w:t>fears of</w:t>
      </w:r>
      <w:r w:rsidR="00230957">
        <w:t xml:space="preserve"> ungodly </w:t>
      </w:r>
      <w:r w:rsidR="000776C3">
        <w:t>contaminations</w:t>
      </w:r>
      <w:r w:rsidR="00230957">
        <w:t xml:space="preserve"> </w:t>
      </w:r>
      <w:r w:rsidR="0028337C">
        <w:t>encouraged the adaptation rather than abandonment of</w:t>
      </w:r>
      <w:r w:rsidR="000776C3">
        <w:t xml:space="preserve"> </w:t>
      </w:r>
      <w:r w:rsidR="0028337C">
        <w:t>existing buildings</w:t>
      </w:r>
      <w:r w:rsidR="000776C3">
        <w:t xml:space="preserve">. </w:t>
      </w:r>
      <w:r w:rsidR="00EF1B8C">
        <w:t>Particularly complex re</w:t>
      </w:r>
      <w:r w:rsidR="0028337C">
        <w:t>-</w:t>
      </w:r>
      <w:r w:rsidR="00EF1B8C">
        <w:t xml:space="preserve">orderings occurred in </w:t>
      </w:r>
      <w:r w:rsidR="00F53B9F">
        <w:t>early modern</w:t>
      </w:r>
      <w:r w:rsidR="00EF1B8C">
        <w:t xml:space="preserve"> England: after a first attack on the cult of images </w:t>
      </w:r>
      <w:r w:rsidR="0028337C">
        <w:t>under Henry VIII</w:t>
      </w:r>
      <w:r w:rsidR="00EF1B8C">
        <w:t xml:space="preserve"> and a radical Calvinist ‘stripping of the altars’ </w:t>
      </w:r>
      <w:r w:rsidR="0028337C">
        <w:t>in</w:t>
      </w:r>
      <w:r w:rsidR="00EF1B8C">
        <w:t xml:space="preserve"> Edward VI</w:t>
      </w:r>
      <w:r w:rsidR="0028337C">
        <w:t>’s reign</w:t>
      </w:r>
      <w:r w:rsidR="00EF1B8C">
        <w:t xml:space="preserve">, his half-sister Mary restored Catholicism in the mid-1550s. The Elizabethan settlement </w:t>
      </w:r>
      <w:r w:rsidR="0028337C">
        <w:t xml:space="preserve">favoured </w:t>
      </w:r>
      <w:r w:rsidR="00EF1B8C">
        <w:t xml:space="preserve">a moderate form of Protestantism (insisting, for example, on the wearing of vestments), </w:t>
      </w:r>
      <w:r w:rsidR="00F53B9F">
        <w:t xml:space="preserve">followed by </w:t>
      </w:r>
      <w:r w:rsidR="0028337C">
        <w:t>greater attention to</w:t>
      </w:r>
      <w:r w:rsidR="00F53B9F">
        <w:t xml:space="preserve"> the ‘beauty of holiness’</w:t>
      </w:r>
      <w:r w:rsidR="00EF1B8C">
        <w:t xml:space="preserve"> </w:t>
      </w:r>
      <w:r w:rsidR="00F53B9F">
        <w:t xml:space="preserve">(including the railing of altars) during the early Stuart period. </w:t>
      </w:r>
      <w:proofErr w:type="gramStart"/>
      <w:r w:rsidR="00F53B9F">
        <w:t xml:space="preserve">The latter </w:t>
      </w:r>
      <w:r w:rsidR="001D1897">
        <w:t>fuelled</w:t>
      </w:r>
      <w:r w:rsidR="00F53B9F">
        <w:t xml:space="preserve"> </w:t>
      </w:r>
      <w:r w:rsidR="001D1897">
        <w:t>iconoclastic reaction</w:t>
      </w:r>
      <w:r w:rsidR="00D20973">
        <w:t>s</w:t>
      </w:r>
      <w:r w:rsidR="00F53B9F">
        <w:t xml:space="preserve"> </w:t>
      </w:r>
      <w:r w:rsidR="001D1897">
        <w:t>in the Puritan Revolution of the</w:t>
      </w:r>
      <w:r w:rsidR="00F53B9F">
        <w:t xml:space="preserve"> 1640s, which in turn </w:t>
      </w:r>
      <w:r w:rsidR="001D1897">
        <w:t xml:space="preserve">gave way to </w:t>
      </w:r>
      <w:r w:rsidR="00D20973">
        <w:t xml:space="preserve">a </w:t>
      </w:r>
      <w:r w:rsidR="001D1897">
        <w:t>(</w:t>
      </w:r>
      <w:r w:rsidR="00F53B9F">
        <w:t>high</w:t>
      </w:r>
      <w:r w:rsidR="001D1897">
        <w:t>)</w:t>
      </w:r>
      <w:r w:rsidR="00F53B9F">
        <w:t xml:space="preserve"> Anglican</w:t>
      </w:r>
      <w:r w:rsidR="00D20973">
        <w:t xml:space="preserve"> framework for divine service</w:t>
      </w:r>
      <w:r w:rsidR="001D1897">
        <w:t xml:space="preserve"> after the restoration of </w:t>
      </w:r>
      <w:r w:rsidR="00D20973">
        <w:t>the monarchy</w:t>
      </w:r>
      <w:r w:rsidR="001D1897">
        <w:t>.</w:t>
      </w:r>
      <w:proofErr w:type="gramEnd"/>
      <w:r w:rsidR="001D1897">
        <w:rPr>
          <w:rStyle w:val="FootnoteReference"/>
        </w:rPr>
        <w:footnoteReference w:id="9"/>
      </w:r>
      <w:r w:rsidR="00EF1B8C">
        <w:t xml:space="preserve"> </w:t>
      </w:r>
      <w:r w:rsidR="00D20973">
        <w:t>Thinking about the ideal arrangement for</w:t>
      </w:r>
      <w:r w:rsidR="000776C3">
        <w:t xml:space="preserve"> Lutheran </w:t>
      </w:r>
      <w:r w:rsidR="00D20973">
        <w:t>worship</w:t>
      </w:r>
      <w:r w:rsidR="000776C3">
        <w:t xml:space="preserve">, Joseph </w:t>
      </w:r>
      <w:proofErr w:type="spellStart"/>
      <w:r w:rsidR="000776C3">
        <w:t>Furttenbach</w:t>
      </w:r>
      <w:proofErr w:type="spellEnd"/>
      <w:r w:rsidR="000776C3">
        <w:t xml:space="preserve"> </w:t>
      </w:r>
      <w:r w:rsidR="00D20973">
        <w:t>devised</w:t>
      </w:r>
      <w:r w:rsidR="000776C3">
        <w:t xml:space="preserve"> </w:t>
      </w:r>
      <w:r w:rsidR="0028337C">
        <w:t>his</w:t>
      </w:r>
      <w:r w:rsidR="000776C3">
        <w:t xml:space="preserve"> ingenious </w:t>
      </w:r>
      <w:proofErr w:type="spellStart"/>
      <w:r w:rsidR="000776C3" w:rsidRPr="000776C3">
        <w:rPr>
          <w:i/>
        </w:rPr>
        <w:t>Prinzipalstück</w:t>
      </w:r>
      <w:proofErr w:type="spellEnd"/>
      <w:r w:rsidR="000776C3">
        <w:t xml:space="preserve">, i.e. a single focal point for baptism, communion, preaching and organ accompaniment visible from any </w:t>
      </w:r>
      <w:r w:rsidR="0028337C">
        <w:t>place</w:t>
      </w:r>
      <w:r w:rsidR="000776C3">
        <w:t xml:space="preserve"> in the church. Many </w:t>
      </w:r>
      <w:r w:rsidR="00D67E04">
        <w:t xml:space="preserve">German and Scandinavian </w:t>
      </w:r>
      <w:r w:rsidR="000776C3">
        <w:t>communities took inspiration</w:t>
      </w:r>
      <w:r w:rsidR="00D20973">
        <w:t xml:space="preserve"> from his proposals</w:t>
      </w:r>
      <w:r w:rsidR="000776C3">
        <w:t>, but always in ways which suited their particular needs and settings.</w:t>
      </w:r>
      <w:r w:rsidR="000776C3">
        <w:rPr>
          <w:rStyle w:val="FootnoteReference"/>
        </w:rPr>
        <w:footnoteReference w:id="10"/>
      </w:r>
      <w:r w:rsidR="00230957">
        <w:t xml:space="preserve"> </w:t>
      </w:r>
      <w:r w:rsidR="00D67E04">
        <w:t>The same point is m</w:t>
      </w:r>
      <w:r w:rsidR="00D20973">
        <w:t>ade for other regional contexts, e.g. regarding</w:t>
      </w:r>
      <w:r w:rsidR="00D67E04">
        <w:t xml:space="preserve"> the curious absence of fonts in parts of the Swiss </w:t>
      </w:r>
      <w:proofErr w:type="spellStart"/>
      <w:r w:rsidR="00D67E04" w:rsidRPr="0028337C">
        <w:rPr>
          <w:i/>
        </w:rPr>
        <w:t>Romand</w:t>
      </w:r>
      <w:r w:rsidR="0028337C" w:rsidRPr="0028337C">
        <w:rPr>
          <w:i/>
        </w:rPr>
        <w:t>i</w:t>
      </w:r>
      <w:r w:rsidR="00D67E04" w:rsidRPr="0028337C">
        <w:rPr>
          <w:i/>
        </w:rPr>
        <w:t>e</w:t>
      </w:r>
      <w:proofErr w:type="spellEnd"/>
      <w:r w:rsidR="00485D36">
        <w:t xml:space="preserve"> (in marked contrast to the </w:t>
      </w:r>
      <w:proofErr w:type="spellStart"/>
      <w:r w:rsidR="00485D36">
        <w:t>Zwinglian</w:t>
      </w:r>
      <w:proofErr w:type="spellEnd"/>
      <w:r w:rsidR="00485D36">
        <w:t xml:space="preserve"> </w:t>
      </w:r>
      <w:r w:rsidR="00D54A7F">
        <w:t>heartlands</w:t>
      </w:r>
      <w:r w:rsidR="00485D36">
        <w:t xml:space="preserve"> of Zurich)</w:t>
      </w:r>
      <w:r w:rsidR="00D67E04">
        <w:t xml:space="preserve">, </w:t>
      </w:r>
      <w:r w:rsidR="00485D36">
        <w:t>the long and narrow naves of earl</w:t>
      </w:r>
      <w:r w:rsidR="00D20973">
        <w:t>y Anglican churches in Virginia or</w:t>
      </w:r>
      <w:r w:rsidR="00485D36">
        <w:t xml:space="preserve"> the elaborate (and often syncretic) decorations in Hispanic America.</w:t>
      </w:r>
      <w:r w:rsidR="00485D36">
        <w:rPr>
          <w:rStyle w:val="FootnoteReference"/>
        </w:rPr>
        <w:footnoteReference w:id="11"/>
      </w:r>
      <w:r w:rsidR="00485D36">
        <w:t xml:space="preserve"> </w:t>
      </w:r>
      <w:r w:rsidR="00D54A7F">
        <w:t>The division into a larger lay part</w:t>
      </w:r>
      <w:r w:rsidR="00D20973">
        <w:t xml:space="preserve"> </w:t>
      </w:r>
      <w:r w:rsidR="00D54A7F">
        <w:t>and a</w:t>
      </w:r>
      <w:r w:rsidR="0028337C">
        <w:t xml:space="preserve"> predominantly clerical section</w:t>
      </w:r>
      <w:r w:rsidR="00D20973">
        <w:t xml:space="preserve"> </w:t>
      </w:r>
      <w:r w:rsidR="00D54A7F">
        <w:t>(</w:t>
      </w:r>
      <w:r w:rsidR="00D20973">
        <w:t xml:space="preserve">nave vs </w:t>
      </w:r>
      <w:r w:rsidR="00D54A7F">
        <w:t>chancel/choir) seems to be among the very few near-universal features</w:t>
      </w:r>
      <w:r w:rsidR="00D20973">
        <w:t xml:space="preserve"> </w:t>
      </w:r>
      <w:r w:rsidR="008B754D">
        <w:t xml:space="preserve">of </w:t>
      </w:r>
      <w:r w:rsidR="0028337C">
        <w:t>parish churches</w:t>
      </w:r>
      <w:r w:rsidR="00D54A7F">
        <w:t xml:space="preserve">. </w:t>
      </w:r>
      <w:r w:rsidR="00485D36">
        <w:t xml:space="preserve">Does this mean that </w:t>
      </w:r>
      <w:r w:rsidR="00291F75">
        <w:t>layout details</w:t>
      </w:r>
      <w:r w:rsidR="00485D36">
        <w:t xml:space="preserve"> and furnishings counted as </w:t>
      </w:r>
      <w:proofErr w:type="spellStart"/>
      <w:r w:rsidR="00485D36" w:rsidRPr="00485D36">
        <w:rPr>
          <w:i/>
        </w:rPr>
        <w:t>adiaphora</w:t>
      </w:r>
      <w:proofErr w:type="spellEnd"/>
      <w:r w:rsidR="00485D36">
        <w:t>, things indifferent? Irenic figures like Melanchthon tended to agree, but not embattled minorities</w:t>
      </w:r>
      <w:r w:rsidR="00672090">
        <w:t xml:space="preserve"> in the diaspora</w:t>
      </w:r>
      <w:r w:rsidR="0028337C">
        <w:t>;</w:t>
      </w:r>
      <w:r w:rsidR="00485D36">
        <w:t xml:space="preserve"> </w:t>
      </w:r>
      <w:r w:rsidR="00672090">
        <w:t>for</w:t>
      </w:r>
      <w:r w:rsidR="00485D36">
        <w:t xml:space="preserve"> </w:t>
      </w:r>
      <w:r w:rsidR="00672090">
        <w:t>Transylvanian Lutherans</w:t>
      </w:r>
      <w:r w:rsidR="00485D36">
        <w:t xml:space="preserve">, such features </w:t>
      </w:r>
      <w:r w:rsidR="00672090">
        <w:t>became</w:t>
      </w:r>
      <w:r w:rsidR="00485D36">
        <w:t xml:space="preserve"> fundamental </w:t>
      </w:r>
      <w:r w:rsidR="008B754D">
        <w:t>signs</w:t>
      </w:r>
      <w:r w:rsidR="00485D36">
        <w:t xml:space="preserve"> of </w:t>
      </w:r>
      <w:r w:rsidR="008B754D">
        <w:t xml:space="preserve">confessional </w:t>
      </w:r>
      <w:r w:rsidR="00485D36">
        <w:t>distinction.</w:t>
      </w:r>
      <w:r w:rsidR="00485D36">
        <w:rPr>
          <w:rStyle w:val="FootnoteReference"/>
        </w:rPr>
        <w:footnoteReference w:id="12"/>
      </w:r>
      <w:r w:rsidR="00485D36">
        <w:t xml:space="preserve"> </w:t>
      </w:r>
      <w:r w:rsidR="00D67E04">
        <w:t>I</w:t>
      </w:r>
      <w:r w:rsidR="004F6B7D">
        <w:t>mportantly,</w:t>
      </w:r>
      <w:r w:rsidR="00D67E04">
        <w:t xml:space="preserve"> however,</w:t>
      </w:r>
      <w:r w:rsidR="004F6B7D">
        <w:t xml:space="preserve"> the essays also </w:t>
      </w:r>
      <w:r w:rsidR="00672090">
        <w:t>point to</w:t>
      </w:r>
      <w:r w:rsidR="004F6B7D">
        <w:t xml:space="preserve"> </w:t>
      </w:r>
      <w:r w:rsidR="00672090">
        <w:t xml:space="preserve">inputs into </w:t>
      </w:r>
      <w:r w:rsidR="004F6B7D">
        <w:t xml:space="preserve">broader, trans-confessional identities. </w:t>
      </w:r>
      <w:proofErr w:type="spellStart"/>
      <w:r w:rsidR="00D254CF" w:rsidRPr="00D254CF">
        <w:rPr>
          <w:i/>
        </w:rPr>
        <w:t>Simultankirchen</w:t>
      </w:r>
      <w:proofErr w:type="spellEnd"/>
      <w:r w:rsidR="00D254CF">
        <w:t xml:space="preserve">, where Protestants and </w:t>
      </w:r>
      <w:r w:rsidR="00D254CF">
        <w:lastRenderedPageBreak/>
        <w:t>Catholics shared the same places of worship, eventually contributed to a grudging acceptance of religious co-existence in the Holy Roman Empire.</w:t>
      </w:r>
      <w:r w:rsidR="00672090">
        <w:rPr>
          <w:rStyle w:val="FootnoteReference"/>
        </w:rPr>
        <w:footnoteReference w:id="13"/>
      </w:r>
      <w:r w:rsidR="00D254CF">
        <w:t xml:space="preserve"> </w:t>
      </w:r>
      <w:r w:rsidR="004F6B7D">
        <w:t xml:space="preserve">In the Dutch Republic, the ‘official’ Calvinist </w:t>
      </w:r>
      <w:r w:rsidR="00672090">
        <w:t>Church</w:t>
      </w:r>
      <w:r w:rsidR="004F6B7D">
        <w:t xml:space="preserve"> failed to integrate the entire population. Many burghers and peasants stayed well clear of its </w:t>
      </w:r>
      <w:r w:rsidR="00D54A7F">
        <w:t xml:space="preserve">stern </w:t>
      </w:r>
      <w:r w:rsidR="004F6B7D">
        <w:t xml:space="preserve">discipline (and thus the Lord’s Supper), but they </w:t>
      </w:r>
      <w:r w:rsidR="004F6B7D" w:rsidRPr="004F6B7D">
        <w:rPr>
          <w:i/>
        </w:rPr>
        <w:t>did</w:t>
      </w:r>
      <w:r w:rsidR="004F6B7D">
        <w:t xml:space="preserve"> feel </w:t>
      </w:r>
      <w:r w:rsidR="00D67E04">
        <w:t>affected</w:t>
      </w:r>
      <w:r w:rsidR="004F6B7D">
        <w:t xml:space="preserve"> when it came to </w:t>
      </w:r>
      <w:r w:rsidR="00D67E04">
        <w:t xml:space="preserve">matters like </w:t>
      </w:r>
      <w:r w:rsidR="00D54A7F">
        <w:t xml:space="preserve">‘civil’ registration (baptism, burial), </w:t>
      </w:r>
      <w:r w:rsidR="00D67E04">
        <w:t xml:space="preserve">forced </w:t>
      </w:r>
      <w:r w:rsidR="00D54A7F">
        <w:t>alterations of the ecclesiastical topography</w:t>
      </w:r>
      <w:r w:rsidR="00D67E04">
        <w:t xml:space="preserve"> (as at Ghent in 1539), the administration of communal resources (Holy Ghost charities, fabric funds) or the election of parish officers (like ministers or churchwardens).</w:t>
      </w:r>
      <w:r w:rsidR="00D67E04">
        <w:rPr>
          <w:rStyle w:val="FootnoteReference"/>
        </w:rPr>
        <w:footnoteReference w:id="14"/>
      </w:r>
    </w:p>
    <w:p w:rsidR="00460656" w:rsidRDefault="00157C38" w:rsidP="00A00326">
      <w:pPr>
        <w:pStyle w:val="ListParagraph"/>
        <w:spacing w:line="360" w:lineRule="auto"/>
        <w:ind w:left="0" w:firstLine="720"/>
      </w:pPr>
      <w:r>
        <w:t xml:space="preserve">The </w:t>
      </w:r>
      <w:r w:rsidRPr="00672090">
        <w:rPr>
          <w:i/>
        </w:rPr>
        <w:t>extra-European contributions</w:t>
      </w:r>
      <w:r>
        <w:t xml:space="preserve"> open </w:t>
      </w:r>
      <w:r w:rsidR="00F9031C">
        <w:t>fascinating</w:t>
      </w:r>
      <w:r>
        <w:t xml:space="preserve"> </w:t>
      </w:r>
      <w:r w:rsidR="006A042F">
        <w:t>new</w:t>
      </w:r>
      <w:r>
        <w:t xml:space="preserve"> </w:t>
      </w:r>
      <w:r w:rsidR="00F9031C">
        <w:t>perspectives</w:t>
      </w:r>
      <w:r>
        <w:t xml:space="preserve">. </w:t>
      </w:r>
      <w:r w:rsidR="00DF197F">
        <w:t>Much remains to be investigated, of course, but a</w:t>
      </w:r>
      <w:r>
        <w:t xml:space="preserve"> first feature to note is the prominence of </w:t>
      </w:r>
      <w:r w:rsidR="00382159">
        <w:t>monks and friars</w:t>
      </w:r>
      <w:r>
        <w:t xml:space="preserve">. Mendicants had supplemented parochial provision since their </w:t>
      </w:r>
      <w:r w:rsidR="00672090">
        <w:t>medieval origins</w:t>
      </w:r>
      <w:r>
        <w:t xml:space="preserve">, but assumed a much more </w:t>
      </w:r>
      <w:r w:rsidR="00382159">
        <w:t>fundamental</w:t>
      </w:r>
      <w:r>
        <w:t xml:space="preserve"> role in </w:t>
      </w:r>
      <w:r w:rsidRPr="00672090">
        <w:t>overseas mission</w:t>
      </w:r>
      <w:r>
        <w:t xml:space="preserve">. In Brazil, </w:t>
      </w:r>
      <w:r w:rsidR="00382159">
        <w:t xml:space="preserve">lay elites sought </w:t>
      </w:r>
      <w:r w:rsidR="00D41E7F">
        <w:t xml:space="preserve">close </w:t>
      </w:r>
      <w:r w:rsidR="00382159">
        <w:t xml:space="preserve">association with the </w:t>
      </w:r>
      <w:r>
        <w:t xml:space="preserve">Franciscans </w:t>
      </w:r>
      <w:r w:rsidR="00382159">
        <w:t xml:space="preserve">as Tertiaries, supporting dedicated chapels, extensive works of charity and lavish post-mortem provision (in one case amounting to 120,000 masses!); in Goa, </w:t>
      </w:r>
      <w:r w:rsidR="00F9031C">
        <w:t xml:space="preserve">the ‘Rome of the Orient’, </w:t>
      </w:r>
      <w:r w:rsidR="00672090">
        <w:t>entire</w:t>
      </w:r>
      <w:r w:rsidR="008B754D">
        <w:t xml:space="preserve"> </w:t>
      </w:r>
      <w:r w:rsidR="00382159">
        <w:t>geographical district</w:t>
      </w:r>
      <w:r w:rsidR="008B754D">
        <w:t xml:space="preserve">s were entrusted to the care of </w:t>
      </w:r>
      <w:r w:rsidR="00382159">
        <w:t>particular order</w:t>
      </w:r>
      <w:r w:rsidR="008B754D">
        <w:t xml:space="preserve">s: </w:t>
      </w:r>
      <w:proofErr w:type="spellStart"/>
      <w:r w:rsidR="008B754D">
        <w:t>Bardez</w:t>
      </w:r>
      <w:proofErr w:type="spellEnd"/>
      <w:r w:rsidR="008B754D">
        <w:t xml:space="preserve"> to the Franciscans, </w:t>
      </w:r>
      <w:proofErr w:type="spellStart"/>
      <w:r w:rsidR="008B754D">
        <w:t>Salcete</w:t>
      </w:r>
      <w:proofErr w:type="spellEnd"/>
      <w:r w:rsidR="008B754D">
        <w:t xml:space="preserve"> to the Jesuits, </w:t>
      </w:r>
      <w:proofErr w:type="spellStart"/>
      <w:r w:rsidR="008B754D">
        <w:t>Divar</w:t>
      </w:r>
      <w:proofErr w:type="spellEnd"/>
      <w:r w:rsidR="008B754D">
        <w:t xml:space="preserve"> and </w:t>
      </w:r>
      <w:proofErr w:type="spellStart"/>
      <w:r w:rsidR="008B754D">
        <w:t>Chor</w:t>
      </w:r>
      <w:r w:rsidR="008B754D">
        <w:rPr>
          <w:rFonts w:cs="Times New Roman"/>
        </w:rPr>
        <w:t>ã</w:t>
      </w:r>
      <w:r w:rsidR="008B754D">
        <w:t>o</w:t>
      </w:r>
      <w:proofErr w:type="spellEnd"/>
      <w:r w:rsidR="008B754D">
        <w:t xml:space="preserve"> to the Jesuits and Dominicans</w:t>
      </w:r>
      <w:r w:rsidR="00382159">
        <w:t xml:space="preserve">, </w:t>
      </w:r>
      <w:r w:rsidR="00F9031C">
        <w:t xml:space="preserve">who then erected </w:t>
      </w:r>
      <w:r w:rsidR="006A042F">
        <w:t xml:space="preserve">the first permanent </w:t>
      </w:r>
      <w:r w:rsidR="008B754D">
        <w:t>places of worship</w:t>
      </w:r>
      <w:r w:rsidR="00F9031C">
        <w:t xml:space="preserve"> with the </w:t>
      </w:r>
      <w:r w:rsidR="008B754D">
        <w:t xml:space="preserve">financial </w:t>
      </w:r>
      <w:r w:rsidR="00F9031C">
        <w:t>support of local communities.</w:t>
      </w:r>
      <w:r w:rsidR="00F9031C">
        <w:rPr>
          <w:rStyle w:val="FootnoteReference"/>
        </w:rPr>
        <w:footnoteReference w:id="15"/>
      </w:r>
      <w:r w:rsidR="008B754D">
        <w:t xml:space="preserve"> </w:t>
      </w:r>
      <w:r w:rsidR="00672090">
        <w:t>In line with European precedents</w:t>
      </w:r>
      <w:r w:rsidR="00D41E7F">
        <w:t xml:space="preserve"> (at Regensburg in Germany on the eve of the Reformation, a synagogue was superseded by a church dedicated to the Virgin Mary, </w:t>
      </w:r>
      <w:r w:rsidR="00EC594A">
        <w:t>whose miracles</w:t>
      </w:r>
      <w:r w:rsidR="00D41E7F">
        <w:t xml:space="preserve"> </w:t>
      </w:r>
      <w:r w:rsidR="006A042F">
        <w:t xml:space="preserve">soon </w:t>
      </w:r>
      <w:r w:rsidR="00D41E7F">
        <w:t>attract</w:t>
      </w:r>
      <w:r w:rsidR="00EC594A">
        <w:t>ed</w:t>
      </w:r>
      <w:r w:rsidR="00D41E7F">
        <w:t xml:space="preserve"> </w:t>
      </w:r>
      <w:r w:rsidR="00EC594A">
        <w:t>thousands</w:t>
      </w:r>
      <w:r w:rsidR="00D41E7F">
        <w:t xml:space="preserve"> of pilgrims</w:t>
      </w:r>
      <w:r w:rsidR="00D41E7F">
        <w:rPr>
          <w:rStyle w:val="FootnoteReference"/>
        </w:rPr>
        <w:footnoteReference w:id="16"/>
      </w:r>
      <w:r w:rsidR="00D41E7F">
        <w:t>)</w:t>
      </w:r>
      <w:r w:rsidR="00EC594A">
        <w:t xml:space="preserve">, priests and colonial powers liked to choose sites already ‘sanctified’ </w:t>
      </w:r>
      <w:r w:rsidR="00593C5B">
        <w:t>by indigenous societies</w:t>
      </w:r>
      <w:r w:rsidR="00EC594A">
        <w:t xml:space="preserve">. Apart from tapping into </w:t>
      </w:r>
      <w:r w:rsidR="00593C5B">
        <w:t>acknowledged</w:t>
      </w:r>
      <w:r w:rsidR="008C1AA4">
        <w:t xml:space="preserve"> </w:t>
      </w:r>
      <w:r w:rsidR="00EC594A">
        <w:t xml:space="preserve">repositories of metaphysical power, such transfers also symbolized the triumph of a specific Christian denomination over traditional </w:t>
      </w:r>
      <w:r w:rsidR="006A042F">
        <w:t>cults</w:t>
      </w:r>
      <w:r w:rsidR="00EC594A">
        <w:t xml:space="preserve">. </w:t>
      </w:r>
      <w:r w:rsidR="008B754D">
        <w:t>Commercial</w:t>
      </w:r>
      <w:r w:rsidR="00EC594A">
        <w:t xml:space="preserve"> considerations, however, could inspire more </w:t>
      </w:r>
      <w:r w:rsidR="00593C5B">
        <w:t>lenient</w:t>
      </w:r>
      <w:r w:rsidR="00EC594A">
        <w:t xml:space="preserve"> attitudes. In Batavia, where economic prospects depended on </w:t>
      </w:r>
      <w:r w:rsidR="008B754D">
        <w:t>trade</w:t>
      </w:r>
      <w:r w:rsidR="00EC594A">
        <w:t xml:space="preserve"> with members of other faiths, the Dutch East India Company </w:t>
      </w:r>
      <w:r w:rsidR="00593C5B">
        <w:t>tolerated</w:t>
      </w:r>
      <w:r w:rsidR="00EC594A">
        <w:t xml:space="preserve"> </w:t>
      </w:r>
      <w:r w:rsidR="006A042F">
        <w:t>alternatives</w:t>
      </w:r>
      <w:r w:rsidR="008C1AA4">
        <w:t xml:space="preserve"> to official Calvinist </w:t>
      </w:r>
      <w:r w:rsidR="006A042F">
        <w:t>places of worship</w:t>
      </w:r>
      <w:r w:rsidR="008C1AA4">
        <w:t>.</w:t>
      </w:r>
      <w:r w:rsidR="008C1AA4">
        <w:rPr>
          <w:rStyle w:val="FootnoteReference"/>
        </w:rPr>
        <w:footnoteReference w:id="17"/>
      </w:r>
      <w:r w:rsidR="006A042F">
        <w:t xml:space="preserve"> From a comparative angle, furthermore, the parish system as such was subject to major regional variations: in Portuguese territories, the target </w:t>
      </w:r>
      <w:r w:rsidR="00DE12C1">
        <w:t>appears to have been</w:t>
      </w:r>
      <w:r w:rsidR="006A042F">
        <w:t xml:space="preserve"> a universal network much like in </w:t>
      </w:r>
      <w:r w:rsidR="00DE12C1">
        <w:t>Catholic</w:t>
      </w:r>
      <w:r w:rsidR="006A042F">
        <w:t xml:space="preserve"> Europe, while Dutch Asia </w:t>
      </w:r>
      <w:r w:rsidR="009145EF">
        <w:t>leaned</w:t>
      </w:r>
      <w:r w:rsidR="006A042F">
        <w:t xml:space="preserve"> towards ‘gathered churches’ and differentiated </w:t>
      </w:r>
      <w:r w:rsidR="006A042F">
        <w:lastRenderedPageBreak/>
        <w:t>provision for each social / linguistic group, prompting som</w:t>
      </w:r>
      <w:r w:rsidR="00DE12C1">
        <w:t xml:space="preserve">e local observers to </w:t>
      </w:r>
      <w:r w:rsidR="00593C5B">
        <w:t>detect</w:t>
      </w:r>
      <w:r w:rsidR="00DE12C1">
        <w:t xml:space="preserve"> a lack of missionary zeal.</w:t>
      </w:r>
      <w:r w:rsidR="00DE12C1">
        <w:rPr>
          <w:rStyle w:val="FootnoteReference"/>
        </w:rPr>
        <w:footnoteReference w:id="18"/>
      </w:r>
      <w:r w:rsidR="00DE12C1">
        <w:t xml:space="preserve"> Just what fully-equipped and well-</w:t>
      </w:r>
      <w:r w:rsidR="00593C5B">
        <w:t>staff</w:t>
      </w:r>
      <w:r w:rsidR="00DE12C1">
        <w:t xml:space="preserve">ed parish churches could achieve emerges from </w:t>
      </w:r>
      <w:proofErr w:type="spellStart"/>
      <w:r w:rsidR="00DE12C1">
        <w:t>Redden’s</w:t>
      </w:r>
      <w:proofErr w:type="spellEnd"/>
      <w:r w:rsidR="00DE12C1">
        <w:t xml:space="preserve"> evocative account for Hispanic America. As </w:t>
      </w:r>
      <w:r w:rsidR="005A43E8">
        <w:t>centres</w:t>
      </w:r>
      <w:r w:rsidR="00DE12C1">
        <w:t xml:space="preserve"> of intense devotion, </w:t>
      </w:r>
      <w:r w:rsidR="005A43E8">
        <w:t>access points for sacraments</w:t>
      </w:r>
      <w:r w:rsidR="00DE12C1">
        <w:t xml:space="preserve"> and destination</w:t>
      </w:r>
      <w:r w:rsidR="005A43E8">
        <w:t>s</w:t>
      </w:r>
      <w:r w:rsidR="00DE12C1">
        <w:t xml:space="preserve"> of elaborate processions, these buildings acted like lighthouses in a sea of darkness, emitting divine grace into the </w:t>
      </w:r>
      <w:r w:rsidR="009145EF">
        <w:t>surrounding</w:t>
      </w:r>
      <w:r w:rsidR="00DE12C1">
        <w:t xml:space="preserve"> countryside and </w:t>
      </w:r>
      <w:r w:rsidR="005A43E8">
        <w:t>providing stunned audiences with glimpses of a ‘terrestrial paradise’</w:t>
      </w:r>
      <w:r w:rsidR="009145EF">
        <w:t>. The first provincial council of Goa, too, declared in 1567 ‘that an excellent way of bringing the Christian message to non-Christians is to build churches in their midst’</w:t>
      </w:r>
      <w:r w:rsidR="005A43E8">
        <w:t>.</w:t>
      </w:r>
      <w:r w:rsidR="009145EF">
        <w:rPr>
          <w:rStyle w:val="FootnoteReference"/>
        </w:rPr>
        <w:footnoteReference w:id="19"/>
      </w:r>
      <w:r w:rsidR="00DE12C1">
        <w:t xml:space="preserve"> </w:t>
      </w:r>
      <w:r w:rsidR="00593C5B">
        <w:t>In this respect</w:t>
      </w:r>
      <w:r w:rsidR="005A43E8">
        <w:t>,</w:t>
      </w:r>
      <w:r w:rsidR="00593C5B">
        <w:t xml:space="preserve"> perhaps,</w:t>
      </w:r>
      <w:r w:rsidR="005A43E8">
        <w:t xml:space="preserve"> the </w:t>
      </w:r>
      <w:r w:rsidR="009145EF">
        <w:t xml:space="preserve">volume’s </w:t>
      </w:r>
      <w:r w:rsidR="005A43E8">
        <w:t>emphasis</w:t>
      </w:r>
      <w:r w:rsidR="005A43E8" w:rsidRPr="005A43E8">
        <w:t xml:space="preserve"> </w:t>
      </w:r>
      <w:r w:rsidR="005A43E8">
        <w:t xml:space="preserve">lies on missionary endeavours and </w:t>
      </w:r>
      <w:r w:rsidR="009145EF">
        <w:t>achievements</w:t>
      </w:r>
      <w:r w:rsidR="005A43E8">
        <w:t>, less on the resentment of (and tensions with) indigenous societies.</w:t>
      </w:r>
      <w:r w:rsidR="00982E4F">
        <w:t xml:space="preserve"> This is entirely</w:t>
      </w:r>
      <w:r w:rsidR="009145EF">
        <w:t xml:space="preserve"> legitimate</w:t>
      </w:r>
      <w:r w:rsidR="005A43E8">
        <w:t xml:space="preserve"> given </w:t>
      </w:r>
      <w:r w:rsidR="00593C5B">
        <w:t>its principal</w:t>
      </w:r>
      <w:r w:rsidR="009145EF">
        <w:t xml:space="preserve"> purpose</w:t>
      </w:r>
      <w:r w:rsidR="005A43E8">
        <w:t xml:space="preserve">, </w:t>
      </w:r>
      <w:r w:rsidR="00982E4F">
        <w:t xml:space="preserve">but </w:t>
      </w:r>
      <w:r w:rsidR="005A43E8">
        <w:t>reference</w:t>
      </w:r>
      <w:r w:rsidR="00982E4F">
        <w:t>s</w:t>
      </w:r>
      <w:r w:rsidR="005A43E8">
        <w:t xml:space="preserve"> to Jesuit martyrs and iconocl</w:t>
      </w:r>
      <w:r w:rsidR="00982E4F">
        <w:t>a</w:t>
      </w:r>
      <w:r w:rsidR="005A43E8">
        <w:t xml:space="preserve">stic attacks </w:t>
      </w:r>
      <w:r w:rsidR="00982E4F">
        <w:t>remind</w:t>
      </w:r>
      <w:r w:rsidR="005A43E8">
        <w:t xml:space="preserve"> us that </w:t>
      </w:r>
      <w:r w:rsidR="00982E4F">
        <w:t xml:space="preserve">these </w:t>
      </w:r>
      <w:r w:rsidR="005A43E8">
        <w:t>process</w:t>
      </w:r>
      <w:r w:rsidR="00982E4F">
        <w:t>es were</w:t>
      </w:r>
      <w:r w:rsidR="005A43E8">
        <w:t xml:space="preserve"> far from harmonious and the cost</w:t>
      </w:r>
      <w:r w:rsidR="00982E4F">
        <w:t>s</w:t>
      </w:r>
      <w:r w:rsidR="009145EF">
        <w:t xml:space="preserve"> to</w:t>
      </w:r>
      <w:r w:rsidR="005A43E8">
        <w:t xml:space="preserve"> </w:t>
      </w:r>
      <w:r w:rsidR="009145EF">
        <w:t xml:space="preserve">all sides </w:t>
      </w:r>
      <w:r w:rsidR="007D39BD">
        <w:t xml:space="preserve">often </w:t>
      </w:r>
      <w:r w:rsidR="00982E4F">
        <w:t xml:space="preserve">extremely </w:t>
      </w:r>
      <w:r w:rsidR="005A43E8">
        <w:t>high.</w:t>
      </w:r>
    </w:p>
    <w:p w:rsidR="00642E4A" w:rsidRDefault="00526346" w:rsidP="00A00326">
      <w:pPr>
        <w:pStyle w:val="ListParagraph"/>
        <w:spacing w:line="360" w:lineRule="auto"/>
        <w:ind w:left="0" w:firstLine="720"/>
      </w:pPr>
      <w:r>
        <w:t xml:space="preserve">It is </w:t>
      </w:r>
      <w:r w:rsidR="00AB4544">
        <w:t>universally accepted</w:t>
      </w:r>
      <w:r>
        <w:t xml:space="preserve"> that medieval parish churches served as community </w:t>
      </w:r>
      <w:r w:rsidR="00AB4544">
        <w:t>hubs</w:t>
      </w:r>
      <w:r>
        <w:t xml:space="preserve"> not just in the religious but also </w:t>
      </w:r>
      <w:r w:rsidRPr="00526346">
        <w:rPr>
          <w:i/>
        </w:rPr>
        <w:t>secular sphere</w:t>
      </w:r>
      <w:r>
        <w:t xml:space="preserve">. English evidence includes </w:t>
      </w:r>
      <w:r w:rsidR="009145EF">
        <w:t xml:space="preserve">the </w:t>
      </w:r>
      <w:r w:rsidR="00AB4544">
        <w:t>management</w:t>
      </w:r>
      <w:r w:rsidR="009145EF">
        <w:t xml:space="preserve"> of landed property, </w:t>
      </w:r>
      <w:r>
        <w:t xml:space="preserve">the co-ordination of public works and the staging of convivial events, most </w:t>
      </w:r>
      <w:r w:rsidR="009145EF">
        <w:t>notably</w:t>
      </w:r>
      <w:r>
        <w:t xml:space="preserve"> ‘church ales’ </w:t>
      </w:r>
      <w:r w:rsidR="00593C5B">
        <w:t>with</w:t>
      </w:r>
      <w:r>
        <w:t xml:space="preserve"> locally-brewed beverages and musical entertainments.</w:t>
      </w:r>
      <w:r>
        <w:rPr>
          <w:rStyle w:val="FootnoteReference"/>
        </w:rPr>
        <w:footnoteReference w:id="20"/>
      </w:r>
      <w:r>
        <w:t xml:space="preserve"> The early modern </w:t>
      </w:r>
      <w:r w:rsidR="00C92980">
        <w:t>master narrative</w:t>
      </w:r>
      <w:r w:rsidR="00AB4544">
        <w:t xml:space="preserve"> </w:t>
      </w:r>
      <w:r>
        <w:t xml:space="preserve">is one of </w:t>
      </w:r>
      <w:r w:rsidR="00120E3B">
        <w:t>in</w:t>
      </w:r>
      <w:r>
        <w:t xml:space="preserve">creasing </w:t>
      </w:r>
      <w:r w:rsidR="00120E3B">
        <w:t>dis</w:t>
      </w:r>
      <w:r>
        <w:t xml:space="preserve">entanglement </w:t>
      </w:r>
      <w:r w:rsidR="00120E3B">
        <w:t>from</w:t>
      </w:r>
      <w:r>
        <w:t xml:space="preserve"> </w:t>
      </w:r>
      <w:r w:rsidR="00AB4544">
        <w:t>such</w:t>
      </w:r>
      <w:r>
        <w:t xml:space="preserve"> profane</w:t>
      </w:r>
      <w:r w:rsidR="00AB4544">
        <w:t xml:space="preserve"> distractions</w:t>
      </w:r>
      <w:r>
        <w:t xml:space="preserve">, at least in terms of clerical intent and official </w:t>
      </w:r>
      <w:r w:rsidR="00902CC3">
        <w:t>regulation</w:t>
      </w:r>
      <w:r>
        <w:t xml:space="preserve">. In practice, as this collection </w:t>
      </w:r>
      <w:r w:rsidR="00AB4544">
        <w:t xml:space="preserve">strongly </w:t>
      </w:r>
      <w:r>
        <w:t xml:space="preserve">underlines, the picture is </w:t>
      </w:r>
      <w:r w:rsidR="00120E3B">
        <w:t>rather more complicated</w:t>
      </w:r>
      <w:r>
        <w:t>.</w:t>
      </w:r>
      <w:r w:rsidR="00CE328D">
        <w:rPr>
          <w:rStyle w:val="FootnoteReference"/>
        </w:rPr>
        <w:footnoteReference w:id="21"/>
      </w:r>
      <w:r>
        <w:t xml:space="preserve"> </w:t>
      </w:r>
      <w:r w:rsidR="00CE328D">
        <w:t xml:space="preserve">We have </w:t>
      </w:r>
      <w:r w:rsidR="00120E3B">
        <w:t>touched on</w:t>
      </w:r>
      <w:r w:rsidR="00CE328D">
        <w:t xml:space="preserve"> </w:t>
      </w:r>
      <w:r w:rsidR="001311AA">
        <w:t xml:space="preserve">material, financial and civic </w:t>
      </w:r>
      <w:r w:rsidR="00CE328D">
        <w:t xml:space="preserve">continuities </w:t>
      </w:r>
      <w:r w:rsidR="00120E3B">
        <w:t xml:space="preserve">in the Dutch </w:t>
      </w:r>
      <w:r w:rsidR="00AB4544">
        <w:t>Republic</w:t>
      </w:r>
      <w:r w:rsidR="001311AA">
        <w:t xml:space="preserve"> </w:t>
      </w:r>
      <w:r w:rsidR="00120E3B">
        <w:t xml:space="preserve">and </w:t>
      </w:r>
      <w:r w:rsidR="00CE328D">
        <w:t xml:space="preserve">should add the enduring influence of political </w:t>
      </w:r>
      <w:r w:rsidR="00F41D82">
        <w:t>bodies</w:t>
      </w:r>
      <w:r w:rsidR="00C92980">
        <w:t xml:space="preserve">: in </w:t>
      </w:r>
      <w:proofErr w:type="spellStart"/>
      <w:r w:rsidR="00CE328D">
        <w:t>Cluj</w:t>
      </w:r>
      <w:proofErr w:type="spellEnd"/>
      <w:r w:rsidR="00CE328D">
        <w:t xml:space="preserve">, the town council pushed its own religious agenda </w:t>
      </w:r>
      <w:r w:rsidR="00120E3B">
        <w:t xml:space="preserve">just </w:t>
      </w:r>
      <w:r w:rsidR="00CE328D">
        <w:t xml:space="preserve">as strongly </w:t>
      </w:r>
      <w:r w:rsidR="00120E3B">
        <w:t xml:space="preserve">as </w:t>
      </w:r>
      <w:r w:rsidR="00902CC3">
        <w:t>German</w:t>
      </w:r>
      <w:r w:rsidR="00120E3B">
        <w:t xml:space="preserve"> magistrates </w:t>
      </w:r>
      <w:r w:rsidR="00EB59EA">
        <w:t xml:space="preserve">throughout the long Reformation </w:t>
      </w:r>
      <w:r w:rsidR="00C92980">
        <w:t>(</w:t>
      </w:r>
      <w:r w:rsidR="009C1505">
        <w:t xml:space="preserve">even though the latter would have been horrified at </w:t>
      </w:r>
      <w:r w:rsidR="006504BE">
        <w:t>the</w:t>
      </w:r>
      <w:r w:rsidR="009C1505">
        <w:t xml:space="preserve"> Anti-Trinitarian orientation</w:t>
      </w:r>
      <w:r w:rsidR="006504BE">
        <w:t xml:space="preserve"> of their colleagues</w:t>
      </w:r>
      <w:r w:rsidR="00CE328D">
        <w:t>).</w:t>
      </w:r>
      <w:r w:rsidR="00CE328D">
        <w:rPr>
          <w:rStyle w:val="FootnoteReference"/>
        </w:rPr>
        <w:footnoteReference w:id="22"/>
      </w:r>
      <w:r w:rsidR="00F41D82">
        <w:t xml:space="preserve"> Another </w:t>
      </w:r>
      <w:r w:rsidR="00AB4544">
        <w:t xml:space="preserve">long-term </w:t>
      </w:r>
      <w:r w:rsidR="00F41D82">
        <w:t xml:space="preserve">link is the reflection of social hierarchies. In Milan, archbishop Borromeo had to fight hard to contain the nobility’s appropriation of entire parts of parish churches and, nearly everywhere, local elites </w:t>
      </w:r>
      <w:r w:rsidR="00EB59EA">
        <w:t>expected</w:t>
      </w:r>
      <w:r w:rsidR="00F41D82">
        <w:t xml:space="preserve"> p</w:t>
      </w:r>
      <w:r w:rsidR="00AB4544">
        <w:t>rominent seating near, if not actually in, the chancel.</w:t>
      </w:r>
      <w:r w:rsidR="00AB4544">
        <w:rPr>
          <w:rStyle w:val="FootnoteReference"/>
        </w:rPr>
        <w:footnoteReference w:id="23"/>
      </w:r>
      <w:r w:rsidR="00AB4544">
        <w:t xml:space="preserve"> A particularly marked differentiation evolved in Brazil: the parish </w:t>
      </w:r>
      <w:r w:rsidR="00902CC3">
        <w:t>proper</w:t>
      </w:r>
      <w:r w:rsidR="00AB4544">
        <w:t xml:space="preserve"> </w:t>
      </w:r>
      <w:r w:rsidR="00EB59EA">
        <w:t>catered</w:t>
      </w:r>
      <w:r w:rsidR="00AB4544">
        <w:t xml:space="preserve"> above all </w:t>
      </w:r>
      <w:r w:rsidR="00EB59EA">
        <w:t>for</w:t>
      </w:r>
      <w:r w:rsidR="00AB4544">
        <w:t xml:space="preserve"> lower and middling groups, while the very top (Tertiaries) and bottom layers (black slaves) congregated </w:t>
      </w:r>
      <w:r w:rsidR="00AB4544">
        <w:lastRenderedPageBreak/>
        <w:t>around separate chapels or altars.</w:t>
      </w:r>
      <w:r w:rsidR="00EB59EA">
        <w:rPr>
          <w:rStyle w:val="FootnoteReference"/>
        </w:rPr>
        <w:footnoteReference w:id="24"/>
      </w:r>
      <w:r w:rsidR="00902CC3">
        <w:t xml:space="preserve"> In virtually all colonial contexts, furthermore, churches served as symbols of European and Christian power, built to impress indigenous populations through their sheer numbers, size and lavish ornamentation.</w:t>
      </w:r>
      <w:r w:rsidR="006504BE">
        <w:rPr>
          <w:rStyle w:val="FootnoteReference"/>
        </w:rPr>
        <w:footnoteReference w:id="25"/>
      </w:r>
    </w:p>
    <w:p w:rsidR="005A0501" w:rsidRDefault="005A0501" w:rsidP="00A00326">
      <w:pPr>
        <w:spacing w:line="360" w:lineRule="auto"/>
      </w:pPr>
    </w:p>
    <w:p w:rsidR="006504BE" w:rsidRDefault="008932E3" w:rsidP="00A00326">
      <w:pPr>
        <w:spacing w:line="360" w:lineRule="auto"/>
      </w:pPr>
      <w:r>
        <w:t xml:space="preserve">Readers thus have much to gain from a perusal of this collection. </w:t>
      </w:r>
      <w:r w:rsidR="006504BE">
        <w:t xml:space="preserve">Where can parish church studies go from here? A lot, of course, depends on the sources. Some of the </w:t>
      </w:r>
      <w:r w:rsidR="00B66D74">
        <w:t>regions discussed</w:t>
      </w:r>
      <w:r w:rsidR="006504BE">
        <w:t xml:space="preserve"> here </w:t>
      </w:r>
      <w:r w:rsidR="00AC5A09">
        <w:t>benefit from</w:t>
      </w:r>
      <w:r w:rsidR="006504BE">
        <w:t xml:space="preserve"> extensive </w:t>
      </w:r>
      <w:r w:rsidR="00B5696C">
        <w:t xml:space="preserve">archival </w:t>
      </w:r>
      <w:r w:rsidR="00B66D74">
        <w:t>survival of</w:t>
      </w:r>
      <w:r w:rsidR="006504BE">
        <w:t xml:space="preserve"> multiple </w:t>
      </w:r>
      <w:proofErr w:type="gramStart"/>
      <w:r w:rsidR="00DE071D">
        <w:t>genres</w:t>
      </w:r>
      <w:r w:rsidR="006504BE">
        <w:t>,</w:t>
      </w:r>
      <w:proofErr w:type="gramEnd"/>
      <w:r w:rsidR="006504BE">
        <w:t xml:space="preserve"> others (like Transylvania) </w:t>
      </w:r>
      <w:r w:rsidR="00B5696C">
        <w:t>are rather more sparsely documented</w:t>
      </w:r>
      <w:r w:rsidR="006504BE">
        <w:t xml:space="preserve">. Even in the former, the move from </w:t>
      </w:r>
      <w:r w:rsidR="00B5696C">
        <w:t xml:space="preserve">architectural and stylistic analysis to social use and parishioner experience </w:t>
      </w:r>
      <w:r>
        <w:t>remains</w:t>
      </w:r>
      <w:r w:rsidR="00B5696C">
        <w:t xml:space="preserve"> challenging. </w:t>
      </w:r>
      <w:r w:rsidR="0004590B">
        <w:t>A rewarding</w:t>
      </w:r>
      <w:r w:rsidR="00B5696C">
        <w:t xml:space="preserve"> </w:t>
      </w:r>
      <w:r w:rsidR="0004590B">
        <w:t>path</w:t>
      </w:r>
      <w:r w:rsidR="00B5696C">
        <w:t xml:space="preserve"> might be closer engagement with </w:t>
      </w:r>
      <w:r w:rsidR="0004590B">
        <w:t xml:space="preserve">disciplines such as archaeology and </w:t>
      </w:r>
      <w:r w:rsidR="00B66D74">
        <w:t>material culture studies, field which have</w:t>
      </w:r>
      <w:r w:rsidR="00B5696C">
        <w:t xml:space="preserve"> flourished in recent years.</w:t>
      </w:r>
      <w:r w:rsidR="00B5696C">
        <w:rPr>
          <w:rStyle w:val="FootnoteReference"/>
        </w:rPr>
        <w:footnoteReference w:id="26"/>
      </w:r>
      <w:r w:rsidR="00E86DB0">
        <w:t xml:space="preserve"> In order to fully assess the relative significance of parish churches, it would also be helpful to extend the perspective not just to further regions, but other ‘social sites’ in early modern communities: </w:t>
      </w:r>
      <w:r w:rsidR="009921FE">
        <w:t xml:space="preserve">how does the importance of ecclesiastical buildings compare to, say, </w:t>
      </w:r>
      <w:r w:rsidR="00E86DB0">
        <w:t>market squ</w:t>
      </w:r>
      <w:r w:rsidR="00B66D74">
        <w:t>ares, town halls or</w:t>
      </w:r>
      <w:r w:rsidR="009921FE">
        <w:t xml:space="preserve"> public houses?</w:t>
      </w:r>
      <w:r w:rsidR="009921FE">
        <w:rPr>
          <w:rStyle w:val="FootnoteReference"/>
        </w:rPr>
        <w:footnoteReference w:id="27"/>
      </w:r>
      <w:r w:rsidR="009921FE">
        <w:t xml:space="preserve"> The answer </w:t>
      </w:r>
      <w:r w:rsidR="00AC5A09">
        <w:t>is likely to</w:t>
      </w:r>
      <w:r w:rsidR="009921FE">
        <w:t xml:space="preserve"> </w:t>
      </w:r>
      <w:r w:rsidR="00B66D74">
        <w:t>depend on</w:t>
      </w:r>
      <w:r w:rsidR="009921FE">
        <w:t xml:space="preserve"> a lot of variables like location, season and confessional frameworks</w:t>
      </w:r>
      <w:r w:rsidR="00AC5A09">
        <w:t>, while revealing numerous synergies and interactions at the same time</w:t>
      </w:r>
      <w:r w:rsidR="009921FE">
        <w:t>.</w:t>
      </w:r>
      <w:r w:rsidR="00AC5A09">
        <w:t xml:space="preserve"> Finally, building on the point about churches as representations of colonial power, should they be recognized as one the </w:t>
      </w:r>
      <w:r w:rsidR="00DF7F81">
        <w:t>most prominent</w:t>
      </w:r>
      <w:r w:rsidR="00AC5A09">
        <w:t xml:space="preserve"> symbols of ‘</w:t>
      </w:r>
      <w:proofErr w:type="spellStart"/>
      <w:r w:rsidR="00AC5A09">
        <w:t>Europeanness</w:t>
      </w:r>
      <w:proofErr w:type="spellEnd"/>
      <w:r w:rsidR="00AC5A09">
        <w:t>’</w:t>
      </w:r>
      <w:r w:rsidR="00B66D74">
        <w:t xml:space="preserve"> in the </w:t>
      </w:r>
      <w:proofErr w:type="spellStart"/>
      <w:r w:rsidR="00B66D74">
        <w:t>premodern</w:t>
      </w:r>
      <w:proofErr w:type="spellEnd"/>
      <w:r w:rsidR="00B66D74">
        <w:t xml:space="preserve"> period</w:t>
      </w:r>
      <w:r w:rsidR="00AC5A09">
        <w:t xml:space="preserve">? If </w:t>
      </w:r>
      <w:r w:rsidR="00B66D74">
        <w:t>the Reformations</w:t>
      </w:r>
      <w:r w:rsidR="00AC5A09">
        <w:t xml:space="preserve"> marked the demise of medieval (and relatively homogenous) Western </w:t>
      </w:r>
      <w:r w:rsidR="00DE071D">
        <w:t>‘</w:t>
      </w:r>
      <w:r w:rsidR="00AC5A09">
        <w:t>Christendom</w:t>
      </w:r>
      <w:r w:rsidR="00DE071D">
        <w:t>’</w:t>
      </w:r>
      <w:r w:rsidR="00AC5A09">
        <w:t xml:space="preserve"> and the emergence of an explicit self-perception of the Continent as ‘Europe’ (partly defined by fragmentation and confessional strife),</w:t>
      </w:r>
      <w:r w:rsidR="00AC5A09">
        <w:rPr>
          <w:rStyle w:val="FootnoteReference"/>
        </w:rPr>
        <w:footnoteReference w:id="28"/>
      </w:r>
      <w:r w:rsidR="00AC5A09">
        <w:t xml:space="preserve"> then their further investigation would indeed be anything but a ‘parochial’ task. </w:t>
      </w:r>
    </w:p>
    <w:p w:rsidR="005A0501" w:rsidRDefault="005A0501" w:rsidP="00A00326">
      <w:pPr>
        <w:spacing w:line="360" w:lineRule="auto"/>
      </w:pPr>
    </w:p>
    <w:p w:rsidR="008632ED" w:rsidRDefault="008632ED" w:rsidP="00A00326">
      <w:pPr>
        <w:spacing w:line="360" w:lineRule="auto"/>
      </w:pPr>
    </w:p>
    <w:p w:rsidR="00B66D74" w:rsidRDefault="00B66D74">
      <w:pPr>
        <w:spacing w:after="200" w:line="276" w:lineRule="auto"/>
      </w:pPr>
      <w:r>
        <w:br w:type="page"/>
      </w:r>
    </w:p>
    <w:p w:rsidR="00B66D74" w:rsidRDefault="00B66D74" w:rsidP="00A00326">
      <w:pPr>
        <w:spacing w:line="360" w:lineRule="auto"/>
      </w:pPr>
    </w:p>
    <w:p w:rsidR="008632ED" w:rsidRDefault="008632ED" w:rsidP="00A00326">
      <w:pPr>
        <w:spacing w:line="360" w:lineRule="auto"/>
      </w:pPr>
      <w:r>
        <w:t>Biographical note:</w:t>
      </w:r>
    </w:p>
    <w:p w:rsidR="008632ED" w:rsidRDefault="008632ED" w:rsidP="00A00326">
      <w:pPr>
        <w:spacing w:line="360" w:lineRule="auto"/>
        <w:rPr>
          <w:i/>
        </w:rPr>
      </w:pPr>
    </w:p>
    <w:p w:rsidR="008632ED" w:rsidRDefault="008632ED" w:rsidP="00A00326">
      <w:pPr>
        <w:spacing w:line="360" w:lineRule="auto"/>
      </w:pPr>
      <w:r w:rsidRPr="008632ED">
        <w:rPr>
          <w:i/>
        </w:rPr>
        <w:t xml:space="preserve">Beat </w:t>
      </w:r>
      <w:proofErr w:type="spellStart"/>
      <w:r w:rsidRPr="008632ED">
        <w:rPr>
          <w:i/>
        </w:rPr>
        <w:t>Kümin</w:t>
      </w:r>
      <w:proofErr w:type="spellEnd"/>
      <w:r>
        <w:t xml:space="preserve"> is Professor of Early Modern European History at the University </w:t>
      </w:r>
      <w:proofErr w:type="gramStart"/>
      <w:r>
        <w:t>of</w:t>
      </w:r>
      <w:proofErr w:type="gramEnd"/>
      <w:r>
        <w:t xml:space="preserve"> Warwick, U.K. He works on local communities and sites of social exchange, especially in England and the Holy Roman Empire. Publications include </w:t>
      </w:r>
      <w:r w:rsidRPr="008632ED">
        <w:rPr>
          <w:i/>
        </w:rPr>
        <w:t xml:space="preserve">The Shaping of a Community: The Rise &amp; Reformation of the English Parish </w:t>
      </w:r>
      <w:r w:rsidRPr="008632ED">
        <w:t>c</w:t>
      </w:r>
      <w:r w:rsidRPr="008632ED">
        <w:rPr>
          <w:i/>
        </w:rPr>
        <w:t>. 1400-1560</w:t>
      </w:r>
      <w:r>
        <w:t xml:space="preserve"> (Aldershot, 1996); the co-edited collection </w:t>
      </w:r>
      <w:r w:rsidRPr="008632ED">
        <w:rPr>
          <w:i/>
        </w:rPr>
        <w:t>The Parish in English Life</w:t>
      </w:r>
      <w:r>
        <w:rPr>
          <w:i/>
        </w:rPr>
        <w:t xml:space="preserve"> 1400-1600</w:t>
      </w:r>
      <w:r>
        <w:t xml:space="preserve"> (Manchester, 1997) and the anthology </w:t>
      </w:r>
      <w:proofErr w:type="spellStart"/>
      <w:r w:rsidRPr="008632ED">
        <w:rPr>
          <w:i/>
        </w:rPr>
        <w:t>Landgemeinde</w:t>
      </w:r>
      <w:proofErr w:type="spellEnd"/>
      <w:r w:rsidRPr="008632ED">
        <w:rPr>
          <w:i/>
        </w:rPr>
        <w:t xml:space="preserve"> und </w:t>
      </w:r>
      <w:proofErr w:type="spellStart"/>
      <w:r w:rsidRPr="008632ED">
        <w:rPr>
          <w:i/>
        </w:rPr>
        <w:t>Kirche</w:t>
      </w:r>
      <w:proofErr w:type="spellEnd"/>
      <w:r w:rsidRPr="008632ED">
        <w:rPr>
          <w:i/>
        </w:rPr>
        <w:t xml:space="preserve"> </w:t>
      </w:r>
      <w:proofErr w:type="spellStart"/>
      <w:r w:rsidRPr="008632ED">
        <w:rPr>
          <w:i/>
        </w:rPr>
        <w:t>im</w:t>
      </w:r>
      <w:proofErr w:type="spellEnd"/>
      <w:r w:rsidRPr="008632ED">
        <w:rPr>
          <w:i/>
        </w:rPr>
        <w:t xml:space="preserve"> </w:t>
      </w:r>
      <w:proofErr w:type="spellStart"/>
      <w:r w:rsidRPr="008632ED">
        <w:rPr>
          <w:i/>
        </w:rPr>
        <w:t>Zeitalter</w:t>
      </w:r>
      <w:proofErr w:type="spellEnd"/>
      <w:r w:rsidRPr="008632ED">
        <w:rPr>
          <w:i/>
        </w:rPr>
        <w:t xml:space="preserve"> der </w:t>
      </w:r>
      <w:proofErr w:type="spellStart"/>
      <w:r w:rsidRPr="008632ED">
        <w:rPr>
          <w:i/>
        </w:rPr>
        <w:t>Konfessionen</w:t>
      </w:r>
      <w:proofErr w:type="spellEnd"/>
      <w:r>
        <w:t xml:space="preserve"> (Zurich, 2004).</w:t>
      </w:r>
    </w:p>
    <w:p w:rsidR="008632ED" w:rsidRDefault="008632ED" w:rsidP="00A00326">
      <w:pPr>
        <w:spacing w:line="360" w:lineRule="auto"/>
      </w:pPr>
    </w:p>
    <w:p w:rsidR="008632ED" w:rsidRDefault="008632ED" w:rsidP="00A00326">
      <w:pPr>
        <w:spacing w:line="360" w:lineRule="auto"/>
      </w:pPr>
    </w:p>
    <w:p w:rsidR="005A0501" w:rsidRDefault="005A0501" w:rsidP="00A00326">
      <w:pPr>
        <w:spacing w:line="360" w:lineRule="auto"/>
      </w:pPr>
    </w:p>
    <w:sectPr w:rsidR="005A0501" w:rsidSect="00D67E0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AC" w:rsidRDefault="009B5BAC" w:rsidP="00D277F8">
      <w:r>
        <w:separator/>
      </w:r>
    </w:p>
  </w:endnote>
  <w:endnote w:type="continuationSeparator" w:id="0">
    <w:p w:rsidR="009B5BAC" w:rsidRDefault="009B5BAC" w:rsidP="00D2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01404"/>
      <w:docPartObj>
        <w:docPartGallery w:val="Page Numbers (Bottom of Page)"/>
        <w:docPartUnique/>
      </w:docPartObj>
    </w:sdtPr>
    <w:sdtEndPr>
      <w:rPr>
        <w:noProof/>
      </w:rPr>
    </w:sdtEndPr>
    <w:sdtContent>
      <w:p w:rsidR="0078277E" w:rsidRDefault="0078277E">
        <w:pPr>
          <w:pStyle w:val="Footer"/>
          <w:jc w:val="center"/>
        </w:pPr>
        <w:r>
          <w:fldChar w:fldCharType="begin"/>
        </w:r>
        <w:r>
          <w:instrText xml:space="preserve"> PAGE   \* MERGEFORMAT </w:instrText>
        </w:r>
        <w:r>
          <w:fldChar w:fldCharType="separate"/>
        </w:r>
        <w:r w:rsidR="003A7FCB">
          <w:rPr>
            <w:noProof/>
          </w:rPr>
          <w:t>7</w:t>
        </w:r>
        <w:r>
          <w:rPr>
            <w:noProof/>
          </w:rPr>
          <w:fldChar w:fldCharType="end"/>
        </w:r>
      </w:p>
    </w:sdtContent>
  </w:sdt>
  <w:p w:rsidR="0078277E" w:rsidRDefault="0078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AC" w:rsidRDefault="009B5BAC" w:rsidP="00D277F8">
      <w:r>
        <w:separator/>
      </w:r>
    </w:p>
  </w:footnote>
  <w:footnote w:type="continuationSeparator" w:id="0">
    <w:p w:rsidR="009B5BAC" w:rsidRDefault="009B5BAC" w:rsidP="00D277F8">
      <w:r>
        <w:continuationSeparator/>
      </w:r>
    </w:p>
  </w:footnote>
  <w:footnote w:id="1">
    <w:p w:rsidR="0078277E" w:rsidRDefault="0078277E">
      <w:pPr>
        <w:pStyle w:val="FootnoteText"/>
      </w:pPr>
      <w:r>
        <w:rPr>
          <w:rStyle w:val="FootnoteReference"/>
        </w:rPr>
        <w:footnoteRef/>
      </w:r>
      <w:r>
        <w:t xml:space="preserve"> Following doctoral research on the German Palatinate, Trevor Johnson’s interests expanded in similar directions, see e.g. ‘Gardening for God: Carmelite deserts and the sacralisation of natural space in Counter-Reformation Spain’, in: W. </w:t>
      </w:r>
      <w:proofErr w:type="spellStart"/>
      <w:r>
        <w:t>Coster</w:t>
      </w:r>
      <w:proofErr w:type="spellEnd"/>
      <w:r>
        <w:t xml:space="preserve"> and A. Spicer (</w:t>
      </w:r>
      <w:proofErr w:type="spellStart"/>
      <w:proofErr w:type="gramStart"/>
      <w:r>
        <w:t>eds</w:t>
      </w:r>
      <w:proofErr w:type="spellEnd"/>
      <w:proofErr w:type="gramEnd"/>
      <w:r>
        <w:t xml:space="preserve">), </w:t>
      </w:r>
      <w:r w:rsidRPr="008E42E4">
        <w:rPr>
          <w:i/>
        </w:rPr>
        <w:t>Sacred Space in Early Modern Europe</w:t>
      </w:r>
      <w:r>
        <w:t xml:space="preserve"> (Cambridge, 2005), 193-210.</w:t>
      </w:r>
    </w:p>
  </w:footnote>
  <w:footnote w:id="2">
    <w:p w:rsidR="0078277E" w:rsidRDefault="0078277E">
      <w:pPr>
        <w:pStyle w:val="FootnoteText"/>
      </w:pPr>
      <w:r>
        <w:rPr>
          <w:rStyle w:val="FootnoteReference"/>
        </w:rPr>
        <w:footnoteRef/>
      </w:r>
      <w:r>
        <w:t xml:space="preserve"> A. Spicer </w:t>
      </w:r>
      <w:r w:rsidRPr="008E15B2">
        <w:rPr>
          <w:rFonts w:cs="Times New Roman"/>
          <w:lang w:val="en-US"/>
        </w:rPr>
        <w:t>and S. Hamilton (</w:t>
      </w:r>
      <w:proofErr w:type="spellStart"/>
      <w:r w:rsidRPr="008E15B2">
        <w:rPr>
          <w:rFonts w:cs="Times New Roman"/>
          <w:lang w:val="en-US"/>
        </w:rPr>
        <w:t>eds</w:t>
      </w:r>
      <w:proofErr w:type="spellEnd"/>
      <w:r w:rsidRPr="008E15B2">
        <w:rPr>
          <w:rFonts w:cs="Times New Roman"/>
          <w:lang w:val="en-US"/>
        </w:rPr>
        <w:t xml:space="preserve">), </w:t>
      </w:r>
      <w:r w:rsidRPr="008E15B2">
        <w:rPr>
          <w:rStyle w:val="Emphasis"/>
          <w:rFonts w:cs="Times New Roman"/>
          <w:lang w:val="en-US"/>
        </w:rPr>
        <w:t>Defining the Holy: Sacred Space in Medieval and Early Modern Europe</w:t>
      </w:r>
      <w:r>
        <w:rPr>
          <w:rFonts w:cs="Times New Roman"/>
          <w:lang w:val="en-US"/>
        </w:rPr>
        <w:t xml:space="preserve"> (</w:t>
      </w:r>
      <w:proofErr w:type="spellStart"/>
      <w:r>
        <w:rPr>
          <w:rFonts w:cs="Times New Roman"/>
          <w:lang w:val="en-US"/>
        </w:rPr>
        <w:t>Aldershot</w:t>
      </w:r>
      <w:proofErr w:type="spellEnd"/>
      <w:r>
        <w:rPr>
          <w:rFonts w:cs="Times New Roman"/>
          <w:lang w:val="en-US"/>
        </w:rPr>
        <w:t xml:space="preserve">, 2005); </w:t>
      </w:r>
      <w:proofErr w:type="spellStart"/>
      <w:r>
        <w:t>Coster</w:t>
      </w:r>
      <w:proofErr w:type="spellEnd"/>
      <w:r>
        <w:t xml:space="preserve"> and Spicer (</w:t>
      </w:r>
      <w:proofErr w:type="spellStart"/>
      <w:r>
        <w:t>eds</w:t>
      </w:r>
      <w:proofErr w:type="spellEnd"/>
      <w:r>
        <w:t xml:space="preserve">), </w:t>
      </w:r>
      <w:r w:rsidRPr="008E15B2">
        <w:rPr>
          <w:i/>
        </w:rPr>
        <w:t>Sacred Space</w:t>
      </w:r>
      <w:r>
        <w:t xml:space="preserve">; </w:t>
      </w:r>
      <w:r w:rsidRPr="008E15B2">
        <w:rPr>
          <w:rFonts w:cs="Times New Roman"/>
        </w:rPr>
        <w:t xml:space="preserve">A. Spicer, </w:t>
      </w:r>
      <w:r w:rsidRPr="008E15B2">
        <w:rPr>
          <w:rStyle w:val="Emphasis"/>
          <w:rFonts w:cs="Times New Roman"/>
          <w:lang w:val="en-US"/>
        </w:rPr>
        <w:t>Calvinist Churches in Early Modern Europe</w:t>
      </w:r>
      <w:r w:rsidRPr="008E15B2">
        <w:rPr>
          <w:rFonts w:cs="Times New Roman"/>
          <w:lang w:val="en-US"/>
        </w:rPr>
        <w:t xml:space="preserve"> (Manchester, 2007); </w:t>
      </w:r>
      <w:r>
        <w:t xml:space="preserve">idem (ed.), </w:t>
      </w:r>
      <w:r w:rsidRPr="00D277F8">
        <w:rPr>
          <w:i/>
        </w:rPr>
        <w:t>Lutheran Churches in Early Modern Europe</w:t>
      </w:r>
      <w:r>
        <w:t xml:space="preserve"> (Farnham, 2012).</w:t>
      </w:r>
    </w:p>
  </w:footnote>
  <w:footnote w:id="3">
    <w:p w:rsidR="0078277E" w:rsidRPr="00281191" w:rsidRDefault="0078277E">
      <w:pPr>
        <w:pStyle w:val="FootnoteText"/>
        <w:rPr>
          <w:rFonts w:cs="Times New Roman"/>
        </w:rPr>
      </w:pPr>
      <w:r>
        <w:rPr>
          <w:rStyle w:val="FootnoteReference"/>
        </w:rPr>
        <w:footnoteRef/>
      </w:r>
      <w:r>
        <w:t xml:space="preserve"> Examples include M. </w:t>
      </w:r>
      <w:proofErr w:type="spellStart"/>
      <w:r>
        <w:t>Aubrun</w:t>
      </w:r>
      <w:proofErr w:type="spellEnd"/>
      <w:r>
        <w:t xml:space="preserve">, </w:t>
      </w:r>
      <w:r w:rsidRPr="008C1522">
        <w:rPr>
          <w:i/>
        </w:rPr>
        <w:t xml:space="preserve">La </w:t>
      </w:r>
      <w:proofErr w:type="spellStart"/>
      <w:r w:rsidRPr="008C1522">
        <w:rPr>
          <w:i/>
        </w:rPr>
        <w:t>paroisse</w:t>
      </w:r>
      <w:proofErr w:type="spellEnd"/>
      <w:r w:rsidRPr="008C1522">
        <w:rPr>
          <w:i/>
        </w:rPr>
        <w:t xml:space="preserve"> </w:t>
      </w:r>
      <w:proofErr w:type="spellStart"/>
      <w:r w:rsidRPr="008C1522">
        <w:rPr>
          <w:i/>
        </w:rPr>
        <w:t>en</w:t>
      </w:r>
      <w:proofErr w:type="spellEnd"/>
      <w:r w:rsidRPr="008C1522">
        <w:rPr>
          <w:i/>
        </w:rPr>
        <w:t xml:space="preserve"> France des </w:t>
      </w:r>
      <w:proofErr w:type="spellStart"/>
      <w:r w:rsidRPr="008C1522">
        <w:rPr>
          <w:i/>
        </w:rPr>
        <w:t>origines</w:t>
      </w:r>
      <w:proofErr w:type="spellEnd"/>
      <w:r w:rsidRPr="008C1522">
        <w:rPr>
          <w:i/>
        </w:rPr>
        <w:t xml:space="preserve"> au </w:t>
      </w:r>
      <w:proofErr w:type="spellStart"/>
      <w:r w:rsidRPr="008C1522">
        <w:rPr>
          <w:i/>
        </w:rPr>
        <w:t>XVe</w:t>
      </w:r>
      <w:proofErr w:type="spellEnd"/>
      <w:r w:rsidRPr="008C1522">
        <w:rPr>
          <w:i/>
        </w:rPr>
        <w:t xml:space="preserve"> si</w:t>
      </w:r>
      <w:r w:rsidRPr="008C1522">
        <w:rPr>
          <w:rFonts w:cs="Times New Roman"/>
          <w:i/>
        </w:rPr>
        <w:t>è</w:t>
      </w:r>
      <w:r w:rsidRPr="008C1522">
        <w:rPr>
          <w:i/>
        </w:rPr>
        <w:t>cle</w:t>
      </w:r>
      <w:r>
        <w:t xml:space="preserve"> (Paris, 1986); A. </w:t>
      </w:r>
      <w:proofErr w:type="spellStart"/>
      <w:r>
        <w:t>Paravicini</w:t>
      </w:r>
      <w:proofErr w:type="spellEnd"/>
      <w:r>
        <w:t xml:space="preserve"> </w:t>
      </w:r>
      <w:proofErr w:type="spellStart"/>
      <w:r>
        <w:t>Bagliani</w:t>
      </w:r>
      <w:proofErr w:type="spellEnd"/>
      <w:r>
        <w:t xml:space="preserve"> and V. </w:t>
      </w:r>
      <w:proofErr w:type="spellStart"/>
      <w:r>
        <w:t>Pasche</w:t>
      </w:r>
      <w:proofErr w:type="spellEnd"/>
      <w:r>
        <w:t xml:space="preserve"> (</w:t>
      </w:r>
      <w:proofErr w:type="spellStart"/>
      <w:r>
        <w:t>eds</w:t>
      </w:r>
      <w:proofErr w:type="spellEnd"/>
      <w:r>
        <w:t xml:space="preserve">), </w:t>
      </w:r>
      <w:r w:rsidRPr="00281191">
        <w:rPr>
          <w:i/>
        </w:rPr>
        <w:t xml:space="preserve">La </w:t>
      </w:r>
      <w:proofErr w:type="spellStart"/>
      <w:r w:rsidRPr="00281191">
        <w:rPr>
          <w:i/>
        </w:rPr>
        <w:t>parrocchia</w:t>
      </w:r>
      <w:proofErr w:type="spellEnd"/>
      <w:r w:rsidRPr="00281191">
        <w:rPr>
          <w:i/>
        </w:rPr>
        <w:t xml:space="preserve"> </w:t>
      </w:r>
      <w:proofErr w:type="spellStart"/>
      <w:r w:rsidRPr="00281191">
        <w:rPr>
          <w:i/>
        </w:rPr>
        <w:t>nel</w:t>
      </w:r>
      <w:proofErr w:type="spellEnd"/>
      <w:r w:rsidRPr="00281191">
        <w:rPr>
          <w:i/>
        </w:rPr>
        <w:t xml:space="preserve"> </w:t>
      </w:r>
      <w:proofErr w:type="spellStart"/>
      <w:r w:rsidRPr="00281191">
        <w:rPr>
          <w:i/>
        </w:rPr>
        <w:t>medio</w:t>
      </w:r>
      <w:proofErr w:type="spellEnd"/>
      <w:r w:rsidRPr="00281191">
        <w:rPr>
          <w:i/>
        </w:rPr>
        <w:t xml:space="preserve"> </w:t>
      </w:r>
      <w:proofErr w:type="spellStart"/>
      <w:r w:rsidRPr="00281191">
        <w:rPr>
          <w:i/>
        </w:rPr>
        <w:t>evo</w:t>
      </w:r>
      <w:proofErr w:type="spellEnd"/>
      <w:r w:rsidRPr="00281191">
        <w:rPr>
          <w:i/>
        </w:rPr>
        <w:t xml:space="preserve">: </w:t>
      </w:r>
      <w:proofErr w:type="spellStart"/>
      <w:r w:rsidRPr="00281191">
        <w:rPr>
          <w:i/>
        </w:rPr>
        <w:t>economia</w:t>
      </w:r>
      <w:proofErr w:type="spellEnd"/>
      <w:r w:rsidRPr="00281191">
        <w:rPr>
          <w:i/>
        </w:rPr>
        <w:t xml:space="preserve">, </w:t>
      </w:r>
      <w:proofErr w:type="spellStart"/>
      <w:r w:rsidRPr="00281191">
        <w:rPr>
          <w:i/>
        </w:rPr>
        <w:t>scambi</w:t>
      </w:r>
      <w:proofErr w:type="spellEnd"/>
      <w:r w:rsidRPr="00281191">
        <w:rPr>
          <w:i/>
        </w:rPr>
        <w:t xml:space="preserve">, </w:t>
      </w:r>
      <w:proofErr w:type="spellStart"/>
      <w:r w:rsidRPr="00281191">
        <w:rPr>
          <w:i/>
        </w:rPr>
        <w:t>solidariet</w:t>
      </w:r>
      <w:r w:rsidRPr="00281191">
        <w:rPr>
          <w:rFonts w:cs="Times New Roman"/>
          <w:i/>
        </w:rPr>
        <w:t>à</w:t>
      </w:r>
      <w:proofErr w:type="spellEnd"/>
      <w:r>
        <w:t xml:space="preserve"> (Rome, 1995); K. French, G. Gibbs and B. </w:t>
      </w:r>
      <w:proofErr w:type="spellStart"/>
      <w:r>
        <w:t>Kümin</w:t>
      </w:r>
      <w:proofErr w:type="spellEnd"/>
      <w:r>
        <w:t xml:space="preserve"> (</w:t>
      </w:r>
      <w:proofErr w:type="spellStart"/>
      <w:r>
        <w:t>eds</w:t>
      </w:r>
      <w:proofErr w:type="spellEnd"/>
      <w:r>
        <w:t xml:space="preserve">), </w:t>
      </w:r>
      <w:r w:rsidRPr="008C1522">
        <w:rPr>
          <w:i/>
        </w:rPr>
        <w:t>The Parish in English Life 1400-1600</w:t>
      </w:r>
      <w:r>
        <w:t xml:space="preserve"> (Manchester, 1997); N.</w:t>
      </w:r>
      <w:r w:rsidR="00672090">
        <w:t xml:space="preserve"> </w:t>
      </w:r>
      <w:r>
        <w:t>J.</w:t>
      </w:r>
      <w:r w:rsidR="00672090">
        <w:t xml:space="preserve"> </w:t>
      </w:r>
      <w:r>
        <w:t xml:space="preserve">G. Pounds, </w:t>
      </w:r>
      <w:r w:rsidRPr="008C1522">
        <w:rPr>
          <w:i/>
        </w:rPr>
        <w:t>A History of the English Parish</w:t>
      </w:r>
      <w:r>
        <w:t xml:space="preserve"> (Cambridge, 2000); B. </w:t>
      </w:r>
      <w:proofErr w:type="spellStart"/>
      <w:r>
        <w:t>Kümin</w:t>
      </w:r>
      <w:proofErr w:type="spellEnd"/>
      <w:r>
        <w:t xml:space="preserve"> (ed.), </w:t>
      </w:r>
      <w:proofErr w:type="spellStart"/>
      <w:r w:rsidRPr="00E91CCD">
        <w:rPr>
          <w:i/>
        </w:rPr>
        <w:t>Landgemeinde</w:t>
      </w:r>
      <w:proofErr w:type="spellEnd"/>
      <w:r w:rsidRPr="00E91CCD">
        <w:rPr>
          <w:i/>
        </w:rPr>
        <w:t xml:space="preserve"> und </w:t>
      </w:r>
      <w:proofErr w:type="spellStart"/>
      <w:r w:rsidRPr="00E91CCD">
        <w:rPr>
          <w:i/>
        </w:rPr>
        <w:t>Kirche</w:t>
      </w:r>
      <w:proofErr w:type="spellEnd"/>
      <w:r w:rsidRPr="00E91CCD">
        <w:rPr>
          <w:i/>
        </w:rPr>
        <w:t xml:space="preserve"> </w:t>
      </w:r>
      <w:proofErr w:type="spellStart"/>
      <w:r w:rsidRPr="00E91CCD">
        <w:rPr>
          <w:i/>
        </w:rPr>
        <w:t>im</w:t>
      </w:r>
      <w:proofErr w:type="spellEnd"/>
      <w:r w:rsidRPr="00E91CCD">
        <w:rPr>
          <w:i/>
        </w:rPr>
        <w:t xml:space="preserve"> </w:t>
      </w:r>
      <w:proofErr w:type="spellStart"/>
      <w:r w:rsidRPr="00E91CCD">
        <w:rPr>
          <w:i/>
        </w:rPr>
        <w:t>Zeitalter</w:t>
      </w:r>
      <w:proofErr w:type="spellEnd"/>
      <w:r w:rsidRPr="00E91CCD">
        <w:rPr>
          <w:i/>
        </w:rPr>
        <w:t xml:space="preserve"> der </w:t>
      </w:r>
      <w:proofErr w:type="spellStart"/>
      <w:r w:rsidRPr="00E91CCD">
        <w:rPr>
          <w:i/>
        </w:rPr>
        <w:t>Konfessionen</w:t>
      </w:r>
      <w:proofErr w:type="spellEnd"/>
      <w:r>
        <w:t xml:space="preserve"> (Zurich, 2004); C. Burgess and E. Duffy (</w:t>
      </w:r>
      <w:proofErr w:type="spellStart"/>
      <w:r>
        <w:t>eds</w:t>
      </w:r>
      <w:proofErr w:type="spellEnd"/>
      <w:r>
        <w:t xml:space="preserve">), </w:t>
      </w:r>
      <w:r w:rsidRPr="00281191">
        <w:rPr>
          <w:i/>
        </w:rPr>
        <w:t>The Parish in Late Medieval England</w:t>
      </w:r>
      <w:r>
        <w:t xml:space="preserve"> (</w:t>
      </w:r>
      <w:proofErr w:type="spellStart"/>
      <w:r>
        <w:t>Donington</w:t>
      </w:r>
      <w:proofErr w:type="spellEnd"/>
      <w:r>
        <w:t xml:space="preserve">, 2006); N. </w:t>
      </w:r>
      <w:proofErr w:type="spellStart"/>
      <w:r>
        <w:t>Kruppa</w:t>
      </w:r>
      <w:proofErr w:type="spellEnd"/>
      <w:r>
        <w:t xml:space="preserve"> (ed.), </w:t>
      </w:r>
      <w:proofErr w:type="spellStart"/>
      <w:r w:rsidRPr="00281191">
        <w:rPr>
          <w:i/>
        </w:rPr>
        <w:t>Pfarreien</w:t>
      </w:r>
      <w:proofErr w:type="spellEnd"/>
      <w:r w:rsidRPr="00281191">
        <w:rPr>
          <w:i/>
        </w:rPr>
        <w:t xml:space="preserve"> </w:t>
      </w:r>
      <w:proofErr w:type="spellStart"/>
      <w:r w:rsidRPr="00281191">
        <w:rPr>
          <w:i/>
        </w:rPr>
        <w:t>im</w:t>
      </w:r>
      <w:proofErr w:type="spellEnd"/>
      <w:r w:rsidRPr="00281191">
        <w:rPr>
          <w:i/>
        </w:rPr>
        <w:t xml:space="preserve"> </w:t>
      </w:r>
      <w:proofErr w:type="spellStart"/>
      <w:r w:rsidRPr="00281191">
        <w:rPr>
          <w:i/>
        </w:rPr>
        <w:t>Mittelalter</w:t>
      </w:r>
      <w:proofErr w:type="spellEnd"/>
      <w:r w:rsidRPr="00281191">
        <w:rPr>
          <w:i/>
        </w:rPr>
        <w:t xml:space="preserve">: Deutschland, </w:t>
      </w:r>
      <w:proofErr w:type="spellStart"/>
      <w:r w:rsidRPr="00281191">
        <w:rPr>
          <w:i/>
        </w:rPr>
        <w:t>Polen</w:t>
      </w:r>
      <w:proofErr w:type="spellEnd"/>
      <w:r w:rsidRPr="00281191">
        <w:rPr>
          <w:i/>
        </w:rPr>
        <w:t xml:space="preserve">, </w:t>
      </w:r>
      <w:proofErr w:type="spellStart"/>
      <w:r w:rsidRPr="00281191">
        <w:rPr>
          <w:i/>
        </w:rPr>
        <w:t>Tschechien</w:t>
      </w:r>
      <w:proofErr w:type="spellEnd"/>
      <w:r w:rsidRPr="00281191">
        <w:rPr>
          <w:i/>
        </w:rPr>
        <w:t xml:space="preserve"> und </w:t>
      </w:r>
      <w:proofErr w:type="spellStart"/>
      <w:r w:rsidRPr="00281191">
        <w:rPr>
          <w:i/>
        </w:rPr>
        <w:t>Ungarn</w:t>
      </w:r>
      <w:proofErr w:type="spellEnd"/>
      <w:r w:rsidRPr="00281191">
        <w:rPr>
          <w:i/>
        </w:rPr>
        <w:t xml:space="preserve"> </w:t>
      </w:r>
      <w:proofErr w:type="spellStart"/>
      <w:r w:rsidRPr="00281191">
        <w:rPr>
          <w:i/>
        </w:rPr>
        <w:t>im</w:t>
      </w:r>
      <w:proofErr w:type="spellEnd"/>
      <w:r w:rsidRPr="00281191">
        <w:rPr>
          <w:i/>
        </w:rPr>
        <w:t xml:space="preserve"> </w:t>
      </w:r>
      <w:proofErr w:type="spellStart"/>
      <w:r w:rsidRPr="00281191">
        <w:rPr>
          <w:i/>
        </w:rPr>
        <w:t>Vergleich</w:t>
      </w:r>
      <w:proofErr w:type="spellEnd"/>
      <w:r>
        <w:t xml:space="preserve"> (</w:t>
      </w:r>
      <w:proofErr w:type="spellStart"/>
      <w:r>
        <w:t>Göttingen</w:t>
      </w:r>
      <w:proofErr w:type="spellEnd"/>
      <w:r>
        <w:t xml:space="preserve">, 2008); D. </w:t>
      </w:r>
      <w:proofErr w:type="spellStart"/>
      <w:r>
        <w:t>Dyas</w:t>
      </w:r>
      <w:proofErr w:type="spellEnd"/>
      <w:r>
        <w:t xml:space="preserve"> (ed.), </w:t>
      </w:r>
      <w:r w:rsidRPr="00281191">
        <w:rPr>
          <w:i/>
        </w:rPr>
        <w:t>The English Parish Church through the Centuries</w:t>
      </w:r>
      <w:r>
        <w:t xml:space="preserve"> (interactive DVD, York, 2010</w:t>
      </w:r>
      <w:r w:rsidRPr="00281191">
        <w:rPr>
          <w:rFonts w:cs="Times New Roman"/>
        </w:rPr>
        <w:t xml:space="preserve">); A. </w:t>
      </w:r>
      <w:proofErr w:type="spellStart"/>
      <w:r w:rsidRPr="00281191">
        <w:rPr>
          <w:rFonts w:cs="Times New Roman"/>
        </w:rPr>
        <w:t>Bonzon</w:t>
      </w:r>
      <w:proofErr w:type="spellEnd"/>
      <w:r w:rsidRPr="00281191">
        <w:rPr>
          <w:rFonts w:cs="Times New Roman"/>
        </w:rPr>
        <w:t xml:space="preserve">, P. </w:t>
      </w:r>
      <w:proofErr w:type="spellStart"/>
      <w:r w:rsidRPr="00281191">
        <w:rPr>
          <w:rFonts w:cs="Times New Roman"/>
        </w:rPr>
        <w:t>Guignet</w:t>
      </w:r>
      <w:proofErr w:type="spellEnd"/>
      <w:r w:rsidRPr="00281191">
        <w:rPr>
          <w:rFonts w:cs="Times New Roman"/>
        </w:rPr>
        <w:t xml:space="preserve"> and M. </w:t>
      </w:r>
      <w:proofErr w:type="spellStart"/>
      <w:r w:rsidRPr="00281191">
        <w:rPr>
          <w:rFonts w:cs="Times New Roman"/>
        </w:rPr>
        <w:t>Venard</w:t>
      </w:r>
      <w:proofErr w:type="spellEnd"/>
      <w:r w:rsidRPr="00281191">
        <w:rPr>
          <w:rFonts w:cs="Times New Roman"/>
        </w:rPr>
        <w:t xml:space="preserve"> (</w:t>
      </w:r>
      <w:proofErr w:type="spellStart"/>
      <w:r w:rsidRPr="00281191">
        <w:rPr>
          <w:rFonts w:cs="Times New Roman"/>
        </w:rPr>
        <w:t>eds</w:t>
      </w:r>
      <w:proofErr w:type="spellEnd"/>
      <w:r w:rsidRPr="00281191">
        <w:rPr>
          <w:rFonts w:cs="Times New Roman"/>
        </w:rPr>
        <w:t xml:space="preserve">), </w:t>
      </w:r>
      <w:r w:rsidRPr="00281191">
        <w:rPr>
          <w:rFonts w:cs="Times New Roman"/>
          <w:i/>
        </w:rPr>
        <w:t xml:space="preserve">La </w:t>
      </w:r>
      <w:proofErr w:type="spellStart"/>
      <w:r w:rsidRPr="00281191">
        <w:rPr>
          <w:rFonts w:cs="Times New Roman"/>
          <w:i/>
        </w:rPr>
        <w:t>paroisse</w:t>
      </w:r>
      <w:proofErr w:type="spellEnd"/>
      <w:r w:rsidRPr="00281191">
        <w:rPr>
          <w:rFonts w:cs="Times New Roman"/>
          <w:i/>
        </w:rPr>
        <w:t xml:space="preserve"> </w:t>
      </w:r>
      <w:proofErr w:type="spellStart"/>
      <w:r w:rsidRPr="00281191">
        <w:rPr>
          <w:rFonts w:cs="Times New Roman"/>
          <w:i/>
        </w:rPr>
        <w:t>urbaine</w:t>
      </w:r>
      <w:proofErr w:type="spellEnd"/>
      <w:r w:rsidRPr="00281191">
        <w:rPr>
          <w:rFonts w:cs="Times New Roman"/>
          <w:i/>
        </w:rPr>
        <w:t xml:space="preserve">: du </w:t>
      </w:r>
      <w:proofErr w:type="spellStart"/>
      <w:r w:rsidRPr="00281191">
        <w:rPr>
          <w:rFonts w:cs="Times New Roman"/>
          <w:i/>
        </w:rPr>
        <w:t>Moyen</w:t>
      </w:r>
      <w:proofErr w:type="spellEnd"/>
      <w:r w:rsidRPr="00281191">
        <w:rPr>
          <w:rFonts w:cs="Times New Roman"/>
          <w:i/>
        </w:rPr>
        <w:t xml:space="preserve"> Age à </w:t>
      </w:r>
      <w:proofErr w:type="spellStart"/>
      <w:r w:rsidRPr="00281191">
        <w:rPr>
          <w:rFonts w:cs="Times New Roman"/>
          <w:i/>
        </w:rPr>
        <w:t>nos</w:t>
      </w:r>
      <w:proofErr w:type="spellEnd"/>
      <w:r w:rsidRPr="00281191">
        <w:rPr>
          <w:rFonts w:cs="Times New Roman"/>
          <w:i/>
        </w:rPr>
        <w:t xml:space="preserve"> </w:t>
      </w:r>
      <w:proofErr w:type="spellStart"/>
      <w:r w:rsidRPr="00281191">
        <w:rPr>
          <w:rFonts w:cs="Times New Roman"/>
          <w:i/>
        </w:rPr>
        <w:t>jours</w:t>
      </w:r>
      <w:proofErr w:type="spellEnd"/>
      <w:r w:rsidRPr="00281191">
        <w:rPr>
          <w:rFonts w:cs="Times New Roman"/>
          <w:i/>
        </w:rPr>
        <w:t xml:space="preserve"> </w:t>
      </w:r>
      <w:r w:rsidRPr="00281191">
        <w:rPr>
          <w:rFonts w:cs="Times New Roman"/>
        </w:rPr>
        <w:t xml:space="preserve">(Paris, 2014); </w:t>
      </w:r>
      <w:r w:rsidRPr="00281191">
        <w:rPr>
          <w:rFonts w:cs="Times New Roman"/>
          <w:lang w:val="en-US"/>
        </w:rPr>
        <w:t xml:space="preserve">P. </w:t>
      </w:r>
      <w:proofErr w:type="spellStart"/>
      <w:r w:rsidRPr="00281191">
        <w:rPr>
          <w:rFonts w:cs="Times New Roman"/>
          <w:lang w:val="en-US"/>
        </w:rPr>
        <w:t>Cozzo</w:t>
      </w:r>
      <w:proofErr w:type="spellEnd"/>
      <w:r w:rsidRPr="00281191">
        <w:rPr>
          <w:rFonts w:cs="Times New Roman"/>
          <w:lang w:val="en-US"/>
        </w:rPr>
        <w:t xml:space="preserve">, </w:t>
      </w:r>
      <w:proofErr w:type="spellStart"/>
      <w:r w:rsidRPr="00281191">
        <w:rPr>
          <w:rStyle w:val="Emphasis"/>
          <w:rFonts w:cs="Times New Roman"/>
          <w:lang w:val="en-US"/>
        </w:rPr>
        <w:t>Andate</w:t>
      </w:r>
      <w:proofErr w:type="spellEnd"/>
      <w:r w:rsidRPr="00281191">
        <w:rPr>
          <w:rStyle w:val="Emphasis"/>
          <w:rFonts w:cs="Times New Roman"/>
          <w:lang w:val="en-US"/>
        </w:rPr>
        <w:t xml:space="preserve"> in pace: </w:t>
      </w:r>
      <w:proofErr w:type="spellStart"/>
      <w:r w:rsidRPr="00281191">
        <w:rPr>
          <w:rStyle w:val="Emphasis"/>
          <w:rFonts w:cs="Times New Roman"/>
          <w:lang w:val="en-US"/>
        </w:rPr>
        <w:t>Parroci</w:t>
      </w:r>
      <w:proofErr w:type="spellEnd"/>
      <w:r w:rsidRPr="00281191">
        <w:rPr>
          <w:rStyle w:val="Emphasis"/>
          <w:rFonts w:cs="Times New Roman"/>
          <w:lang w:val="en-US"/>
        </w:rPr>
        <w:t xml:space="preserve"> e </w:t>
      </w:r>
      <w:proofErr w:type="spellStart"/>
      <w:r w:rsidRPr="00281191">
        <w:rPr>
          <w:rStyle w:val="Emphasis"/>
          <w:rFonts w:cs="Times New Roman"/>
          <w:lang w:val="en-US"/>
        </w:rPr>
        <w:t>parrocchie</w:t>
      </w:r>
      <w:proofErr w:type="spellEnd"/>
      <w:r w:rsidRPr="00281191">
        <w:rPr>
          <w:rStyle w:val="Emphasis"/>
          <w:rFonts w:cs="Times New Roman"/>
          <w:lang w:val="en-US"/>
        </w:rPr>
        <w:t xml:space="preserve"> in Italia dal </w:t>
      </w:r>
      <w:proofErr w:type="spellStart"/>
      <w:r w:rsidRPr="00281191">
        <w:rPr>
          <w:rStyle w:val="Emphasis"/>
          <w:rFonts w:cs="Times New Roman"/>
          <w:lang w:val="en-US"/>
        </w:rPr>
        <w:t>Concilio</w:t>
      </w:r>
      <w:proofErr w:type="spellEnd"/>
      <w:r w:rsidRPr="00281191">
        <w:rPr>
          <w:rStyle w:val="Emphasis"/>
          <w:rFonts w:cs="Times New Roman"/>
          <w:lang w:val="en-US"/>
        </w:rPr>
        <w:t xml:space="preserve"> di Trento a papa Francesco</w:t>
      </w:r>
      <w:r w:rsidRPr="00281191">
        <w:rPr>
          <w:rFonts w:cs="Times New Roman"/>
          <w:lang w:val="en-US"/>
        </w:rPr>
        <w:t xml:space="preserve"> (Rom</w:t>
      </w:r>
      <w:r>
        <w:rPr>
          <w:rFonts w:cs="Times New Roman"/>
          <w:lang w:val="en-US"/>
        </w:rPr>
        <w:t>e</w:t>
      </w:r>
      <w:r w:rsidRPr="00281191">
        <w:rPr>
          <w:rFonts w:cs="Times New Roman"/>
          <w:lang w:val="en-US"/>
        </w:rPr>
        <w:t>, 2014)</w:t>
      </w:r>
      <w:r>
        <w:rPr>
          <w:rFonts w:cs="Times New Roman"/>
          <w:lang w:val="en-US"/>
        </w:rPr>
        <w:t xml:space="preserve">; for further information on publications, projects and sources see the online research platform </w:t>
      </w:r>
      <w:hyperlink r:id="rId1" w:history="1">
        <w:r w:rsidRPr="0053342E">
          <w:rPr>
            <w:rStyle w:val="Hyperlink"/>
            <w:rFonts w:cs="Times New Roman"/>
            <w:lang w:val="en-US"/>
          </w:rPr>
          <w:t>http://my-parish.org</w:t>
        </w:r>
      </w:hyperlink>
      <w:r>
        <w:rPr>
          <w:rFonts w:cs="Times New Roman"/>
          <w:lang w:val="en-US"/>
        </w:rPr>
        <w:t xml:space="preserve"> (accessed 30 January 2015).</w:t>
      </w:r>
    </w:p>
  </w:footnote>
  <w:footnote w:id="4">
    <w:p w:rsidR="0078277E" w:rsidRPr="00902CC3" w:rsidRDefault="0078277E">
      <w:pPr>
        <w:pStyle w:val="FootnoteText"/>
        <w:rPr>
          <w:rFonts w:cs="Times New Roman"/>
        </w:rPr>
      </w:pPr>
      <w:r w:rsidRPr="00902CC3">
        <w:rPr>
          <w:rStyle w:val="FootnoteReference"/>
          <w:rFonts w:cs="Times New Roman"/>
        </w:rPr>
        <w:footnoteRef/>
      </w:r>
      <w:r w:rsidRPr="00902CC3">
        <w:rPr>
          <w:rFonts w:cs="Times New Roman"/>
        </w:rPr>
        <w:t xml:space="preserve"> Susan C. </w:t>
      </w:r>
      <w:proofErr w:type="spellStart"/>
      <w:r w:rsidRPr="00902CC3">
        <w:rPr>
          <w:rFonts w:cs="Times New Roman"/>
        </w:rPr>
        <w:t>Karant</w:t>
      </w:r>
      <w:proofErr w:type="spellEnd"/>
      <w:r w:rsidRPr="00902CC3">
        <w:rPr>
          <w:rFonts w:cs="Times New Roman"/>
        </w:rPr>
        <w:t xml:space="preserve">-Nunn, ‘Afterword’, in Spicer (ed.), </w:t>
      </w:r>
      <w:r w:rsidRPr="00902CC3">
        <w:rPr>
          <w:rFonts w:cs="Times New Roman"/>
          <w:i/>
        </w:rPr>
        <w:t>Lutheran Churches</w:t>
      </w:r>
      <w:r w:rsidRPr="00902CC3">
        <w:rPr>
          <w:rFonts w:cs="Times New Roman"/>
        </w:rPr>
        <w:t xml:space="preserve">, 483-92; cf. S. Rau and G. </w:t>
      </w:r>
      <w:proofErr w:type="spellStart"/>
      <w:r w:rsidRPr="00902CC3">
        <w:rPr>
          <w:rFonts w:cs="Times New Roman"/>
        </w:rPr>
        <w:t>Schwerhoff</w:t>
      </w:r>
      <w:proofErr w:type="spellEnd"/>
      <w:r w:rsidRPr="00902CC3">
        <w:rPr>
          <w:rFonts w:cs="Times New Roman"/>
        </w:rPr>
        <w:t xml:space="preserve"> (</w:t>
      </w:r>
      <w:proofErr w:type="spellStart"/>
      <w:r w:rsidRPr="00902CC3">
        <w:rPr>
          <w:rFonts w:cs="Times New Roman"/>
        </w:rPr>
        <w:t>eds</w:t>
      </w:r>
      <w:proofErr w:type="spellEnd"/>
      <w:r w:rsidRPr="00902CC3">
        <w:rPr>
          <w:rFonts w:cs="Times New Roman"/>
        </w:rPr>
        <w:t xml:space="preserve">), </w:t>
      </w:r>
      <w:proofErr w:type="spellStart"/>
      <w:r w:rsidRPr="00902CC3">
        <w:rPr>
          <w:rFonts w:cs="Times New Roman"/>
          <w:i/>
        </w:rPr>
        <w:t>Topographien</w:t>
      </w:r>
      <w:proofErr w:type="spellEnd"/>
      <w:r w:rsidRPr="00902CC3">
        <w:rPr>
          <w:rFonts w:cs="Times New Roman"/>
          <w:i/>
        </w:rPr>
        <w:t xml:space="preserve"> des </w:t>
      </w:r>
      <w:proofErr w:type="spellStart"/>
      <w:r w:rsidRPr="00902CC3">
        <w:rPr>
          <w:rFonts w:cs="Times New Roman"/>
          <w:i/>
        </w:rPr>
        <w:t>Sakralen</w:t>
      </w:r>
      <w:proofErr w:type="spellEnd"/>
      <w:r w:rsidRPr="00902CC3">
        <w:rPr>
          <w:rFonts w:cs="Times New Roman"/>
          <w:i/>
        </w:rPr>
        <w:t xml:space="preserve">: Religion und </w:t>
      </w:r>
      <w:proofErr w:type="spellStart"/>
      <w:r w:rsidRPr="00902CC3">
        <w:rPr>
          <w:rFonts w:cs="Times New Roman"/>
          <w:i/>
        </w:rPr>
        <w:t>Raumordnung</w:t>
      </w:r>
      <w:proofErr w:type="spellEnd"/>
      <w:r w:rsidRPr="00902CC3">
        <w:rPr>
          <w:rFonts w:cs="Times New Roman"/>
          <w:i/>
        </w:rPr>
        <w:t xml:space="preserve"> in der </w:t>
      </w:r>
      <w:proofErr w:type="spellStart"/>
      <w:r w:rsidRPr="00902CC3">
        <w:rPr>
          <w:rFonts w:cs="Times New Roman"/>
          <w:i/>
        </w:rPr>
        <w:t>Vormoderne</w:t>
      </w:r>
      <w:proofErr w:type="spellEnd"/>
      <w:r w:rsidRPr="00902CC3">
        <w:rPr>
          <w:rFonts w:cs="Times New Roman"/>
        </w:rPr>
        <w:t xml:space="preserve"> (</w:t>
      </w:r>
      <w:proofErr w:type="spellStart"/>
      <w:r w:rsidRPr="00902CC3">
        <w:rPr>
          <w:rFonts w:cs="Times New Roman"/>
        </w:rPr>
        <w:t>München</w:t>
      </w:r>
      <w:proofErr w:type="spellEnd"/>
      <w:r w:rsidRPr="00902CC3">
        <w:rPr>
          <w:rFonts w:cs="Times New Roman"/>
        </w:rPr>
        <w:t>, 2008)</w:t>
      </w:r>
      <w:r w:rsidR="003A7FCB">
        <w:rPr>
          <w:rFonts w:cs="Times New Roman"/>
        </w:rPr>
        <w:t xml:space="preserve"> and most recently P. Stock (ed.)</w:t>
      </w:r>
      <w:r w:rsidR="003A7FCB">
        <w:rPr>
          <w:rFonts w:cs="Times New Roman"/>
        </w:rPr>
        <w:t xml:space="preserve">, </w:t>
      </w:r>
      <w:r w:rsidR="003A7FCB" w:rsidRPr="003A7FCB">
        <w:rPr>
          <w:rFonts w:cs="Times New Roman"/>
          <w:i/>
        </w:rPr>
        <w:t>The Uses of Space in Early Modern History</w:t>
      </w:r>
      <w:r w:rsidR="003A7FCB">
        <w:rPr>
          <w:rFonts w:cs="Times New Roman"/>
        </w:rPr>
        <w:t xml:space="preserve"> (Basingstoke, 2015)</w:t>
      </w:r>
      <w:r w:rsidRPr="00902CC3">
        <w:rPr>
          <w:rFonts w:cs="Times New Roman"/>
        </w:rPr>
        <w:t xml:space="preserve">; </w:t>
      </w:r>
      <w:bookmarkStart w:id="0" w:name="_GoBack"/>
      <w:bookmarkEnd w:id="0"/>
      <w:r w:rsidRPr="00902CC3">
        <w:rPr>
          <w:rFonts w:cs="Times New Roman"/>
        </w:rPr>
        <w:t xml:space="preserve">P. Burke, </w:t>
      </w:r>
      <w:r w:rsidRPr="00902CC3">
        <w:rPr>
          <w:rFonts w:cs="Times New Roman"/>
          <w:i/>
        </w:rPr>
        <w:t>What is Cultural History?</w:t>
      </w:r>
      <w:r w:rsidRPr="00902CC3">
        <w:rPr>
          <w:rFonts w:cs="Times New Roman"/>
        </w:rPr>
        <w:t xml:space="preserve"> </w:t>
      </w:r>
      <w:proofErr w:type="gramStart"/>
      <w:r w:rsidRPr="00902CC3">
        <w:rPr>
          <w:rFonts w:cs="Times New Roman"/>
        </w:rPr>
        <w:t xml:space="preserve">(2nd </w:t>
      </w:r>
      <w:proofErr w:type="spellStart"/>
      <w:r w:rsidRPr="00902CC3">
        <w:rPr>
          <w:rFonts w:cs="Times New Roman"/>
        </w:rPr>
        <w:t>edn</w:t>
      </w:r>
      <w:proofErr w:type="spellEnd"/>
      <w:r w:rsidRPr="00902CC3">
        <w:rPr>
          <w:rFonts w:cs="Times New Roman"/>
        </w:rPr>
        <w:t>, Cambridge, 2008).</w:t>
      </w:r>
      <w:proofErr w:type="gramEnd"/>
    </w:p>
  </w:footnote>
  <w:footnote w:id="5">
    <w:p w:rsidR="0078277E" w:rsidRPr="00902CC3" w:rsidRDefault="0078277E">
      <w:pPr>
        <w:pStyle w:val="FootnoteText"/>
        <w:rPr>
          <w:rFonts w:cs="Times New Roman"/>
        </w:rPr>
      </w:pPr>
      <w:r w:rsidRPr="00902CC3">
        <w:rPr>
          <w:rStyle w:val="FootnoteReference"/>
          <w:rFonts w:cs="Times New Roman"/>
        </w:rPr>
        <w:footnoteRef/>
      </w:r>
      <w:r w:rsidRPr="00902CC3">
        <w:rPr>
          <w:rFonts w:cs="Times New Roman"/>
        </w:rPr>
        <w:t xml:space="preserve"> In what follows, the essays in this volume </w:t>
      </w:r>
      <w:r>
        <w:rPr>
          <w:rFonts w:cs="Times New Roman"/>
        </w:rPr>
        <w:t>will be</w:t>
      </w:r>
      <w:r w:rsidRPr="00902CC3">
        <w:rPr>
          <w:rFonts w:cs="Times New Roman"/>
        </w:rPr>
        <w:t xml:space="preserve"> referred to by their authors’ surname.</w:t>
      </w:r>
    </w:p>
  </w:footnote>
  <w:footnote w:id="6">
    <w:p w:rsidR="0078277E" w:rsidRPr="00902CC3" w:rsidRDefault="0078277E" w:rsidP="008E7F9F">
      <w:pPr>
        <w:pStyle w:val="FootnoteText"/>
        <w:rPr>
          <w:rFonts w:cs="Times New Roman"/>
        </w:rPr>
      </w:pPr>
      <w:r w:rsidRPr="00902CC3">
        <w:rPr>
          <w:rStyle w:val="FootnoteReference"/>
          <w:rFonts w:cs="Times New Roman"/>
        </w:rPr>
        <w:footnoteRef/>
      </w:r>
      <w:r w:rsidRPr="00902CC3">
        <w:rPr>
          <w:rFonts w:cs="Times New Roman"/>
        </w:rPr>
        <w:t xml:space="preserve"> ‘</w:t>
      </w:r>
      <w:r w:rsidRPr="00902CC3">
        <w:rPr>
          <w:rStyle w:val="hbodytext1"/>
          <w:rFonts w:ascii="Times New Roman" w:hAnsi="Times New Roman" w:cs="Times New Roman"/>
          <w:sz w:val="20"/>
          <w:szCs w:val="20"/>
        </w:rPr>
        <w:t>The Canons of the Fourth Lateran Council’ (1215), no. 21, in: Internet History Sourcebook ˂http://www.fordham.edu/</w:t>
      </w:r>
      <w:proofErr w:type="spellStart"/>
      <w:r w:rsidRPr="00902CC3">
        <w:rPr>
          <w:rStyle w:val="hbodytext1"/>
          <w:rFonts w:ascii="Times New Roman" w:hAnsi="Times New Roman" w:cs="Times New Roman"/>
          <w:sz w:val="20"/>
          <w:szCs w:val="20"/>
        </w:rPr>
        <w:t>halsall</w:t>
      </w:r>
      <w:proofErr w:type="spellEnd"/>
      <w:r w:rsidRPr="00902CC3">
        <w:rPr>
          <w:rStyle w:val="hbodytext1"/>
          <w:rFonts w:ascii="Times New Roman" w:hAnsi="Times New Roman" w:cs="Times New Roman"/>
          <w:sz w:val="20"/>
          <w:szCs w:val="20"/>
        </w:rPr>
        <w:t>/basis/lateran4.asp˃ (accessed 29 January 2015).</w:t>
      </w:r>
    </w:p>
  </w:footnote>
  <w:footnote w:id="7">
    <w:p w:rsidR="0078277E" w:rsidRPr="00902CC3" w:rsidRDefault="0078277E">
      <w:pPr>
        <w:pStyle w:val="FootnoteText"/>
        <w:rPr>
          <w:rFonts w:cs="Times New Roman"/>
        </w:rPr>
      </w:pPr>
      <w:r w:rsidRPr="00902CC3">
        <w:rPr>
          <w:rStyle w:val="FootnoteReference"/>
          <w:rFonts w:cs="Times New Roman"/>
        </w:rPr>
        <w:footnoteRef/>
      </w:r>
      <w:r w:rsidRPr="00902CC3">
        <w:rPr>
          <w:rFonts w:cs="Times New Roman"/>
        </w:rPr>
        <w:t xml:space="preserve"> A seminal study for England is C. Burgess, </w:t>
      </w:r>
      <w:r w:rsidRPr="00902CC3">
        <w:rPr>
          <w:rFonts w:cs="Times New Roman"/>
          <w:lang w:val="en-US"/>
        </w:rPr>
        <w:t>‘“For the increase of divine service”: chantries in the parish in late medieval Bristol’, </w:t>
      </w:r>
      <w:r w:rsidRPr="00902CC3">
        <w:rPr>
          <w:rStyle w:val="Emphasis"/>
          <w:rFonts w:cs="Times New Roman"/>
          <w:lang w:val="en-US"/>
        </w:rPr>
        <w:t>Journal of Ecclesiastical History</w:t>
      </w:r>
      <w:r w:rsidRPr="00902CC3">
        <w:rPr>
          <w:rFonts w:cs="Times New Roman"/>
          <w:lang w:val="en-US"/>
        </w:rPr>
        <w:t xml:space="preserve"> 36 (1985), 46-65; see also the ingenious 3-D modelling of architectural developments in </w:t>
      </w:r>
      <w:proofErr w:type="spellStart"/>
      <w:r w:rsidRPr="00902CC3">
        <w:rPr>
          <w:rFonts w:cs="Times New Roman"/>
          <w:lang w:val="en-US"/>
        </w:rPr>
        <w:t>Dyas</w:t>
      </w:r>
      <w:proofErr w:type="spellEnd"/>
      <w:r w:rsidRPr="00902CC3">
        <w:rPr>
          <w:rFonts w:cs="Times New Roman"/>
          <w:lang w:val="en-US"/>
        </w:rPr>
        <w:t xml:space="preserve"> (ed.), </w:t>
      </w:r>
      <w:r w:rsidRPr="00902CC3">
        <w:rPr>
          <w:rFonts w:cs="Times New Roman"/>
          <w:i/>
          <w:lang w:val="en-US"/>
        </w:rPr>
        <w:t>Parish Church</w:t>
      </w:r>
      <w:r w:rsidRPr="00902CC3">
        <w:rPr>
          <w:rFonts w:cs="Times New Roman"/>
          <w:lang w:val="en-US"/>
        </w:rPr>
        <w:t>.</w:t>
      </w:r>
    </w:p>
  </w:footnote>
  <w:footnote w:id="8">
    <w:p w:rsidR="0078277E" w:rsidRDefault="0078277E">
      <w:pPr>
        <w:pStyle w:val="FootnoteText"/>
      </w:pPr>
      <w:r w:rsidRPr="00902CC3">
        <w:rPr>
          <w:rStyle w:val="FootnoteReference"/>
          <w:rFonts w:cs="Times New Roman"/>
        </w:rPr>
        <w:footnoteRef/>
      </w:r>
      <w:r w:rsidRPr="00902CC3">
        <w:rPr>
          <w:rFonts w:cs="Times New Roman"/>
        </w:rPr>
        <w:t xml:space="preserve"> </w:t>
      </w:r>
      <w:proofErr w:type="gramStart"/>
      <w:r w:rsidRPr="00902CC3">
        <w:rPr>
          <w:rFonts w:cs="Times New Roman"/>
        </w:rPr>
        <w:t>Woodcock and Tingle.</w:t>
      </w:r>
      <w:proofErr w:type="gramEnd"/>
    </w:p>
  </w:footnote>
  <w:footnote w:id="9">
    <w:p w:rsidR="0078277E" w:rsidRDefault="0078277E">
      <w:pPr>
        <w:pStyle w:val="FootnoteText"/>
      </w:pPr>
      <w:r>
        <w:rPr>
          <w:rStyle w:val="FootnoteReference"/>
        </w:rPr>
        <w:footnoteRef/>
      </w:r>
      <w:r>
        <w:t xml:space="preserve"> E. Duffy, </w:t>
      </w:r>
      <w:r w:rsidRPr="001D1897">
        <w:rPr>
          <w:i/>
        </w:rPr>
        <w:t xml:space="preserve">The Stripping of the Altars: Traditional Religion in England </w:t>
      </w:r>
      <w:r w:rsidRPr="001D1897">
        <w:t>c</w:t>
      </w:r>
      <w:r w:rsidRPr="001D1897">
        <w:rPr>
          <w:i/>
        </w:rPr>
        <w:t>.1400-</w:t>
      </w:r>
      <w:r w:rsidRPr="001D1897">
        <w:t>c</w:t>
      </w:r>
      <w:r w:rsidRPr="001D1897">
        <w:rPr>
          <w:i/>
        </w:rPr>
        <w:t>.1580</w:t>
      </w:r>
      <w:r>
        <w:t xml:space="preserve"> (2nd </w:t>
      </w:r>
      <w:proofErr w:type="spellStart"/>
      <w:r>
        <w:t>edn</w:t>
      </w:r>
      <w:proofErr w:type="spellEnd"/>
      <w:r>
        <w:t xml:space="preserve">, New Haven, 2005); R. Whiting, </w:t>
      </w:r>
      <w:r w:rsidRPr="001D1897">
        <w:rPr>
          <w:i/>
        </w:rPr>
        <w:t>The Reformation of the English Parish Church</w:t>
      </w:r>
      <w:r>
        <w:t xml:space="preserve"> (Cambridge, 2010); K. </w:t>
      </w:r>
      <w:proofErr w:type="spellStart"/>
      <w:r>
        <w:t>Fincham</w:t>
      </w:r>
      <w:proofErr w:type="spellEnd"/>
      <w:r>
        <w:t xml:space="preserve"> and N. </w:t>
      </w:r>
      <w:proofErr w:type="spellStart"/>
      <w:r>
        <w:t>Tyacke</w:t>
      </w:r>
      <w:proofErr w:type="spellEnd"/>
      <w:r>
        <w:t xml:space="preserve">, </w:t>
      </w:r>
      <w:r w:rsidRPr="00D20973">
        <w:rPr>
          <w:i/>
        </w:rPr>
        <w:t xml:space="preserve">Altars Restored: The Changing Face of English Religious Worship 1547- </w:t>
      </w:r>
      <w:r w:rsidRPr="00D20973">
        <w:t>c</w:t>
      </w:r>
      <w:r w:rsidRPr="00D20973">
        <w:rPr>
          <w:i/>
        </w:rPr>
        <w:t>.1700</w:t>
      </w:r>
      <w:r>
        <w:t xml:space="preserve"> (Oxford, 2007).</w:t>
      </w:r>
    </w:p>
  </w:footnote>
  <w:footnote w:id="10">
    <w:p w:rsidR="0078277E" w:rsidRDefault="0078277E">
      <w:pPr>
        <w:pStyle w:val="FootnoteText"/>
      </w:pPr>
      <w:r>
        <w:rPr>
          <w:rStyle w:val="FootnoteReference"/>
        </w:rPr>
        <w:footnoteRef/>
      </w:r>
      <w:r>
        <w:t xml:space="preserve"> </w:t>
      </w:r>
      <w:proofErr w:type="gramStart"/>
      <w:r>
        <w:t xml:space="preserve">Fisher </w:t>
      </w:r>
      <w:proofErr w:type="spellStart"/>
      <w:r>
        <w:t>Gray</w:t>
      </w:r>
      <w:proofErr w:type="spellEnd"/>
      <w:r>
        <w:t>.</w:t>
      </w:r>
      <w:proofErr w:type="gramEnd"/>
    </w:p>
  </w:footnote>
  <w:footnote w:id="11">
    <w:p w:rsidR="0078277E" w:rsidRDefault="0078277E">
      <w:pPr>
        <w:pStyle w:val="FootnoteText"/>
      </w:pPr>
      <w:r>
        <w:rPr>
          <w:rStyle w:val="FootnoteReference"/>
        </w:rPr>
        <w:footnoteRef/>
      </w:r>
      <w:r>
        <w:t xml:space="preserve"> </w:t>
      </w:r>
      <w:proofErr w:type="gramStart"/>
      <w:r>
        <w:t xml:space="preserve">Spicer, ‘Parish Temples’; </w:t>
      </w:r>
      <w:proofErr w:type="spellStart"/>
      <w:r>
        <w:t>Lounsbury</w:t>
      </w:r>
      <w:proofErr w:type="spellEnd"/>
      <w:r>
        <w:t>; Redden.</w:t>
      </w:r>
      <w:proofErr w:type="gramEnd"/>
    </w:p>
  </w:footnote>
  <w:footnote w:id="12">
    <w:p w:rsidR="0078277E" w:rsidRDefault="0078277E">
      <w:pPr>
        <w:pStyle w:val="FootnoteText"/>
      </w:pPr>
      <w:r>
        <w:rPr>
          <w:rStyle w:val="FootnoteReference"/>
        </w:rPr>
        <w:footnoteRef/>
      </w:r>
      <w:r>
        <w:t xml:space="preserve"> Alongside religious art, vestments, the celebration of the Eucharist and other indicators: Wetter.</w:t>
      </w:r>
    </w:p>
  </w:footnote>
  <w:footnote w:id="13">
    <w:p w:rsidR="00672090" w:rsidRDefault="00672090">
      <w:pPr>
        <w:pStyle w:val="FootnoteText"/>
      </w:pPr>
      <w:r>
        <w:rPr>
          <w:rStyle w:val="FootnoteReference"/>
        </w:rPr>
        <w:footnoteRef/>
      </w:r>
      <w:r>
        <w:t xml:space="preserve"> Spicer, ‘Introduction’; cf. B. J. Kaplan, </w:t>
      </w:r>
      <w:r w:rsidRPr="00672090">
        <w:rPr>
          <w:i/>
        </w:rPr>
        <w:t>Divided by Faith: Religious Conflict and the Practice of Toleration in Early Modern Europe</w:t>
      </w:r>
      <w:r>
        <w:t xml:space="preserve"> (Cambridge MA, 2007).</w:t>
      </w:r>
    </w:p>
  </w:footnote>
  <w:footnote w:id="14">
    <w:p w:rsidR="0078277E" w:rsidRDefault="0078277E">
      <w:pPr>
        <w:pStyle w:val="FootnoteText"/>
      </w:pPr>
      <w:r>
        <w:rPr>
          <w:rStyle w:val="FootnoteReference"/>
        </w:rPr>
        <w:footnoteRef/>
      </w:r>
      <w:r>
        <w:t xml:space="preserve"> </w:t>
      </w:r>
      <w:proofErr w:type="gramStart"/>
      <w:r>
        <w:t xml:space="preserve">Van </w:t>
      </w:r>
      <w:proofErr w:type="spellStart"/>
      <w:r>
        <w:t>Bruaene</w:t>
      </w:r>
      <w:proofErr w:type="spellEnd"/>
      <w:r w:rsidR="00672090">
        <w:t>;</w:t>
      </w:r>
      <w:r>
        <w:t xml:space="preserve"> Nobel.</w:t>
      </w:r>
      <w:proofErr w:type="gramEnd"/>
    </w:p>
  </w:footnote>
  <w:footnote w:id="15">
    <w:p w:rsidR="0078277E" w:rsidRDefault="0078277E">
      <w:pPr>
        <w:pStyle w:val="FootnoteText"/>
      </w:pPr>
      <w:r>
        <w:rPr>
          <w:rStyle w:val="FootnoteReference"/>
        </w:rPr>
        <w:footnoteRef/>
      </w:r>
      <w:r>
        <w:t xml:space="preserve"> </w:t>
      </w:r>
      <w:proofErr w:type="spellStart"/>
      <w:proofErr w:type="gramStart"/>
      <w:r>
        <w:t>Cavalcanti</w:t>
      </w:r>
      <w:proofErr w:type="spellEnd"/>
      <w:r>
        <w:t xml:space="preserve"> </w:t>
      </w:r>
      <w:proofErr w:type="spellStart"/>
      <w:r>
        <w:t>Filho</w:t>
      </w:r>
      <w:proofErr w:type="spellEnd"/>
      <w:r>
        <w:t xml:space="preserve">; </w:t>
      </w:r>
      <w:proofErr w:type="spellStart"/>
      <w:r>
        <w:t>Kumbera</w:t>
      </w:r>
      <w:proofErr w:type="spellEnd"/>
      <w:r>
        <w:t xml:space="preserve"> </w:t>
      </w:r>
      <w:proofErr w:type="spellStart"/>
      <w:r>
        <w:t>Landrus</w:t>
      </w:r>
      <w:proofErr w:type="spellEnd"/>
      <w:r>
        <w:t>.</w:t>
      </w:r>
      <w:proofErr w:type="gramEnd"/>
    </w:p>
  </w:footnote>
  <w:footnote w:id="16">
    <w:p w:rsidR="0078277E" w:rsidRDefault="0078277E">
      <w:pPr>
        <w:pStyle w:val="FootnoteText"/>
      </w:pPr>
      <w:r>
        <w:rPr>
          <w:rStyle w:val="FootnoteReference"/>
        </w:rPr>
        <w:footnoteRef/>
      </w:r>
      <w:r>
        <w:t xml:space="preserve"> The phenomenon, emphatically denounced by Martin Luther, is documented in a woodcut by Michael </w:t>
      </w:r>
      <w:proofErr w:type="spellStart"/>
      <w:r>
        <w:t>Ostendorfer</w:t>
      </w:r>
      <w:proofErr w:type="spellEnd"/>
      <w:r>
        <w:t xml:space="preserve"> (</w:t>
      </w:r>
      <w:r w:rsidRPr="00D41E7F">
        <w:rPr>
          <w:i/>
        </w:rPr>
        <w:t>c</w:t>
      </w:r>
      <w:r>
        <w:t xml:space="preserve">. 1520): </w:t>
      </w:r>
      <w:hyperlink r:id="rId2" w:history="1">
        <w:r w:rsidRPr="00B10AC0">
          <w:rPr>
            <w:rStyle w:val="Hyperlink"/>
          </w:rPr>
          <w:t>http://www.wga.hu/html_m/o/ostendor/pilgrima.html</w:t>
        </w:r>
      </w:hyperlink>
      <w:r>
        <w:t xml:space="preserve"> (accessed 29 January 2015).</w:t>
      </w:r>
    </w:p>
  </w:footnote>
  <w:footnote w:id="17">
    <w:p w:rsidR="0078277E" w:rsidRDefault="0078277E">
      <w:pPr>
        <w:pStyle w:val="FootnoteText"/>
      </w:pPr>
      <w:r>
        <w:rPr>
          <w:rStyle w:val="FootnoteReference"/>
        </w:rPr>
        <w:footnoteRef/>
      </w:r>
      <w:r>
        <w:t xml:space="preserve"> </w:t>
      </w:r>
      <w:proofErr w:type="spellStart"/>
      <w:proofErr w:type="gramStart"/>
      <w:r>
        <w:t>Kumbera</w:t>
      </w:r>
      <w:proofErr w:type="spellEnd"/>
      <w:r>
        <w:t xml:space="preserve"> </w:t>
      </w:r>
      <w:proofErr w:type="spellStart"/>
      <w:r>
        <w:t>Landrus</w:t>
      </w:r>
      <w:proofErr w:type="spellEnd"/>
      <w:r>
        <w:t>; Spicer, ‘Dutch churches’.</w:t>
      </w:r>
      <w:proofErr w:type="gramEnd"/>
    </w:p>
  </w:footnote>
  <w:footnote w:id="18">
    <w:p w:rsidR="0078277E" w:rsidRDefault="0078277E">
      <w:pPr>
        <w:pStyle w:val="FootnoteText"/>
      </w:pPr>
      <w:r>
        <w:rPr>
          <w:rStyle w:val="FootnoteReference"/>
        </w:rPr>
        <w:footnoteRef/>
      </w:r>
      <w:r>
        <w:t xml:space="preserve"> </w:t>
      </w:r>
      <w:proofErr w:type="spellStart"/>
      <w:proofErr w:type="gramStart"/>
      <w:r>
        <w:t>Cavalcanti</w:t>
      </w:r>
      <w:proofErr w:type="spellEnd"/>
      <w:r>
        <w:t xml:space="preserve"> </w:t>
      </w:r>
      <w:proofErr w:type="spellStart"/>
      <w:r>
        <w:t>Filho</w:t>
      </w:r>
      <w:proofErr w:type="spellEnd"/>
      <w:r>
        <w:t>; Spicer, ‘Dutch churches’.</w:t>
      </w:r>
      <w:proofErr w:type="gramEnd"/>
      <w:r>
        <w:t xml:space="preserve"> </w:t>
      </w:r>
    </w:p>
  </w:footnote>
  <w:footnote w:id="19">
    <w:p w:rsidR="0078277E" w:rsidRDefault="0078277E">
      <w:pPr>
        <w:pStyle w:val="FootnoteText"/>
      </w:pPr>
      <w:r>
        <w:rPr>
          <w:rStyle w:val="FootnoteReference"/>
        </w:rPr>
        <w:footnoteRef/>
      </w:r>
      <w:r>
        <w:t xml:space="preserve"> </w:t>
      </w:r>
      <w:proofErr w:type="gramStart"/>
      <w:r>
        <w:t xml:space="preserve">Cited by </w:t>
      </w:r>
      <w:proofErr w:type="spellStart"/>
      <w:r>
        <w:t>Kumbera</w:t>
      </w:r>
      <w:proofErr w:type="spellEnd"/>
      <w:r>
        <w:t xml:space="preserve"> </w:t>
      </w:r>
      <w:proofErr w:type="spellStart"/>
      <w:r>
        <w:t>Landrus</w:t>
      </w:r>
      <w:proofErr w:type="spellEnd"/>
      <w:r>
        <w:t>.</w:t>
      </w:r>
      <w:proofErr w:type="gramEnd"/>
    </w:p>
  </w:footnote>
  <w:footnote w:id="20">
    <w:p w:rsidR="0078277E" w:rsidRDefault="0078277E">
      <w:pPr>
        <w:pStyle w:val="FootnoteText"/>
      </w:pPr>
      <w:r>
        <w:rPr>
          <w:rStyle w:val="FootnoteReference"/>
        </w:rPr>
        <w:footnoteRef/>
      </w:r>
      <w:r>
        <w:t xml:space="preserve"> R. Hutton, </w:t>
      </w:r>
      <w:proofErr w:type="gramStart"/>
      <w:r w:rsidRPr="00EF1B8C">
        <w:rPr>
          <w:i/>
        </w:rPr>
        <w:t>The</w:t>
      </w:r>
      <w:proofErr w:type="gramEnd"/>
      <w:r w:rsidRPr="00EF1B8C">
        <w:rPr>
          <w:i/>
        </w:rPr>
        <w:t xml:space="preserve"> Rise and Fall of Merry England: The Ritual Year 1400-1700</w:t>
      </w:r>
      <w:r>
        <w:t xml:space="preserve"> (Oxford, 1994); B. </w:t>
      </w:r>
      <w:proofErr w:type="spellStart"/>
      <w:r>
        <w:t>Kümin</w:t>
      </w:r>
      <w:proofErr w:type="spellEnd"/>
      <w:r>
        <w:t>, ‘The secular legacy of the late medieval English parish’, in: Burgess and Duffy (</w:t>
      </w:r>
      <w:proofErr w:type="spellStart"/>
      <w:r>
        <w:t>eds</w:t>
      </w:r>
      <w:proofErr w:type="spellEnd"/>
      <w:r>
        <w:t xml:space="preserve">), </w:t>
      </w:r>
      <w:r w:rsidRPr="00526346">
        <w:rPr>
          <w:i/>
        </w:rPr>
        <w:t>Parish</w:t>
      </w:r>
      <w:r>
        <w:t>, 95-111.</w:t>
      </w:r>
    </w:p>
  </w:footnote>
  <w:footnote w:id="21">
    <w:p w:rsidR="0078277E" w:rsidRDefault="0078277E">
      <w:pPr>
        <w:pStyle w:val="FootnoteText"/>
      </w:pPr>
      <w:r>
        <w:rPr>
          <w:rStyle w:val="FootnoteReference"/>
        </w:rPr>
        <w:footnoteRef/>
      </w:r>
      <w:r>
        <w:t xml:space="preserve"> Tingle highlights the limits of Counter-Reformation efforts to keep the church ‘holy’ in Brittany; cf. the essays in </w:t>
      </w:r>
      <w:proofErr w:type="spellStart"/>
      <w:r>
        <w:t>Coster</w:t>
      </w:r>
      <w:proofErr w:type="spellEnd"/>
      <w:r>
        <w:t xml:space="preserve"> and Spicer (</w:t>
      </w:r>
      <w:proofErr w:type="spellStart"/>
      <w:proofErr w:type="gramStart"/>
      <w:r>
        <w:t>eds</w:t>
      </w:r>
      <w:proofErr w:type="spellEnd"/>
      <w:proofErr w:type="gramEnd"/>
      <w:r>
        <w:t xml:space="preserve">), </w:t>
      </w:r>
      <w:r w:rsidRPr="00BC3E6A">
        <w:rPr>
          <w:i/>
        </w:rPr>
        <w:t>Sacred Space</w:t>
      </w:r>
      <w:r>
        <w:t>.</w:t>
      </w:r>
    </w:p>
  </w:footnote>
  <w:footnote w:id="22">
    <w:p w:rsidR="0078277E" w:rsidRDefault="0078277E">
      <w:pPr>
        <w:pStyle w:val="FootnoteText"/>
      </w:pPr>
      <w:r>
        <w:rPr>
          <w:rStyle w:val="FootnoteReference"/>
        </w:rPr>
        <w:footnoteRef/>
      </w:r>
      <w:r>
        <w:t xml:space="preserve"> </w:t>
      </w:r>
      <w:proofErr w:type="gramStart"/>
      <w:r>
        <w:t xml:space="preserve">Van </w:t>
      </w:r>
      <w:proofErr w:type="spellStart"/>
      <w:r>
        <w:t>Bruaene</w:t>
      </w:r>
      <w:proofErr w:type="spellEnd"/>
      <w:r>
        <w:t xml:space="preserve">; Nobel; </w:t>
      </w:r>
      <w:proofErr w:type="spellStart"/>
      <w:r>
        <w:t>Cr</w:t>
      </w:r>
      <w:r>
        <w:rPr>
          <w:rFonts w:cs="Times New Roman"/>
        </w:rPr>
        <w:t>ặ</w:t>
      </w:r>
      <w:r>
        <w:t>ciun</w:t>
      </w:r>
      <w:proofErr w:type="spellEnd"/>
      <w:r>
        <w:t>.</w:t>
      </w:r>
      <w:proofErr w:type="gramEnd"/>
    </w:p>
  </w:footnote>
  <w:footnote w:id="23">
    <w:p w:rsidR="0078277E" w:rsidRDefault="0078277E">
      <w:pPr>
        <w:pStyle w:val="FootnoteText"/>
      </w:pPr>
      <w:r>
        <w:rPr>
          <w:rStyle w:val="FootnoteReference"/>
        </w:rPr>
        <w:footnoteRef/>
      </w:r>
      <w:r>
        <w:t xml:space="preserve"> </w:t>
      </w:r>
      <w:proofErr w:type="gramStart"/>
      <w:r>
        <w:t xml:space="preserve">Woodcock; Fisher </w:t>
      </w:r>
      <w:proofErr w:type="spellStart"/>
      <w:r>
        <w:t>Gray</w:t>
      </w:r>
      <w:proofErr w:type="spellEnd"/>
      <w:r>
        <w:t>.</w:t>
      </w:r>
      <w:proofErr w:type="gramEnd"/>
    </w:p>
  </w:footnote>
  <w:footnote w:id="24">
    <w:p w:rsidR="0078277E" w:rsidRDefault="0078277E">
      <w:pPr>
        <w:pStyle w:val="FootnoteText"/>
      </w:pPr>
      <w:r>
        <w:rPr>
          <w:rStyle w:val="FootnoteReference"/>
        </w:rPr>
        <w:footnoteRef/>
      </w:r>
      <w:r>
        <w:t xml:space="preserve"> </w:t>
      </w:r>
      <w:r w:rsidR="00B66D74">
        <w:t>In the latter case t</w:t>
      </w:r>
      <w:r>
        <w:t xml:space="preserve">ypically dedicated to SS </w:t>
      </w:r>
      <w:proofErr w:type="spellStart"/>
      <w:r>
        <w:t>Benedito</w:t>
      </w:r>
      <w:proofErr w:type="spellEnd"/>
      <w:r>
        <w:t xml:space="preserve"> and </w:t>
      </w:r>
      <w:proofErr w:type="spellStart"/>
      <w:r>
        <w:t>Efig</w:t>
      </w:r>
      <w:r>
        <w:rPr>
          <w:rFonts w:cs="Times New Roman"/>
        </w:rPr>
        <w:t>ê</w:t>
      </w:r>
      <w:r>
        <w:t>nia</w:t>
      </w:r>
      <w:proofErr w:type="spellEnd"/>
      <w:r>
        <w:t xml:space="preserve">: </w:t>
      </w:r>
      <w:proofErr w:type="spellStart"/>
      <w:r>
        <w:t>Cavalcanti</w:t>
      </w:r>
      <w:proofErr w:type="spellEnd"/>
      <w:r>
        <w:t xml:space="preserve"> </w:t>
      </w:r>
      <w:proofErr w:type="spellStart"/>
      <w:r>
        <w:t>Filho</w:t>
      </w:r>
      <w:proofErr w:type="spellEnd"/>
      <w:r>
        <w:t xml:space="preserve">. To what extent elites withdrew from the parish has been a point of debate elsewhere: see e.g. C. Carpenter, ‘The religion of the gentry of fifteenth-century England’, in: D. Williams (ed.), </w:t>
      </w:r>
      <w:r w:rsidRPr="00902CC3">
        <w:rPr>
          <w:i/>
        </w:rPr>
        <w:t>England in the Fifteenth Century</w:t>
      </w:r>
      <w:r>
        <w:t xml:space="preserve"> (Woodbridge, 1987), 53-74.</w:t>
      </w:r>
    </w:p>
  </w:footnote>
  <w:footnote w:id="25">
    <w:p w:rsidR="0078277E" w:rsidRDefault="0078277E">
      <w:pPr>
        <w:pStyle w:val="FootnoteText"/>
      </w:pPr>
      <w:r>
        <w:rPr>
          <w:rStyle w:val="FootnoteReference"/>
        </w:rPr>
        <w:footnoteRef/>
      </w:r>
      <w:r>
        <w:t xml:space="preserve"> Redden; </w:t>
      </w:r>
      <w:proofErr w:type="spellStart"/>
      <w:r>
        <w:t>Kumbera</w:t>
      </w:r>
      <w:proofErr w:type="spellEnd"/>
      <w:r>
        <w:t xml:space="preserve"> </w:t>
      </w:r>
      <w:proofErr w:type="spellStart"/>
      <w:r>
        <w:t>Landrus</w:t>
      </w:r>
      <w:proofErr w:type="spellEnd"/>
      <w:r>
        <w:t xml:space="preserve">; Spicer, ‘Dutch churches’. </w:t>
      </w:r>
    </w:p>
  </w:footnote>
  <w:footnote w:id="26">
    <w:p w:rsidR="0078277E" w:rsidRPr="00E86DB0" w:rsidRDefault="0078277E">
      <w:pPr>
        <w:pStyle w:val="FootnoteText"/>
        <w:rPr>
          <w:rFonts w:cs="Times New Roman"/>
        </w:rPr>
      </w:pPr>
      <w:r w:rsidRPr="00E86DB0">
        <w:rPr>
          <w:rStyle w:val="FootnoteReference"/>
          <w:rFonts w:cs="Times New Roman"/>
        </w:rPr>
        <w:footnoteRef/>
      </w:r>
      <w:r w:rsidRPr="00E86DB0">
        <w:rPr>
          <w:rFonts w:cs="Times New Roman"/>
        </w:rPr>
        <w:t xml:space="preserve"> D. </w:t>
      </w:r>
      <w:proofErr w:type="spellStart"/>
      <w:r w:rsidRPr="00E86DB0">
        <w:rPr>
          <w:rFonts w:cs="Times New Roman"/>
        </w:rPr>
        <w:t>Gaimster</w:t>
      </w:r>
      <w:proofErr w:type="spellEnd"/>
      <w:r w:rsidRPr="00E86DB0">
        <w:rPr>
          <w:rFonts w:cs="Times New Roman"/>
        </w:rPr>
        <w:t xml:space="preserve"> and R. Gilchrist (</w:t>
      </w:r>
      <w:proofErr w:type="spellStart"/>
      <w:r w:rsidRPr="00E86DB0">
        <w:rPr>
          <w:rFonts w:cs="Times New Roman"/>
        </w:rPr>
        <w:t>eds</w:t>
      </w:r>
      <w:proofErr w:type="spellEnd"/>
      <w:r w:rsidRPr="00E86DB0">
        <w:rPr>
          <w:rFonts w:cs="Times New Roman"/>
        </w:rPr>
        <w:t xml:space="preserve">), </w:t>
      </w:r>
      <w:r w:rsidRPr="00E86DB0">
        <w:rPr>
          <w:rFonts w:cs="Times New Roman"/>
          <w:i/>
        </w:rPr>
        <w:t>The Archaeology of Reformation 1480-1580</w:t>
      </w:r>
      <w:r w:rsidRPr="00E86DB0">
        <w:rPr>
          <w:rFonts w:cs="Times New Roman"/>
        </w:rPr>
        <w:t xml:space="preserve"> (Leeds, 2003); M. </w:t>
      </w:r>
      <w:proofErr w:type="spellStart"/>
      <w:r w:rsidRPr="00E86DB0">
        <w:rPr>
          <w:rFonts w:cs="Times New Roman"/>
          <w:lang w:val="en-US"/>
        </w:rPr>
        <w:t>Mochizuki</w:t>
      </w:r>
      <w:proofErr w:type="gramStart"/>
      <w:r w:rsidRPr="00E86DB0">
        <w:rPr>
          <w:rFonts w:cs="Times New Roman"/>
          <w:lang w:val="en-US"/>
        </w:rPr>
        <w:t>,</w:t>
      </w:r>
      <w:r w:rsidRPr="00E86DB0">
        <w:rPr>
          <w:rStyle w:val="Emphasis"/>
          <w:rFonts w:cs="Times New Roman"/>
          <w:lang w:val="en-US"/>
        </w:rPr>
        <w:t>The</w:t>
      </w:r>
      <w:proofErr w:type="spellEnd"/>
      <w:proofErr w:type="gramEnd"/>
      <w:r w:rsidRPr="00E86DB0">
        <w:rPr>
          <w:rStyle w:val="Emphasis"/>
          <w:rFonts w:cs="Times New Roman"/>
          <w:lang w:val="en-US"/>
        </w:rPr>
        <w:t xml:space="preserve"> Netherlandish Image after Iconoclasm, 1566-1672. Material Religion in the Dutch Golden Age</w:t>
      </w:r>
      <w:r w:rsidRPr="00E86DB0">
        <w:rPr>
          <w:rFonts w:cs="Times New Roman"/>
          <w:lang w:val="en-US"/>
        </w:rPr>
        <w:t> (</w:t>
      </w:r>
      <w:proofErr w:type="spellStart"/>
      <w:r w:rsidRPr="00E86DB0">
        <w:rPr>
          <w:rFonts w:cs="Times New Roman"/>
          <w:lang w:val="en-US"/>
        </w:rPr>
        <w:t>Farnham</w:t>
      </w:r>
      <w:proofErr w:type="spellEnd"/>
      <w:r w:rsidRPr="00E86DB0">
        <w:rPr>
          <w:rFonts w:cs="Times New Roman"/>
          <w:lang w:val="en-US"/>
        </w:rPr>
        <w:t xml:space="preserve">, 2008); T. </w:t>
      </w:r>
      <w:proofErr w:type="spellStart"/>
      <w:r w:rsidRPr="00E86DB0">
        <w:rPr>
          <w:rFonts w:cs="Times New Roman"/>
          <w:lang w:val="en-US"/>
        </w:rPr>
        <w:t>Hamling</w:t>
      </w:r>
      <w:proofErr w:type="spellEnd"/>
      <w:r w:rsidRPr="00E86DB0">
        <w:rPr>
          <w:rFonts w:cs="Times New Roman"/>
          <w:lang w:val="en-US"/>
        </w:rPr>
        <w:t xml:space="preserve"> and C, Richardson (</w:t>
      </w:r>
      <w:proofErr w:type="spellStart"/>
      <w:proofErr w:type="gramStart"/>
      <w:r w:rsidRPr="00E86DB0">
        <w:rPr>
          <w:rFonts w:cs="Times New Roman"/>
          <w:lang w:val="en-US"/>
        </w:rPr>
        <w:t>eds</w:t>
      </w:r>
      <w:proofErr w:type="spellEnd"/>
      <w:proofErr w:type="gramEnd"/>
      <w:r w:rsidRPr="00E86DB0">
        <w:rPr>
          <w:rFonts w:cs="Times New Roman"/>
          <w:lang w:val="en-US"/>
        </w:rPr>
        <w:t>),</w:t>
      </w:r>
      <w:r w:rsidRPr="00E86DB0">
        <w:rPr>
          <w:rStyle w:val="Emphasis"/>
          <w:rFonts w:cs="Times New Roman"/>
          <w:lang w:val="en-US"/>
        </w:rPr>
        <w:t> Everyday Objects: Medieval and Early Modern Material Culture </w:t>
      </w:r>
      <w:r w:rsidRPr="00E86DB0">
        <w:rPr>
          <w:rFonts w:cs="Times New Roman"/>
          <w:lang w:val="en-US"/>
        </w:rPr>
        <w:t>(</w:t>
      </w:r>
      <w:proofErr w:type="spellStart"/>
      <w:r w:rsidRPr="00E86DB0">
        <w:rPr>
          <w:rFonts w:cs="Times New Roman"/>
          <w:lang w:val="en-US"/>
        </w:rPr>
        <w:t>Farnham</w:t>
      </w:r>
      <w:proofErr w:type="spellEnd"/>
      <w:r w:rsidRPr="00E86DB0">
        <w:rPr>
          <w:rFonts w:cs="Times New Roman"/>
          <w:lang w:val="en-US"/>
        </w:rPr>
        <w:t>, 2010).</w:t>
      </w:r>
    </w:p>
  </w:footnote>
  <w:footnote w:id="27">
    <w:p w:rsidR="0078277E" w:rsidRDefault="0078277E">
      <w:pPr>
        <w:pStyle w:val="FootnoteText"/>
      </w:pPr>
      <w:r>
        <w:rPr>
          <w:rStyle w:val="FootnoteReference"/>
        </w:rPr>
        <w:footnoteRef/>
      </w:r>
      <w:r>
        <w:t xml:space="preserve"> See e.g. R. </w:t>
      </w:r>
      <w:proofErr w:type="spellStart"/>
      <w:r>
        <w:t>Tittler</w:t>
      </w:r>
      <w:proofErr w:type="spellEnd"/>
      <w:r>
        <w:t xml:space="preserve">, </w:t>
      </w:r>
      <w:r w:rsidRPr="009921FE">
        <w:rPr>
          <w:i/>
        </w:rPr>
        <w:t xml:space="preserve">Architecture and Power: The Town Hall and the English Urban Community </w:t>
      </w:r>
      <w:r w:rsidRPr="009921FE">
        <w:t>c</w:t>
      </w:r>
      <w:r w:rsidRPr="009921FE">
        <w:rPr>
          <w:i/>
        </w:rPr>
        <w:t>. 1500-1640</w:t>
      </w:r>
      <w:r>
        <w:t xml:space="preserve"> (Oxford, 1991); D. </w:t>
      </w:r>
      <w:proofErr w:type="spellStart"/>
      <w:r>
        <w:t>Calabi</w:t>
      </w:r>
      <w:proofErr w:type="spellEnd"/>
      <w:r>
        <w:t xml:space="preserve">, </w:t>
      </w:r>
      <w:r w:rsidRPr="009921FE">
        <w:rPr>
          <w:i/>
        </w:rPr>
        <w:t>The Market and the City: Squares, Streets and Buildings in the Early Modern City</w:t>
      </w:r>
      <w:r>
        <w:t xml:space="preserve"> (Aldershot, 2003); T. Brennan (gen. ed.), </w:t>
      </w:r>
      <w:r w:rsidRPr="009921FE">
        <w:rPr>
          <w:i/>
        </w:rPr>
        <w:t>Public Drinking in the Early Modern World: Voices from the Tavern</w:t>
      </w:r>
      <w:r>
        <w:t xml:space="preserve"> (4 </w:t>
      </w:r>
      <w:proofErr w:type="spellStart"/>
      <w:r>
        <w:t>vols</w:t>
      </w:r>
      <w:proofErr w:type="spellEnd"/>
      <w:r>
        <w:t>, London, 2011).</w:t>
      </w:r>
      <w:r w:rsidR="00B66D74">
        <w:t xml:space="preserve"> On the concept of ‘social sites’: J. C. Scott, </w:t>
      </w:r>
      <w:r w:rsidR="00B66D74" w:rsidRPr="00B66D74">
        <w:rPr>
          <w:i/>
        </w:rPr>
        <w:t>Domination and the Art of Resistance: Hidden Transcripts</w:t>
      </w:r>
      <w:r w:rsidR="00B66D74">
        <w:t xml:space="preserve"> (New Haven, 1990), esp. </w:t>
      </w:r>
      <w:proofErr w:type="spellStart"/>
      <w:r w:rsidR="00B66D74">
        <w:t>ch.</w:t>
      </w:r>
      <w:proofErr w:type="spellEnd"/>
      <w:r w:rsidR="00B66D74">
        <w:t xml:space="preserve"> 5.</w:t>
      </w:r>
    </w:p>
  </w:footnote>
  <w:footnote w:id="28">
    <w:p w:rsidR="0078277E" w:rsidRDefault="0078277E">
      <w:pPr>
        <w:pStyle w:val="FootnoteText"/>
      </w:pPr>
      <w:r>
        <w:rPr>
          <w:rStyle w:val="FootnoteReference"/>
        </w:rPr>
        <w:footnoteRef/>
      </w:r>
      <w:r>
        <w:t xml:space="preserve"> M. </w:t>
      </w:r>
      <w:proofErr w:type="spellStart"/>
      <w:r>
        <w:t>Greengrass</w:t>
      </w:r>
      <w:proofErr w:type="spellEnd"/>
      <w:r>
        <w:t xml:space="preserve">, </w:t>
      </w:r>
      <w:r w:rsidRPr="00AC5A09">
        <w:rPr>
          <w:i/>
        </w:rPr>
        <w:t>Christendom Destroyed: Europe 1517-1648</w:t>
      </w:r>
      <w:r>
        <w:t xml:space="preserve"> (London,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7E" w:rsidRDefault="0078277E">
    <w:pPr>
      <w:pStyle w:val="Header"/>
      <w:jc w:val="right"/>
    </w:pPr>
  </w:p>
  <w:p w:rsidR="0078277E" w:rsidRDefault="0078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EE4"/>
    <w:multiLevelType w:val="hybridMultilevel"/>
    <w:tmpl w:val="1B0CFD40"/>
    <w:lvl w:ilvl="0" w:tplc="1714E28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56"/>
    <w:rsid w:val="0004590B"/>
    <w:rsid w:val="000776C3"/>
    <w:rsid w:val="0008389E"/>
    <w:rsid w:val="000D5ABB"/>
    <w:rsid w:val="00120E3B"/>
    <w:rsid w:val="001311AA"/>
    <w:rsid w:val="00157C38"/>
    <w:rsid w:val="001B3BA9"/>
    <w:rsid w:val="001D1897"/>
    <w:rsid w:val="001F7D6A"/>
    <w:rsid w:val="00230957"/>
    <w:rsid w:val="002322C4"/>
    <w:rsid w:val="00267913"/>
    <w:rsid w:val="00281191"/>
    <w:rsid w:val="0028337C"/>
    <w:rsid w:val="00291F75"/>
    <w:rsid w:val="002A3479"/>
    <w:rsid w:val="002C4960"/>
    <w:rsid w:val="002D6664"/>
    <w:rsid w:val="00325A3C"/>
    <w:rsid w:val="00341562"/>
    <w:rsid w:val="00345DF0"/>
    <w:rsid w:val="0036565F"/>
    <w:rsid w:val="00382159"/>
    <w:rsid w:val="00382888"/>
    <w:rsid w:val="003A7FCB"/>
    <w:rsid w:val="003E1C2D"/>
    <w:rsid w:val="00407C62"/>
    <w:rsid w:val="00434A75"/>
    <w:rsid w:val="00446455"/>
    <w:rsid w:val="00460656"/>
    <w:rsid w:val="004761A0"/>
    <w:rsid w:val="00485D36"/>
    <w:rsid w:val="00491B5A"/>
    <w:rsid w:val="004D5A50"/>
    <w:rsid w:val="004F6B7D"/>
    <w:rsid w:val="00526346"/>
    <w:rsid w:val="00585BC8"/>
    <w:rsid w:val="00593C5B"/>
    <w:rsid w:val="005A0501"/>
    <w:rsid w:val="005A43E8"/>
    <w:rsid w:val="005B39B9"/>
    <w:rsid w:val="005C55D9"/>
    <w:rsid w:val="005F7C0A"/>
    <w:rsid w:val="00642E4A"/>
    <w:rsid w:val="006504BE"/>
    <w:rsid w:val="00672090"/>
    <w:rsid w:val="006A042F"/>
    <w:rsid w:val="006A2E9B"/>
    <w:rsid w:val="006C4883"/>
    <w:rsid w:val="007017E9"/>
    <w:rsid w:val="0071730D"/>
    <w:rsid w:val="0078277E"/>
    <w:rsid w:val="007C1E57"/>
    <w:rsid w:val="007D39BD"/>
    <w:rsid w:val="008632ED"/>
    <w:rsid w:val="00877CEB"/>
    <w:rsid w:val="008932E3"/>
    <w:rsid w:val="008B754D"/>
    <w:rsid w:val="008C1522"/>
    <w:rsid w:val="008C1AA4"/>
    <w:rsid w:val="008E15B2"/>
    <w:rsid w:val="008E42E4"/>
    <w:rsid w:val="008E7F9F"/>
    <w:rsid w:val="00902CC3"/>
    <w:rsid w:val="009145EF"/>
    <w:rsid w:val="009202E5"/>
    <w:rsid w:val="00960636"/>
    <w:rsid w:val="00977D5B"/>
    <w:rsid w:val="00982E4F"/>
    <w:rsid w:val="009921FE"/>
    <w:rsid w:val="00996699"/>
    <w:rsid w:val="009B5BAC"/>
    <w:rsid w:val="009C1505"/>
    <w:rsid w:val="009D2E3E"/>
    <w:rsid w:val="009D7D2E"/>
    <w:rsid w:val="00A00326"/>
    <w:rsid w:val="00AB4544"/>
    <w:rsid w:val="00AC4A09"/>
    <w:rsid w:val="00AC5A09"/>
    <w:rsid w:val="00AF669C"/>
    <w:rsid w:val="00B44623"/>
    <w:rsid w:val="00B5696C"/>
    <w:rsid w:val="00B66D74"/>
    <w:rsid w:val="00B74021"/>
    <w:rsid w:val="00BB13DB"/>
    <w:rsid w:val="00BC3E6A"/>
    <w:rsid w:val="00BE421A"/>
    <w:rsid w:val="00BF7464"/>
    <w:rsid w:val="00C251AD"/>
    <w:rsid w:val="00C92980"/>
    <w:rsid w:val="00CB4C1C"/>
    <w:rsid w:val="00CE328D"/>
    <w:rsid w:val="00D20973"/>
    <w:rsid w:val="00D254CF"/>
    <w:rsid w:val="00D277F8"/>
    <w:rsid w:val="00D41E7F"/>
    <w:rsid w:val="00D45969"/>
    <w:rsid w:val="00D54A7F"/>
    <w:rsid w:val="00D67E04"/>
    <w:rsid w:val="00DC408F"/>
    <w:rsid w:val="00DD78CE"/>
    <w:rsid w:val="00DE071D"/>
    <w:rsid w:val="00DE12C1"/>
    <w:rsid w:val="00DE72E8"/>
    <w:rsid w:val="00DF197F"/>
    <w:rsid w:val="00DF7F81"/>
    <w:rsid w:val="00E366DB"/>
    <w:rsid w:val="00E86DB0"/>
    <w:rsid w:val="00E91CCD"/>
    <w:rsid w:val="00E926B7"/>
    <w:rsid w:val="00EB59EA"/>
    <w:rsid w:val="00EC594A"/>
    <w:rsid w:val="00EF1B8C"/>
    <w:rsid w:val="00F41D82"/>
    <w:rsid w:val="00F53B9F"/>
    <w:rsid w:val="00F9031C"/>
    <w:rsid w:val="00FE1FCD"/>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56"/>
    <w:pPr>
      <w:ind w:left="720"/>
      <w:contextualSpacing/>
    </w:pPr>
  </w:style>
  <w:style w:type="character" w:styleId="Hyperlink">
    <w:name w:val="Hyperlink"/>
    <w:basedOn w:val="DefaultParagraphFont"/>
    <w:uiPriority w:val="99"/>
    <w:unhideWhenUsed/>
    <w:rsid w:val="00460656"/>
    <w:rPr>
      <w:color w:val="0000FF" w:themeColor="hyperlink"/>
      <w:u w:val="single"/>
    </w:rPr>
  </w:style>
  <w:style w:type="paragraph" w:styleId="FootnoteText">
    <w:name w:val="footnote text"/>
    <w:basedOn w:val="Normal"/>
    <w:link w:val="FootnoteTextChar"/>
    <w:uiPriority w:val="99"/>
    <w:semiHidden/>
    <w:unhideWhenUsed/>
    <w:rsid w:val="00D277F8"/>
    <w:rPr>
      <w:sz w:val="20"/>
      <w:szCs w:val="20"/>
    </w:rPr>
  </w:style>
  <w:style w:type="character" w:customStyle="1" w:styleId="FootnoteTextChar">
    <w:name w:val="Footnote Text Char"/>
    <w:basedOn w:val="DefaultParagraphFont"/>
    <w:link w:val="FootnoteText"/>
    <w:uiPriority w:val="99"/>
    <w:semiHidden/>
    <w:rsid w:val="00D277F8"/>
    <w:rPr>
      <w:rFonts w:ascii="Times New Roman" w:hAnsi="Times New Roman"/>
      <w:sz w:val="20"/>
      <w:szCs w:val="20"/>
    </w:rPr>
  </w:style>
  <w:style w:type="character" w:styleId="FootnoteReference">
    <w:name w:val="footnote reference"/>
    <w:basedOn w:val="DefaultParagraphFont"/>
    <w:uiPriority w:val="99"/>
    <w:semiHidden/>
    <w:unhideWhenUsed/>
    <w:rsid w:val="00D277F8"/>
    <w:rPr>
      <w:vertAlign w:val="superscript"/>
    </w:rPr>
  </w:style>
  <w:style w:type="character" w:styleId="Emphasis">
    <w:name w:val="Emphasis"/>
    <w:basedOn w:val="DefaultParagraphFont"/>
    <w:uiPriority w:val="20"/>
    <w:qFormat/>
    <w:rsid w:val="008E15B2"/>
    <w:rPr>
      <w:i/>
      <w:iCs/>
    </w:rPr>
  </w:style>
  <w:style w:type="character" w:customStyle="1" w:styleId="hbodytext1">
    <w:name w:val="h_body_text1"/>
    <w:basedOn w:val="DefaultParagraphFont"/>
    <w:rsid w:val="008E7F9F"/>
    <w:rPr>
      <w:rFonts w:ascii="Tahoma" w:hAnsi="Tahoma" w:cs="Tahoma" w:hint="default"/>
      <w:b w:val="0"/>
      <w:bCs w:val="0"/>
      <w:smallCaps w:val="0"/>
      <w:strike w:val="0"/>
      <w:dstrike w:val="0"/>
      <w:color w:val="000000"/>
      <w:sz w:val="18"/>
      <w:szCs w:val="18"/>
      <w:u w:val="none"/>
      <w:effect w:val="none"/>
    </w:rPr>
  </w:style>
  <w:style w:type="paragraph" w:styleId="Header">
    <w:name w:val="header"/>
    <w:basedOn w:val="Normal"/>
    <w:link w:val="HeaderChar"/>
    <w:uiPriority w:val="99"/>
    <w:unhideWhenUsed/>
    <w:rsid w:val="00D67E04"/>
    <w:pPr>
      <w:tabs>
        <w:tab w:val="center" w:pos="4513"/>
        <w:tab w:val="right" w:pos="9026"/>
      </w:tabs>
    </w:pPr>
  </w:style>
  <w:style w:type="character" w:customStyle="1" w:styleId="HeaderChar">
    <w:name w:val="Header Char"/>
    <w:basedOn w:val="DefaultParagraphFont"/>
    <w:link w:val="Header"/>
    <w:uiPriority w:val="99"/>
    <w:rsid w:val="00D67E04"/>
    <w:rPr>
      <w:rFonts w:ascii="Times New Roman" w:hAnsi="Times New Roman"/>
      <w:sz w:val="24"/>
    </w:rPr>
  </w:style>
  <w:style w:type="paragraph" w:styleId="Footer">
    <w:name w:val="footer"/>
    <w:basedOn w:val="Normal"/>
    <w:link w:val="FooterChar"/>
    <w:uiPriority w:val="99"/>
    <w:unhideWhenUsed/>
    <w:rsid w:val="00D67E04"/>
    <w:pPr>
      <w:tabs>
        <w:tab w:val="center" w:pos="4513"/>
        <w:tab w:val="right" w:pos="9026"/>
      </w:tabs>
    </w:pPr>
  </w:style>
  <w:style w:type="character" w:customStyle="1" w:styleId="FooterChar">
    <w:name w:val="Footer Char"/>
    <w:basedOn w:val="DefaultParagraphFont"/>
    <w:link w:val="Footer"/>
    <w:uiPriority w:val="99"/>
    <w:rsid w:val="00D67E04"/>
    <w:rPr>
      <w:rFonts w:ascii="Times New Roman" w:hAnsi="Times New Roman"/>
      <w:sz w:val="24"/>
    </w:rPr>
  </w:style>
  <w:style w:type="character" w:styleId="FollowedHyperlink">
    <w:name w:val="FollowedHyperlink"/>
    <w:basedOn w:val="DefaultParagraphFont"/>
    <w:uiPriority w:val="99"/>
    <w:semiHidden/>
    <w:unhideWhenUsed/>
    <w:rsid w:val="002C49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56"/>
    <w:pPr>
      <w:ind w:left="720"/>
      <w:contextualSpacing/>
    </w:pPr>
  </w:style>
  <w:style w:type="character" w:styleId="Hyperlink">
    <w:name w:val="Hyperlink"/>
    <w:basedOn w:val="DefaultParagraphFont"/>
    <w:uiPriority w:val="99"/>
    <w:unhideWhenUsed/>
    <w:rsid w:val="00460656"/>
    <w:rPr>
      <w:color w:val="0000FF" w:themeColor="hyperlink"/>
      <w:u w:val="single"/>
    </w:rPr>
  </w:style>
  <w:style w:type="paragraph" w:styleId="FootnoteText">
    <w:name w:val="footnote text"/>
    <w:basedOn w:val="Normal"/>
    <w:link w:val="FootnoteTextChar"/>
    <w:uiPriority w:val="99"/>
    <w:semiHidden/>
    <w:unhideWhenUsed/>
    <w:rsid w:val="00D277F8"/>
    <w:rPr>
      <w:sz w:val="20"/>
      <w:szCs w:val="20"/>
    </w:rPr>
  </w:style>
  <w:style w:type="character" w:customStyle="1" w:styleId="FootnoteTextChar">
    <w:name w:val="Footnote Text Char"/>
    <w:basedOn w:val="DefaultParagraphFont"/>
    <w:link w:val="FootnoteText"/>
    <w:uiPriority w:val="99"/>
    <w:semiHidden/>
    <w:rsid w:val="00D277F8"/>
    <w:rPr>
      <w:rFonts w:ascii="Times New Roman" w:hAnsi="Times New Roman"/>
      <w:sz w:val="20"/>
      <w:szCs w:val="20"/>
    </w:rPr>
  </w:style>
  <w:style w:type="character" w:styleId="FootnoteReference">
    <w:name w:val="footnote reference"/>
    <w:basedOn w:val="DefaultParagraphFont"/>
    <w:uiPriority w:val="99"/>
    <w:semiHidden/>
    <w:unhideWhenUsed/>
    <w:rsid w:val="00D277F8"/>
    <w:rPr>
      <w:vertAlign w:val="superscript"/>
    </w:rPr>
  </w:style>
  <w:style w:type="character" w:styleId="Emphasis">
    <w:name w:val="Emphasis"/>
    <w:basedOn w:val="DefaultParagraphFont"/>
    <w:uiPriority w:val="20"/>
    <w:qFormat/>
    <w:rsid w:val="008E15B2"/>
    <w:rPr>
      <w:i/>
      <w:iCs/>
    </w:rPr>
  </w:style>
  <w:style w:type="character" w:customStyle="1" w:styleId="hbodytext1">
    <w:name w:val="h_body_text1"/>
    <w:basedOn w:val="DefaultParagraphFont"/>
    <w:rsid w:val="008E7F9F"/>
    <w:rPr>
      <w:rFonts w:ascii="Tahoma" w:hAnsi="Tahoma" w:cs="Tahoma" w:hint="default"/>
      <w:b w:val="0"/>
      <w:bCs w:val="0"/>
      <w:smallCaps w:val="0"/>
      <w:strike w:val="0"/>
      <w:dstrike w:val="0"/>
      <w:color w:val="000000"/>
      <w:sz w:val="18"/>
      <w:szCs w:val="18"/>
      <w:u w:val="none"/>
      <w:effect w:val="none"/>
    </w:rPr>
  </w:style>
  <w:style w:type="paragraph" w:styleId="Header">
    <w:name w:val="header"/>
    <w:basedOn w:val="Normal"/>
    <w:link w:val="HeaderChar"/>
    <w:uiPriority w:val="99"/>
    <w:unhideWhenUsed/>
    <w:rsid w:val="00D67E04"/>
    <w:pPr>
      <w:tabs>
        <w:tab w:val="center" w:pos="4513"/>
        <w:tab w:val="right" w:pos="9026"/>
      </w:tabs>
    </w:pPr>
  </w:style>
  <w:style w:type="character" w:customStyle="1" w:styleId="HeaderChar">
    <w:name w:val="Header Char"/>
    <w:basedOn w:val="DefaultParagraphFont"/>
    <w:link w:val="Header"/>
    <w:uiPriority w:val="99"/>
    <w:rsid w:val="00D67E04"/>
    <w:rPr>
      <w:rFonts w:ascii="Times New Roman" w:hAnsi="Times New Roman"/>
      <w:sz w:val="24"/>
    </w:rPr>
  </w:style>
  <w:style w:type="paragraph" w:styleId="Footer">
    <w:name w:val="footer"/>
    <w:basedOn w:val="Normal"/>
    <w:link w:val="FooterChar"/>
    <w:uiPriority w:val="99"/>
    <w:unhideWhenUsed/>
    <w:rsid w:val="00D67E04"/>
    <w:pPr>
      <w:tabs>
        <w:tab w:val="center" w:pos="4513"/>
        <w:tab w:val="right" w:pos="9026"/>
      </w:tabs>
    </w:pPr>
  </w:style>
  <w:style w:type="character" w:customStyle="1" w:styleId="FooterChar">
    <w:name w:val="Footer Char"/>
    <w:basedOn w:val="DefaultParagraphFont"/>
    <w:link w:val="Footer"/>
    <w:uiPriority w:val="99"/>
    <w:rsid w:val="00D67E04"/>
    <w:rPr>
      <w:rFonts w:ascii="Times New Roman" w:hAnsi="Times New Roman"/>
      <w:sz w:val="24"/>
    </w:rPr>
  </w:style>
  <w:style w:type="character" w:styleId="FollowedHyperlink">
    <w:name w:val="FollowedHyperlink"/>
    <w:basedOn w:val="DefaultParagraphFont"/>
    <w:uiPriority w:val="99"/>
    <w:semiHidden/>
    <w:unhideWhenUsed/>
    <w:rsid w:val="002C4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ga.hu/html_m/o/ostendor/pilgrima.html" TargetMode="External"/><Relationship Id="rId1" Type="http://schemas.openxmlformats.org/officeDocument/2006/relationships/hyperlink" Target="http://my-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D79C-C5DE-4A46-AA9F-A431DD19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History Dept</dc:creator>
  <cp:lastModifiedBy>Warwick History Dept</cp:lastModifiedBy>
  <cp:revision>21</cp:revision>
  <dcterms:created xsi:type="dcterms:W3CDTF">2015-01-28T16:11:00Z</dcterms:created>
  <dcterms:modified xsi:type="dcterms:W3CDTF">2015-01-30T19:05:00Z</dcterms:modified>
</cp:coreProperties>
</file>