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C81" w:rsidRDefault="00746C81">
      <w:bookmarkStart w:id="0" w:name="_GoBack"/>
      <w:bookmarkEnd w:id="0"/>
    </w:p>
    <w:p w:rsidR="00746C81" w:rsidRDefault="00746C81">
      <w:r>
        <w:t>The Uses of Space in Early Modern History – An Afterword</w:t>
      </w:r>
    </w:p>
    <w:p w:rsidR="00746C81" w:rsidRDefault="00746C81"/>
    <w:p w:rsidR="00746C81" w:rsidRDefault="00746C81"/>
    <w:p w:rsidR="00746C81" w:rsidRPr="0063377A" w:rsidRDefault="00746C81">
      <w:pPr>
        <w:rPr>
          <w:i/>
        </w:rPr>
      </w:pPr>
      <w:r w:rsidRPr="0063377A">
        <w:rPr>
          <w:i/>
        </w:rPr>
        <w:t>Beat Kümin</w:t>
      </w:r>
    </w:p>
    <w:p w:rsidR="00746C81" w:rsidRDefault="00746C81"/>
    <w:p w:rsidR="00DF75FC" w:rsidRDefault="00DF75FC"/>
    <w:p w:rsidR="00D41C6D" w:rsidRDefault="005D26D0">
      <w:r>
        <w:t>T</w:t>
      </w:r>
      <w:r w:rsidR="00DF75FC">
        <w:t xml:space="preserve">his stimulating </w:t>
      </w:r>
      <w:r w:rsidR="00924F6D">
        <w:t>collection</w:t>
      </w:r>
      <w:r w:rsidR="00DF75FC">
        <w:t xml:space="preserve"> </w:t>
      </w:r>
      <w:r w:rsidR="009C171E">
        <w:t>underlines</w:t>
      </w:r>
      <w:r>
        <w:t xml:space="preserve"> the appeal which </w:t>
      </w:r>
      <w:r w:rsidR="00DF75FC">
        <w:t xml:space="preserve">‘space’ continues to </w:t>
      </w:r>
      <w:r>
        <w:t>hold for</w:t>
      </w:r>
      <w:r w:rsidR="00DF75FC">
        <w:t xml:space="preserve"> </w:t>
      </w:r>
      <w:r w:rsidR="00132E21">
        <w:t xml:space="preserve">a wide variety of </w:t>
      </w:r>
      <w:r w:rsidR="00924F6D">
        <w:t>scholars</w:t>
      </w:r>
      <w:r w:rsidR="00DF75FC">
        <w:t xml:space="preserve">. </w:t>
      </w:r>
      <w:r w:rsidR="00132E21">
        <w:t>Intersecting</w:t>
      </w:r>
      <w:r w:rsidR="00DF75FC">
        <w:t xml:space="preserve"> with a </w:t>
      </w:r>
      <w:r w:rsidR="00A523C4">
        <w:t>more general</w:t>
      </w:r>
      <w:r w:rsidR="00DF75FC">
        <w:t xml:space="preserve"> ‘cultural turn’</w:t>
      </w:r>
      <w:r w:rsidR="00B65A87" w:rsidRPr="00B65A87">
        <w:t xml:space="preserve"> </w:t>
      </w:r>
      <w:r w:rsidR="00B65A87">
        <w:t>across the humanities and social sciences</w:t>
      </w:r>
      <w:r w:rsidR="009C171E">
        <w:t xml:space="preserve">, </w:t>
      </w:r>
      <w:r>
        <w:t xml:space="preserve">it has </w:t>
      </w:r>
      <w:r w:rsidR="00132E21">
        <w:t>firmly established itself as an academic field</w:t>
      </w:r>
      <w:r>
        <w:t xml:space="preserve">. </w:t>
      </w:r>
      <w:r w:rsidR="003A3FAA">
        <w:t xml:space="preserve">Ever more </w:t>
      </w:r>
      <w:r w:rsidR="0063377A">
        <w:t>aspects</w:t>
      </w:r>
      <w:r w:rsidR="003A3FAA">
        <w:t xml:space="preserve"> are explored in special journal issues, conference proceedings and essay collections, with </w:t>
      </w:r>
      <w:r w:rsidR="00924F6D">
        <w:t xml:space="preserve">urban society, </w:t>
      </w:r>
      <w:r w:rsidR="003A3FAA">
        <w:t xml:space="preserve">religion, politics and topography among </w:t>
      </w:r>
      <w:r>
        <w:t>those</w:t>
      </w:r>
      <w:r w:rsidR="003A3FAA">
        <w:t xml:space="preserve"> </w:t>
      </w:r>
      <w:r>
        <w:t>examined</w:t>
      </w:r>
      <w:r w:rsidR="003A3FAA">
        <w:t xml:space="preserve"> most recently.</w:t>
      </w:r>
      <w:r w:rsidR="003A3FAA">
        <w:rPr>
          <w:rStyle w:val="FootnoteReference"/>
        </w:rPr>
        <w:footnoteReference w:id="1"/>
      </w:r>
      <w:r w:rsidR="00127B12">
        <w:t xml:space="preserve"> </w:t>
      </w:r>
      <w:r w:rsidR="00FE1B84">
        <w:t>There</w:t>
      </w:r>
      <w:r w:rsidR="009A534F">
        <w:t xml:space="preserve"> are monographic </w:t>
      </w:r>
      <w:r>
        <w:t>surveys</w:t>
      </w:r>
      <w:r w:rsidR="00A836C4">
        <w:t xml:space="preserve"> illustrating how</w:t>
      </w:r>
      <w:r w:rsidR="009A534F">
        <w:t xml:space="preserve"> spatial </w:t>
      </w:r>
      <w:r w:rsidR="00FE1B84">
        <w:t>perspectives</w:t>
      </w:r>
      <w:r w:rsidR="009A534F">
        <w:t xml:space="preserve"> </w:t>
      </w:r>
      <w:r w:rsidR="00A836C4">
        <w:t xml:space="preserve">can </w:t>
      </w:r>
      <w:r w:rsidR="00FE1B84">
        <w:t>shed</w:t>
      </w:r>
      <w:r w:rsidR="009A534F">
        <w:t xml:space="preserve"> fresh light on classic historical </w:t>
      </w:r>
      <w:r>
        <w:t>themes</w:t>
      </w:r>
      <w:r w:rsidR="009A534F">
        <w:t xml:space="preserve"> like state building or confessional change</w:t>
      </w:r>
      <w:r w:rsidR="006129D5">
        <w:t xml:space="preserve"> and introductions aimed at a general audience</w:t>
      </w:r>
      <w:r w:rsidR="009A534F">
        <w:t>.</w:t>
      </w:r>
      <w:r w:rsidR="009A534F">
        <w:rPr>
          <w:rStyle w:val="FootnoteReference"/>
        </w:rPr>
        <w:footnoteReference w:id="2"/>
      </w:r>
      <w:r w:rsidR="009A534F">
        <w:t xml:space="preserve"> </w:t>
      </w:r>
      <w:r>
        <w:t xml:space="preserve">Signs of institutionalization include </w:t>
      </w:r>
      <w:r w:rsidR="00A836C4">
        <w:t>competing</w:t>
      </w:r>
      <w:r>
        <w:t xml:space="preserve"> theoretical schools, </w:t>
      </w:r>
      <w:r w:rsidR="00782EE5">
        <w:t>research clusters</w:t>
      </w:r>
      <w:r>
        <w:t xml:space="preserve"> and dedicated university positions.</w:t>
      </w:r>
      <w:r>
        <w:rPr>
          <w:rStyle w:val="FootnoteReference"/>
        </w:rPr>
        <w:footnoteReference w:id="3"/>
      </w:r>
      <w:r>
        <w:t xml:space="preserve"> </w:t>
      </w:r>
      <w:r w:rsidR="00127B12">
        <w:t xml:space="preserve">The distinctive </w:t>
      </w:r>
      <w:r w:rsidR="00A836C4">
        <w:t>niche</w:t>
      </w:r>
      <w:r w:rsidR="00127B12">
        <w:t xml:space="preserve"> chosen by the editor of this volume is a close focus on ‘uses’, both in terms of how </w:t>
      </w:r>
      <w:r w:rsidR="00782EE5">
        <w:t>space informs scholarly approaches in the present</w:t>
      </w:r>
      <w:r w:rsidR="00153CC2">
        <w:t xml:space="preserve"> and how </w:t>
      </w:r>
      <w:r w:rsidR="00FE1B84">
        <w:t xml:space="preserve">spatial </w:t>
      </w:r>
      <w:r w:rsidR="00633F5B">
        <w:t>perceptions served</w:t>
      </w:r>
      <w:r w:rsidR="00153CC2">
        <w:t xml:space="preserve"> practical and ideological purposes</w:t>
      </w:r>
      <w:r w:rsidR="00FE1B84">
        <w:t xml:space="preserve"> in </w:t>
      </w:r>
      <w:r w:rsidR="00782EE5">
        <w:t>the past</w:t>
      </w:r>
      <w:r w:rsidR="00153CC2">
        <w:t>.</w:t>
      </w:r>
      <w:r w:rsidR="00153CC2">
        <w:rPr>
          <w:rStyle w:val="FootnoteReference"/>
        </w:rPr>
        <w:footnoteReference w:id="4"/>
      </w:r>
      <w:r w:rsidR="00153CC2">
        <w:t xml:space="preserve"> While the former </w:t>
      </w:r>
      <w:r w:rsidR="00BA79A8">
        <w:t>represents</w:t>
      </w:r>
      <w:r w:rsidR="00153CC2">
        <w:t xml:space="preserve"> </w:t>
      </w:r>
      <w:r w:rsidR="003B7367">
        <w:t>one of the key questions of</w:t>
      </w:r>
      <w:r w:rsidR="00153CC2">
        <w:t xml:space="preserve"> the field</w:t>
      </w:r>
      <w:r w:rsidR="003B7367">
        <w:t xml:space="preserve"> as a whole</w:t>
      </w:r>
      <w:r w:rsidR="00153CC2">
        <w:t>,</w:t>
      </w:r>
      <w:r w:rsidR="003B7367">
        <w:t xml:space="preserve"> the latter </w:t>
      </w:r>
      <w:r w:rsidR="00782EE5">
        <w:t>sets</w:t>
      </w:r>
      <w:r w:rsidR="003B7367">
        <w:t xml:space="preserve"> the challenging task of not only reconstructing </w:t>
      </w:r>
      <w:r w:rsidR="00782EE5">
        <w:t>historical</w:t>
      </w:r>
      <w:r w:rsidR="003B7367">
        <w:t xml:space="preserve"> ideas about space, but also tracing their </w:t>
      </w:r>
      <w:r w:rsidR="00470D1F">
        <w:t>application</w:t>
      </w:r>
      <w:r w:rsidR="003B7367">
        <w:t xml:space="preserve"> in specific </w:t>
      </w:r>
      <w:r w:rsidR="00782EE5">
        <w:t xml:space="preserve">periods, here particularly the centuries between </w:t>
      </w:r>
      <w:r w:rsidR="00782EE5" w:rsidRPr="00782EE5">
        <w:rPr>
          <w:i/>
        </w:rPr>
        <w:t>c</w:t>
      </w:r>
      <w:r w:rsidR="0072142E">
        <w:t>. 1500 and 185</w:t>
      </w:r>
      <w:r w:rsidR="00782EE5">
        <w:t>0</w:t>
      </w:r>
      <w:r w:rsidR="003B7367">
        <w:t>.</w:t>
      </w:r>
    </w:p>
    <w:p w:rsidR="00D41C6D" w:rsidRDefault="00D41C6D"/>
    <w:p w:rsidR="00470D1F" w:rsidRDefault="00782EE5">
      <w:r>
        <w:t xml:space="preserve">Each of the preceding essays </w:t>
      </w:r>
      <w:r w:rsidR="00E239EA">
        <w:t>engages with</w:t>
      </w:r>
      <w:r>
        <w:t xml:space="preserve"> </w:t>
      </w:r>
      <w:r w:rsidR="007F6E43">
        <w:t xml:space="preserve">distinct </w:t>
      </w:r>
      <w:r w:rsidR="00E239EA">
        <w:t xml:space="preserve">contexts, historiographies and </w:t>
      </w:r>
      <w:r w:rsidR="007F6E43">
        <w:t>issues</w:t>
      </w:r>
      <w:r w:rsidR="00E239EA">
        <w:t xml:space="preserve"> which </w:t>
      </w:r>
      <w:r w:rsidR="00470D1F">
        <w:t xml:space="preserve">deserve much more </w:t>
      </w:r>
      <w:r w:rsidR="007F6E43">
        <w:t>detailed</w:t>
      </w:r>
      <w:r w:rsidR="00470D1F">
        <w:t xml:space="preserve"> attention than is possible</w:t>
      </w:r>
      <w:r w:rsidR="00E239EA">
        <w:t xml:space="preserve"> in a short comment of this kind. </w:t>
      </w:r>
      <w:r w:rsidR="0072142E">
        <w:t>Building on</w:t>
      </w:r>
      <w:r w:rsidR="00E239EA">
        <w:t xml:space="preserve"> the editorial introduction, however, the following </w:t>
      </w:r>
      <w:r w:rsidR="00470D1F">
        <w:t xml:space="preserve">four </w:t>
      </w:r>
      <w:r w:rsidR="00A836C4">
        <w:t xml:space="preserve">general </w:t>
      </w:r>
      <w:r w:rsidR="00E239EA">
        <w:t xml:space="preserve">aspects shall be </w:t>
      </w:r>
      <w:r w:rsidR="000E6F8E">
        <w:t>discussed</w:t>
      </w:r>
      <w:r w:rsidR="00E239EA">
        <w:t xml:space="preserve"> </w:t>
      </w:r>
      <w:r w:rsidR="00A836C4">
        <w:t>here</w:t>
      </w:r>
      <w:r w:rsidR="00E239EA">
        <w:t>:</w:t>
      </w:r>
      <w:r w:rsidR="00470D1F">
        <w:t xml:space="preserve"> coverage, ‘uses’, conclusions and issues.</w:t>
      </w:r>
      <w:r w:rsidR="000E6F8E">
        <w:rPr>
          <w:rStyle w:val="FootnoteReference"/>
        </w:rPr>
        <w:footnoteReference w:id="5"/>
      </w:r>
    </w:p>
    <w:p w:rsidR="00470D1F" w:rsidRDefault="00470D1F"/>
    <w:p w:rsidR="00782EE5" w:rsidRDefault="00470D1F">
      <w:proofErr w:type="gramStart"/>
      <w:r>
        <w:t xml:space="preserve">Starting with matters of </w:t>
      </w:r>
      <w:r w:rsidRPr="00D516DC">
        <w:rPr>
          <w:i/>
        </w:rPr>
        <w:t>content</w:t>
      </w:r>
      <w:r>
        <w:t xml:space="preserve">, </w:t>
      </w:r>
      <w:r w:rsidR="00010E8F">
        <w:t xml:space="preserve">disciplinary </w:t>
      </w:r>
      <w:r w:rsidR="00A836C4">
        <w:t>orientations</w:t>
      </w:r>
      <w:r w:rsidR="00010E8F">
        <w:t xml:space="preserve"> range from archaeology to geography; religion to science; legal to cultural history.</w:t>
      </w:r>
      <w:proofErr w:type="gramEnd"/>
      <w:r w:rsidR="00010E8F">
        <w:t xml:space="preserve"> The scale of analysis </w:t>
      </w:r>
      <w:r w:rsidR="007F6E43">
        <w:t xml:space="preserve">is </w:t>
      </w:r>
      <w:r w:rsidR="00010E8F">
        <w:t xml:space="preserve">equally </w:t>
      </w:r>
      <w:r w:rsidR="007F6E43">
        <w:t>varied</w:t>
      </w:r>
      <w:r w:rsidR="00010E8F">
        <w:t xml:space="preserve">: </w:t>
      </w:r>
      <w:r w:rsidR="00F469D5">
        <w:t>local settings</w:t>
      </w:r>
      <w:r w:rsidR="00010E8F">
        <w:t xml:space="preserve"> like houses</w:t>
      </w:r>
      <w:r w:rsidR="00F469D5">
        <w:t>,</w:t>
      </w:r>
      <w:r w:rsidR="00010E8F">
        <w:t xml:space="preserve"> churches</w:t>
      </w:r>
      <w:r w:rsidR="00F469D5">
        <w:t xml:space="preserve"> and cities</w:t>
      </w:r>
      <w:r w:rsidR="00010E8F">
        <w:t xml:space="preserve">; </w:t>
      </w:r>
      <w:r w:rsidR="00F469D5">
        <w:t xml:space="preserve">regional units </w:t>
      </w:r>
      <w:r w:rsidR="007F6E43">
        <w:t>in</w:t>
      </w:r>
      <w:r w:rsidR="00F469D5">
        <w:t xml:space="preserve"> the Balkans, Caribbean and West Africa; Empires </w:t>
      </w:r>
      <w:r w:rsidR="007F6E43">
        <w:t>run by</w:t>
      </w:r>
      <w:r w:rsidR="00F469D5">
        <w:t xml:space="preserve"> the British, Habsburg</w:t>
      </w:r>
      <w:r w:rsidR="007F6E43">
        <w:t>s</w:t>
      </w:r>
      <w:r w:rsidR="00F469D5">
        <w:t xml:space="preserve"> and Ottoman</w:t>
      </w:r>
      <w:r w:rsidR="007F6E43">
        <w:t>s; eve</w:t>
      </w:r>
      <w:r w:rsidR="006E1B41">
        <w:t>n a</w:t>
      </w:r>
      <w:r w:rsidR="00D73A3D">
        <w:t xml:space="preserve">n </w:t>
      </w:r>
      <w:r w:rsidR="00D73A3D">
        <w:lastRenderedPageBreak/>
        <w:t>ingenious</w:t>
      </w:r>
      <w:r w:rsidR="006E1B41">
        <w:t xml:space="preserve"> combination of</w:t>
      </w:r>
      <w:r w:rsidR="00270380">
        <w:t xml:space="preserve"> </w:t>
      </w:r>
      <w:r w:rsidR="00D73A3D">
        <w:t>multiple</w:t>
      </w:r>
      <w:r w:rsidR="00270380">
        <w:t xml:space="preserve"> levels (</w:t>
      </w:r>
      <w:r w:rsidR="006E1B41">
        <w:t>Mayhew)</w:t>
      </w:r>
      <w:r w:rsidR="00F469D5">
        <w:t>.</w:t>
      </w:r>
      <w:r w:rsidR="00755B81">
        <w:t xml:space="preserve"> </w:t>
      </w:r>
      <w:r w:rsidR="007F6E43">
        <w:t>Even so,</w:t>
      </w:r>
      <w:r w:rsidR="000E6F8E">
        <w:t xml:space="preserve"> three themes stand out for me: the negotiation of gender relations (most prominently in Johnson and</w:t>
      </w:r>
      <w:r w:rsidR="000E6F8E" w:rsidRPr="000E6F8E">
        <w:t xml:space="preserve"> </w:t>
      </w:r>
      <w:proofErr w:type="spellStart"/>
      <w:r w:rsidR="000E6F8E">
        <w:t>Flather</w:t>
      </w:r>
      <w:proofErr w:type="spellEnd"/>
      <w:r w:rsidR="000E6F8E">
        <w:t xml:space="preserve">), the limits of political control (Norton, Keenan, Benton &amp; </w:t>
      </w:r>
      <w:proofErr w:type="spellStart"/>
      <w:r w:rsidR="000E6F8E">
        <w:t>Mulich</w:t>
      </w:r>
      <w:proofErr w:type="spellEnd"/>
      <w:r w:rsidR="000E6F8E">
        <w:t xml:space="preserve">) and </w:t>
      </w:r>
      <w:r w:rsidR="00755B81">
        <w:t xml:space="preserve">the formation of </w:t>
      </w:r>
      <w:r w:rsidR="000E6F8E">
        <w:t>period discourse</w:t>
      </w:r>
      <w:r w:rsidR="00755B81">
        <w:t>s</w:t>
      </w:r>
      <w:r w:rsidR="000E6F8E">
        <w:t xml:space="preserve"> (Heffernan, Rudd and Mayhew).</w:t>
      </w:r>
      <w:r>
        <w:t xml:space="preserve"> </w:t>
      </w:r>
      <w:r w:rsidR="006E1B41">
        <w:t>All authors rely on qualitative methods based on fresh interpretations of written, visual and material evidence – pamphlets, building plans, court records, correspondence, ego-documents – rather than attempts at quantification, visualization or mapping.</w:t>
      </w:r>
      <w:r w:rsidR="006E1B41">
        <w:rPr>
          <w:rStyle w:val="FootnoteReference"/>
        </w:rPr>
        <w:footnoteReference w:id="6"/>
      </w:r>
      <w:r w:rsidR="006E1B41">
        <w:t xml:space="preserve"> As explained in the ‘Introduction’ with reference to GIS, such technologies have their specific merits (e.g. in terms of presenting vast amounts of complex data in two- or three-dimensional models), but they tend to be snapshots with a limited capacity to answer the questions many historians are particularly interested in: the dynamics of power relations, divergences in individual / social perceptions, shorter- and longer-term evolutions. </w:t>
      </w:r>
      <w:r w:rsidR="004245E8">
        <w:t>Conceptually</w:t>
      </w:r>
      <w:r w:rsidR="00755B81">
        <w:t>,</w:t>
      </w:r>
      <w:r w:rsidR="006E1B41">
        <w:t xml:space="preserve"> contributors</w:t>
      </w:r>
      <w:r w:rsidR="004245E8">
        <w:t xml:space="preserve"> </w:t>
      </w:r>
      <w:r w:rsidR="00A836C4">
        <w:t>prefer the</w:t>
      </w:r>
      <w:r w:rsidR="004245E8">
        <w:t xml:space="preserve"> </w:t>
      </w:r>
      <w:r w:rsidR="00426F4C">
        <w:t>‘relational’</w:t>
      </w:r>
      <w:r w:rsidR="00BF4C78">
        <w:t xml:space="preserve"> constitution (as postulated by</w:t>
      </w:r>
      <w:r w:rsidR="00426F4C">
        <w:t xml:space="preserve"> </w:t>
      </w:r>
      <w:r w:rsidR="00BF4C78">
        <w:t xml:space="preserve">Gottfried Wilhelm Leibniz already around 1700) </w:t>
      </w:r>
      <w:r w:rsidR="004A2B26">
        <w:t>or</w:t>
      </w:r>
      <w:r w:rsidR="00426F4C">
        <w:t xml:space="preserve"> </w:t>
      </w:r>
      <w:r w:rsidR="004245E8">
        <w:t xml:space="preserve">‘social production’ </w:t>
      </w:r>
      <w:r w:rsidR="00A836C4">
        <w:t xml:space="preserve">model </w:t>
      </w:r>
      <w:r w:rsidR="00010E8F">
        <w:t>(</w:t>
      </w:r>
      <w:r w:rsidR="00A836C4">
        <w:t>variously defined</w:t>
      </w:r>
      <w:r w:rsidR="004245E8">
        <w:t xml:space="preserve"> by </w:t>
      </w:r>
      <w:r w:rsidR="00A836C4">
        <w:t xml:space="preserve">modern </w:t>
      </w:r>
      <w:r w:rsidR="00BF4C78">
        <w:t>scholars like</w:t>
      </w:r>
      <w:r w:rsidR="00426F4C">
        <w:t xml:space="preserve"> </w:t>
      </w:r>
      <w:r w:rsidR="00BF4C78">
        <w:t>Henri Lefebvre and</w:t>
      </w:r>
      <w:r w:rsidR="004245E8">
        <w:t xml:space="preserve"> Martina </w:t>
      </w:r>
      <w:proofErr w:type="spellStart"/>
      <w:r w:rsidR="004245E8">
        <w:t>Löw</w:t>
      </w:r>
      <w:proofErr w:type="spellEnd"/>
      <w:r w:rsidR="00010E8F">
        <w:t>)</w:t>
      </w:r>
      <w:r w:rsidR="004245E8">
        <w:t xml:space="preserve"> </w:t>
      </w:r>
      <w:r w:rsidR="00BF4C78">
        <w:t>to</w:t>
      </w:r>
      <w:r w:rsidR="004F3285">
        <w:t xml:space="preserve"> </w:t>
      </w:r>
      <w:r w:rsidR="00BF4C78">
        <w:t xml:space="preserve">an </w:t>
      </w:r>
      <w:r w:rsidR="004F3285">
        <w:t>‘absolute’</w:t>
      </w:r>
      <w:r w:rsidR="00BF4C78">
        <w:t xml:space="preserve"> concept</w:t>
      </w:r>
      <w:r w:rsidR="004A2B26">
        <w:t xml:space="preserve">ion </w:t>
      </w:r>
      <w:r w:rsidR="00A836C4">
        <w:t xml:space="preserve">of space </w:t>
      </w:r>
      <w:r w:rsidR="004A2B26">
        <w:t>(in the tradition of Isaac Newton)</w:t>
      </w:r>
      <w:r w:rsidR="004245E8">
        <w:t>.</w:t>
      </w:r>
      <w:r w:rsidR="004245E8">
        <w:rPr>
          <w:rStyle w:val="FootnoteReference"/>
        </w:rPr>
        <w:footnoteReference w:id="7"/>
      </w:r>
      <w:r w:rsidR="004245E8">
        <w:t xml:space="preserve"> Ye</w:t>
      </w:r>
      <w:r w:rsidR="00755B81">
        <w:t>t</w:t>
      </w:r>
      <w:r w:rsidR="004245E8">
        <w:t xml:space="preserve"> </w:t>
      </w:r>
      <w:r w:rsidR="00270380">
        <w:t>there are</w:t>
      </w:r>
      <w:r w:rsidR="006E1B41">
        <w:t xml:space="preserve"> differ</w:t>
      </w:r>
      <w:r w:rsidR="00270380">
        <w:t>ent interpretations of</w:t>
      </w:r>
      <w:r w:rsidR="004245E8">
        <w:t xml:space="preserve"> the </w:t>
      </w:r>
      <w:r w:rsidR="00710A74">
        <w:t>role</w:t>
      </w:r>
      <w:r w:rsidR="004245E8">
        <w:t xml:space="preserve"> of </w:t>
      </w:r>
      <w:r w:rsidR="007F6E43">
        <w:t xml:space="preserve">‘things’ and physical environments </w:t>
      </w:r>
      <w:r w:rsidR="004245E8">
        <w:t xml:space="preserve">within this constitution process: Johnson </w:t>
      </w:r>
      <w:r w:rsidR="00710A74">
        <w:t>ranks it highly</w:t>
      </w:r>
      <w:r w:rsidR="004245E8">
        <w:t xml:space="preserve">, Mayhew </w:t>
      </w:r>
      <w:r w:rsidR="007F6E43">
        <w:t>not at all</w:t>
      </w:r>
      <w:r w:rsidR="004245E8">
        <w:t>.</w:t>
      </w:r>
      <w:r w:rsidR="00E239EA">
        <w:t xml:space="preserve"> </w:t>
      </w:r>
      <w:r w:rsidR="00710A74">
        <w:t xml:space="preserve">For the former, corporal movements like sweeping and objects like talismans </w:t>
      </w:r>
      <w:r w:rsidR="00270380">
        <w:t>play</w:t>
      </w:r>
      <w:r w:rsidR="006E1B41">
        <w:t xml:space="preserve"> important part</w:t>
      </w:r>
      <w:r w:rsidR="00270380">
        <w:t>s</w:t>
      </w:r>
      <w:r w:rsidR="00710A74">
        <w:t xml:space="preserve">; for the latter, space cannot ‘do’ anything bar visualizing </w:t>
      </w:r>
      <w:r w:rsidR="00710A74" w:rsidRPr="00710A74">
        <w:rPr>
          <w:i/>
        </w:rPr>
        <w:t>our</w:t>
      </w:r>
      <w:r w:rsidR="00710A74">
        <w:t xml:space="preserve"> concepts and structuring </w:t>
      </w:r>
      <w:r w:rsidR="00710A74" w:rsidRPr="00710A74">
        <w:rPr>
          <w:i/>
        </w:rPr>
        <w:t>our</w:t>
      </w:r>
      <w:r w:rsidR="00710A74">
        <w:t xml:space="preserve"> narrative. </w:t>
      </w:r>
      <w:r w:rsidR="00804AD1">
        <w:t xml:space="preserve">One conspicuous thematic absence is the notion of a structural transformation of the public sphere in this period, perhaps because it is so </w:t>
      </w:r>
      <w:r w:rsidR="00921336">
        <w:t>frequently</w:t>
      </w:r>
      <w:r w:rsidR="00804AD1">
        <w:t xml:space="preserve"> addressed elsewhere.</w:t>
      </w:r>
      <w:r w:rsidR="00804AD1">
        <w:rPr>
          <w:rStyle w:val="FootnoteReference"/>
        </w:rPr>
        <w:footnoteReference w:id="8"/>
      </w:r>
    </w:p>
    <w:p w:rsidR="00E239EA" w:rsidRDefault="00E239EA"/>
    <w:p w:rsidR="004F0397" w:rsidRDefault="00270380">
      <w:r>
        <w:t>Second,</w:t>
      </w:r>
      <w:r w:rsidR="00A523C4">
        <w:t xml:space="preserve"> h</w:t>
      </w:r>
      <w:r w:rsidR="003567F3">
        <w:t xml:space="preserve">ow is space </w:t>
      </w:r>
      <w:r w:rsidR="003567F3" w:rsidRPr="00D516DC">
        <w:rPr>
          <w:i/>
        </w:rPr>
        <w:t>used</w:t>
      </w:r>
      <w:r w:rsidR="003567F3">
        <w:t xml:space="preserve"> </w:t>
      </w:r>
      <w:r>
        <w:t>by these scholars</w:t>
      </w:r>
      <w:r w:rsidR="00921336">
        <w:t xml:space="preserve"> as an analytical tool</w:t>
      </w:r>
      <w:r w:rsidR="00BA79A8">
        <w:t xml:space="preserve">? </w:t>
      </w:r>
      <w:r w:rsidR="00CF390F">
        <w:t xml:space="preserve">Johnson and </w:t>
      </w:r>
      <w:proofErr w:type="spellStart"/>
      <w:r w:rsidR="00CF390F">
        <w:t>Flather</w:t>
      </w:r>
      <w:proofErr w:type="spellEnd"/>
      <w:r w:rsidR="00CF390F">
        <w:t xml:space="preserve"> re-examine the microsites of homes and parish churches with particular emphasis on lived experience and spatial orderings. Rather than the fixed gender roles, linear developments and social hierarchies associated with early modern advice books and</w:t>
      </w:r>
      <w:r w:rsidR="00D73A3D">
        <w:t xml:space="preserve"> scholarly</w:t>
      </w:r>
      <w:r w:rsidR="00CF390F">
        <w:t xml:space="preserve"> concepts like ‘patriarchy’ / ‘separate spheres’, they find </w:t>
      </w:r>
      <w:r w:rsidR="00D73A3D">
        <w:t xml:space="preserve">much </w:t>
      </w:r>
      <w:r w:rsidR="004732FD">
        <w:t>female agency</w:t>
      </w:r>
      <w:r w:rsidR="00D73A3D">
        <w:t>,</w:t>
      </w:r>
      <w:r w:rsidR="00CF390F">
        <w:t xml:space="preserve"> </w:t>
      </w:r>
      <w:r w:rsidR="00D73A3D">
        <w:t xml:space="preserve">contestation </w:t>
      </w:r>
      <w:r w:rsidR="00CF390F">
        <w:t>and dynamic adaptation.</w:t>
      </w:r>
      <w:r w:rsidR="00A910BF">
        <w:rPr>
          <w:rStyle w:val="FootnoteReference"/>
        </w:rPr>
        <w:footnoteReference w:id="9"/>
      </w:r>
      <w:r w:rsidR="00CF390F">
        <w:t xml:space="preserve"> </w:t>
      </w:r>
      <w:r w:rsidR="004732FD">
        <w:t xml:space="preserve">Building on Richard </w:t>
      </w:r>
      <w:proofErr w:type="spellStart"/>
      <w:r w:rsidR="004732FD">
        <w:t>Rorty</w:t>
      </w:r>
      <w:proofErr w:type="spellEnd"/>
      <w:r w:rsidR="004732FD">
        <w:t>, Norton takes an anti-</w:t>
      </w:r>
      <w:proofErr w:type="spellStart"/>
      <w:r w:rsidR="004732FD">
        <w:t>representationalist</w:t>
      </w:r>
      <w:proofErr w:type="spellEnd"/>
      <w:r w:rsidR="004732FD">
        <w:t xml:space="preserve"> stance to </w:t>
      </w:r>
      <w:r w:rsidR="002C1E7C">
        <w:t>trace</w:t>
      </w:r>
      <w:r w:rsidR="004732FD">
        <w:t xml:space="preserve"> grass-roots loyalties and affiliations in the liminal zone between two European superpowers, producing evidence of </w:t>
      </w:r>
      <w:r w:rsidR="002C1E7C">
        <w:t xml:space="preserve">multiple identities and situational alliances; an approach with </w:t>
      </w:r>
      <w:r w:rsidR="00D73A3D">
        <w:t xml:space="preserve">many similarities to that forged by Benton &amp; </w:t>
      </w:r>
      <w:proofErr w:type="spellStart"/>
      <w:r w:rsidR="00D73A3D">
        <w:t>Mulich</w:t>
      </w:r>
      <w:proofErr w:type="spellEnd"/>
      <w:r w:rsidR="00D73A3D">
        <w:t xml:space="preserve"> out of recent developments in borderland, maritime and postcolonial historiographies</w:t>
      </w:r>
      <w:r w:rsidR="004732FD">
        <w:t xml:space="preserve">. Keenan is interested in the </w:t>
      </w:r>
      <w:r w:rsidR="00921336">
        <w:t xml:space="preserve">spatial </w:t>
      </w:r>
      <w:r w:rsidR="002C1E7C">
        <w:t>techniques and symbols mobilized by</w:t>
      </w:r>
      <w:r w:rsidR="004732FD">
        <w:t xml:space="preserve"> </w:t>
      </w:r>
      <w:r w:rsidR="00921336">
        <w:t>a visionary</w:t>
      </w:r>
      <w:r w:rsidR="004732FD">
        <w:t xml:space="preserve"> ruler</w:t>
      </w:r>
      <w:r w:rsidR="002C1E7C">
        <w:t xml:space="preserve"> to</w:t>
      </w:r>
      <w:r w:rsidR="004732FD">
        <w:t xml:space="preserve"> impose </w:t>
      </w:r>
      <w:r w:rsidR="00921336">
        <w:t xml:space="preserve">his </w:t>
      </w:r>
      <w:r w:rsidR="00EA3C73">
        <w:t>political</w:t>
      </w:r>
      <w:r w:rsidR="004732FD">
        <w:t xml:space="preserve"> </w:t>
      </w:r>
      <w:r w:rsidR="00921336">
        <w:t>will</w:t>
      </w:r>
      <w:r w:rsidR="002C1E7C">
        <w:t xml:space="preserve"> </w:t>
      </w:r>
      <w:r w:rsidR="004732FD">
        <w:t>on a</w:t>
      </w:r>
      <w:r w:rsidR="002C1E7C">
        <w:t xml:space="preserve"> landscape </w:t>
      </w:r>
      <w:r w:rsidR="00D73A3D">
        <w:t>inherently adverse</w:t>
      </w:r>
      <w:r w:rsidR="002C1E7C">
        <w:t xml:space="preserve"> to the realization of </w:t>
      </w:r>
      <w:r w:rsidR="00921336">
        <w:t>such</w:t>
      </w:r>
      <w:r w:rsidR="00D73A3D">
        <w:t xml:space="preserve"> ambitious plans, while</w:t>
      </w:r>
      <w:r w:rsidR="004732FD">
        <w:t xml:space="preserve"> </w:t>
      </w:r>
      <w:r w:rsidR="002C1E7C">
        <w:t xml:space="preserve">Heffernan </w:t>
      </w:r>
      <w:r w:rsidR="00D73A3D">
        <w:t>scrutinizes</w:t>
      </w:r>
      <w:r w:rsidR="002C1E7C">
        <w:t xml:space="preserve"> seventeenth-century debates on cartography </w:t>
      </w:r>
      <w:r w:rsidR="00D73A3D">
        <w:t>for information on</w:t>
      </w:r>
      <w:r w:rsidR="002C1E7C">
        <w:t xml:space="preserve"> the evolution and differentiation of modern academic disciplines</w:t>
      </w:r>
      <w:r w:rsidR="00D73A3D">
        <w:t>.</w:t>
      </w:r>
      <w:r w:rsidR="004732FD">
        <w:t xml:space="preserve"> </w:t>
      </w:r>
      <w:r w:rsidR="00EA3C73">
        <w:t xml:space="preserve">Rudd interrogates diverging views on the government of </w:t>
      </w:r>
      <w:r w:rsidR="00921336">
        <w:t>distant</w:t>
      </w:r>
      <w:r w:rsidR="00EA3C73">
        <w:t xml:space="preserve"> parts of an Empire, revealing how assessments of the ‘right’ course in </w:t>
      </w:r>
      <w:r w:rsidR="00EA3C73">
        <w:lastRenderedPageBreak/>
        <w:t xml:space="preserve">turn depend on variables of space and time. Last but not least, Mayhew </w:t>
      </w:r>
      <w:r w:rsidR="004C6217">
        <w:t>deploys</w:t>
      </w:r>
      <w:r w:rsidR="00921336">
        <w:t xml:space="preserve"> </w:t>
      </w:r>
      <w:r w:rsidR="00B83EBD">
        <w:t xml:space="preserve">scalar analysis </w:t>
      </w:r>
      <w:r w:rsidR="00921336">
        <w:t xml:space="preserve">very effectively </w:t>
      </w:r>
      <w:r w:rsidR="00B83EBD">
        <w:t xml:space="preserve">to demonstrate that historical writing </w:t>
      </w:r>
      <w:r w:rsidR="004C6217">
        <w:t>interacted with</w:t>
      </w:r>
      <w:r w:rsidR="00B83EBD">
        <w:t xml:space="preserve"> multi-layered spatial influences. </w:t>
      </w:r>
    </w:p>
    <w:p w:rsidR="00B83EBD" w:rsidRDefault="00B83EBD"/>
    <w:p w:rsidR="00B83EBD" w:rsidRDefault="000B6DDC">
      <w:r>
        <w:t xml:space="preserve">As for </w:t>
      </w:r>
      <w:r w:rsidRPr="004C6217">
        <w:rPr>
          <w:i/>
        </w:rPr>
        <w:t>period uses</w:t>
      </w:r>
      <w:r w:rsidR="00B83EBD">
        <w:t>, the contributions leave no doubt that space</w:t>
      </w:r>
      <w:r w:rsidR="00A910BF">
        <w:t xml:space="preserve"> informed both </w:t>
      </w:r>
      <w:r>
        <w:t>experience and agency in early modern times</w:t>
      </w:r>
      <w:r w:rsidR="00B83EBD">
        <w:t xml:space="preserve">. Women were acutely aware of their positioning within </w:t>
      </w:r>
      <w:r w:rsidR="004C6217">
        <w:t>local society</w:t>
      </w:r>
      <w:r w:rsidR="00B83EBD">
        <w:t xml:space="preserve"> as well as of the tangible benefits of </w:t>
      </w:r>
      <w:r w:rsidR="00A910BF">
        <w:t>striving for</w:t>
      </w:r>
      <w:r w:rsidR="00B83EBD">
        <w:t xml:space="preserve"> a </w:t>
      </w:r>
      <w:r w:rsidR="00720D77">
        <w:t xml:space="preserve">more prestigious </w:t>
      </w:r>
      <w:r w:rsidR="00B83EBD">
        <w:t xml:space="preserve">pew in </w:t>
      </w:r>
      <w:r w:rsidR="004C6217">
        <w:t>the</w:t>
      </w:r>
      <w:r w:rsidR="00720D77">
        <w:t xml:space="preserve"> key ‘public space’</w:t>
      </w:r>
      <w:r w:rsidR="004C6217">
        <w:t xml:space="preserve"> of the church</w:t>
      </w:r>
      <w:r w:rsidR="00B83EBD">
        <w:t>.</w:t>
      </w:r>
      <w:r w:rsidR="00720D77">
        <w:rPr>
          <w:rStyle w:val="FootnoteReference"/>
        </w:rPr>
        <w:footnoteReference w:id="10"/>
      </w:r>
      <w:r w:rsidR="00B83EBD">
        <w:t xml:space="preserve"> </w:t>
      </w:r>
      <w:r w:rsidR="0016736E">
        <w:t xml:space="preserve">Imperial governors </w:t>
      </w:r>
      <w:r>
        <w:t xml:space="preserve">fully recognized </w:t>
      </w:r>
      <w:r w:rsidR="0016736E">
        <w:t xml:space="preserve">the ‘tyranny of distance’ and the limitations it imposed on </w:t>
      </w:r>
      <w:r w:rsidR="00A910BF">
        <w:t>proactive rule</w:t>
      </w:r>
      <w:r w:rsidR="0016736E">
        <w:t xml:space="preserve">. </w:t>
      </w:r>
      <w:r w:rsidR="00B83EBD">
        <w:t xml:space="preserve">Traders, </w:t>
      </w:r>
      <w:r w:rsidR="0016736E">
        <w:t xml:space="preserve">soldiers, </w:t>
      </w:r>
      <w:r w:rsidR="00B83EBD">
        <w:t xml:space="preserve">landowners and marginal groups in borderland zones and </w:t>
      </w:r>
      <w:proofErr w:type="spellStart"/>
      <w:r w:rsidR="00B83EBD">
        <w:t>microregions</w:t>
      </w:r>
      <w:proofErr w:type="spellEnd"/>
      <w:r w:rsidR="00B83EBD">
        <w:t xml:space="preserve"> knew</w:t>
      </w:r>
      <w:r w:rsidR="0016736E">
        <w:t xml:space="preserve"> who</w:t>
      </w:r>
      <w:r w:rsidR="00B83EBD">
        <w:t xml:space="preserve"> </w:t>
      </w:r>
      <w:r w:rsidR="0016736E">
        <w:t xml:space="preserve">was </w:t>
      </w:r>
      <w:r w:rsidR="004C6217">
        <w:t>officially in charge</w:t>
      </w:r>
      <w:r w:rsidR="00B83EBD">
        <w:t xml:space="preserve">, but equally how </w:t>
      </w:r>
      <w:r w:rsidR="004C6217">
        <w:t>political</w:t>
      </w:r>
      <w:r>
        <w:t xml:space="preserve"> demarcations</w:t>
      </w:r>
      <w:r w:rsidR="0016736E">
        <w:t xml:space="preserve"> could be </w:t>
      </w:r>
      <w:r w:rsidR="00A910BF">
        <w:t>overcome</w:t>
      </w:r>
      <w:r w:rsidR="00B83EBD">
        <w:t xml:space="preserve"> through </w:t>
      </w:r>
      <w:r w:rsidR="00A910BF">
        <w:t xml:space="preserve">cross-border </w:t>
      </w:r>
      <w:r>
        <w:t>interactions</w:t>
      </w:r>
      <w:r w:rsidR="00B83EBD">
        <w:t xml:space="preserve"> and </w:t>
      </w:r>
      <w:r w:rsidR="004C6217">
        <w:t>informal</w:t>
      </w:r>
      <w:r w:rsidR="00A910BF">
        <w:t xml:space="preserve"> experiments</w:t>
      </w:r>
      <w:r w:rsidR="00B83EBD">
        <w:t>.</w:t>
      </w:r>
      <w:r w:rsidR="0016736E">
        <w:t xml:space="preserve"> Members of the French scientific establishment </w:t>
      </w:r>
      <w:r w:rsidR="00CB6D7A">
        <w:t xml:space="preserve">– divided into vertical/celestial astronomy and horizontal/secular geography – </w:t>
      </w:r>
      <w:r w:rsidR="00A910BF">
        <w:t>clashed over</w:t>
      </w:r>
      <w:r w:rsidR="0016736E">
        <w:t xml:space="preserve"> the</w:t>
      </w:r>
      <w:r w:rsidR="00A910BF">
        <w:t xml:space="preserve"> best possible representation of space</w:t>
      </w:r>
      <w:r w:rsidR="0016736E">
        <w:t xml:space="preserve"> </w:t>
      </w:r>
      <w:r w:rsidR="00A910BF">
        <w:t>and disciplinary control over the production and interpretation of maps</w:t>
      </w:r>
      <w:r w:rsidR="0016736E">
        <w:t xml:space="preserve">. Peter the Great, </w:t>
      </w:r>
      <w:r w:rsidR="00CB6D7A">
        <w:t>in turn</w:t>
      </w:r>
      <w:r w:rsidR="0016736E">
        <w:t xml:space="preserve">, </w:t>
      </w:r>
      <w:r w:rsidR="004C6217">
        <w:t>drew on</w:t>
      </w:r>
      <w:r>
        <w:t xml:space="preserve"> his experience of </w:t>
      </w:r>
      <w:r w:rsidR="0016736E">
        <w:t>Continent</w:t>
      </w:r>
      <w:r>
        <w:t>al travel</w:t>
      </w:r>
      <w:r w:rsidR="0016736E">
        <w:t xml:space="preserve"> to </w:t>
      </w:r>
      <w:r w:rsidR="004C6217">
        <w:t>use</w:t>
      </w:r>
      <w:r w:rsidR="00C43CEC">
        <w:t xml:space="preserve"> Amsterdam </w:t>
      </w:r>
      <w:r w:rsidR="004C6217">
        <w:t>as</w:t>
      </w:r>
      <w:r w:rsidR="00C43CEC">
        <w:t xml:space="preserve"> the</w:t>
      </w:r>
      <w:r w:rsidR="0016736E">
        <w:t xml:space="preserve"> </w:t>
      </w:r>
      <w:r w:rsidR="00C43CEC">
        <w:t>blueprint</w:t>
      </w:r>
      <w:r w:rsidR="0016736E">
        <w:t xml:space="preserve"> for </w:t>
      </w:r>
      <w:r>
        <w:t>Russia’s new economic and political centre</w:t>
      </w:r>
      <w:r w:rsidR="00CB6D7A">
        <w:t xml:space="preserve"> on the </w:t>
      </w:r>
      <w:r w:rsidR="004C6217">
        <w:t xml:space="preserve">Baltic </w:t>
      </w:r>
      <w:r w:rsidR="00CB6D7A">
        <w:t xml:space="preserve">shore. </w:t>
      </w:r>
      <w:r w:rsidR="004C6217">
        <w:t>By punctuating the new settlement with churches and religious symbols, however</w:t>
      </w:r>
      <w:r w:rsidR="00CB6D7A">
        <w:t>, the tsar modell</w:t>
      </w:r>
      <w:r w:rsidR="004C6217">
        <w:t>ed</w:t>
      </w:r>
      <w:r w:rsidR="00CB6D7A">
        <w:t xml:space="preserve"> St Petersburg </w:t>
      </w:r>
      <w:r w:rsidR="004C6217">
        <w:t>on</w:t>
      </w:r>
      <w:r w:rsidR="00CB6D7A">
        <w:t xml:space="preserve"> </w:t>
      </w:r>
      <w:r>
        <w:t>another</w:t>
      </w:r>
      <w:r w:rsidR="00CB6D7A">
        <w:t xml:space="preserve"> </w:t>
      </w:r>
      <w:r>
        <w:t xml:space="preserve">European </w:t>
      </w:r>
      <w:r w:rsidR="00CB6D7A">
        <w:t>city</w:t>
      </w:r>
      <w:r>
        <w:t>:</w:t>
      </w:r>
      <w:r w:rsidR="00CB6D7A">
        <w:t xml:space="preserve"> Rome. </w:t>
      </w:r>
      <w:r w:rsidR="00C43CEC">
        <w:t xml:space="preserve">In </w:t>
      </w:r>
      <w:r>
        <w:t xml:space="preserve">studying </w:t>
      </w:r>
      <w:r w:rsidR="00C43CEC">
        <w:t>the more or less contemporary historical figures of Warren Hastings, Edmund Burke and Thomas Robert Malthus, finally, we get an impression of how thinking on different scales – the local</w:t>
      </w:r>
      <w:r>
        <w:t>/parochial</w:t>
      </w:r>
      <w:r w:rsidR="00C43CEC">
        <w:t xml:space="preserve">, territorial/national and imperial/global – shaped distinctive and by no means identical </w:t>
      </w:r>
      <w:r w:rsidR="00A910BF">
        <w:t>worldviews.</w:t>
      </w:r>
      <w:r w:rsidR="00C43CEC">
        <w:t xml:space="preserve">  </w:t>
      </w:r>
      <w:r w:rsidR="00CB6D7A">
        <w:t xml:space="preserve">  </w:t>
      </w:r>
    </w:p>
    <w:p w:rsidR="000B6DDC" w:rsidRDefault="000B6DDC"/>
    <w:p w:rsidR="000B6DDC" w:rsidRDefault="00D46D39">
      <w:r>
        <w:t>Individually</w:t>
      </w:r>
      <w:r w:rsidR="000B6DDC">
        <w:t xml:space="preserve">, the contributions </w:t>
      </w:r>
      <w:r>
        <w:t xml:space="preserve">thus </w:t>
      </w:r>
      <w:r w:rsidR="000B6DDC">
        <w:t>arrive at</w:t>
      </w:r>
      <w:r>
        <w:t xml:space="preserve"> a multitude of interesting findings. Taken together,</w:t>
      </w:r>
      <w:r w:rsidR="000B6DDC">
        <w:t xml:space="preserve"> </w:t>
      </w:r>
      <w:r>
        <w:t>one</w:t>
      </w:r>
      <w:r w:rsidR="000B6DDC">
        <w:t xml:space="preserve"> powerful </w:t>
      </w:r>
      <w:r w:rsidRPr="00D516DC">
        <w:rPr>
          <w:i/>
        </w:rPr>
        <w:t>conclusion</w:t>
      </w:r>
      <w:r>
        <w:t xml:space="preserve"> prevails: </w:t>
      </w:r>
      <w:r w:rsidR="000B6DDC">
        <w:t xml:space="preserve">‘fluidity’. </w:t>
      </w:r>
      <w:r>
        <w:t>Proceeding</w:t>
      </w:r>
      <w:r w:rsidR="000B6DDC">
        <w:t xml:space="preserve"> beyond the level of governing elites and their</w:t>
      </w:r>
      <w:r w:rsidR="0094518D">
        <w:t xml:space="preserve"> official, published discourses, </w:t>
      </w:r>
      <w:r>
        <w:t>the authors uncover the</w:t>
      </w:r>
      <w:r w:rsidR="0094518D">
        <w:t xml:space="preserve"> inherent instability of spatial hierarchies, authorities and identities; </w:t>
      </w:r>
      <w:r>
        <w:t xml:space="preserve">of </w:t>
      </w:r>
      <w:r w:rsidR="0094518D">
        <w:t xml:space="preserve">gender spheres; political boundaries; </w:t>
      </w:r>
      <w:r>
        <w:t>regional networks; and the meanings associated with particular places.</w:t>
      </w:r>
      <w:r w:rsidR="00926F27">
        <w:t xml:space="preserve"> T</w:t>
      </w:r>
      <w:r>
        <w:t>his</w:t>
      </w:r>
      <w:r w:rsidR="00926F27">
        <w:t xml:space="preserve"> message is powerful and</w:t>
      </w:r>
      <w:r>
        <w:t xml:space="preserve"> well-substanti</w:t>
      </w:r>
      <w:r w:rsidR="00926F27">
        <w:t xml:space="preserve">ated, but is it </w:t>
      </w:r>
      <w:r>
        <w:t xml:space="preserve">perhaps a little too </w:t>
      </w:r>
      <w:r w:rsidR="00926F27">
        <w:t>strong and one-sided? In order to function, after all, societies need a minimum of agreed rules, established modes of communication and (</w:t>
      </w:r>
      <w:r w:rsidR="00B403A2">
        <w:t>arguably</w:t>
      </w:r>
      <w:r w:rsidR="00926F27">
        <w:t xml:space="preserve">) spatial </w:t>
      </w:r>
      <w:r w:rsidR="00B403A2">
        <w:t>demarcations</w:t>
      </w:r>
      <w:r w:rsidR="00926F27">
        <w:t xml:space="preserve">. Whatever the opportunities for </w:t>
      </w:r>
      <w:r w:rsidR="00B403A2">
        <w:t xml:space="preserve">political </w:t>
      </w:r>
      <w:r w:rsidR="00926F27">
        <w:t xml:space="preserve">transcendence and subversion in specific situations, the sheer territorial expanse of a country like Russia, the (comparatively) effective command of </w:t>
      </w:r>
      <w:r w:rsidR="00B403A2">
        <w:t>the waves</w:t>
      </w:r>
      <w:r w:rsidR="00926F27">
        <w:t xml:space="preserve"> by the British navy, and the distinct legal</w:t>
      </w:r>
      <w:r>
        <w:t xml:space="preserve"> </w:t>
      </w:r>
      <w:r w:rsidR="00B403A2">
        <w:t>frameworks</w:t>
      </w:r>
      <w:r w:rsidR="00926F27">
        <w:t xml:space="preserve"> of individual towns and villages </w:t>
      </w:r>
      <w:r w:rsidR="00B403A2">
        <w:t>were ‘facts’ to be reckoned with. Similar points could be made with regard to the spatial manifestations of economic and religious power.</w:t>
      </w:r>
    </w:p>
    <w:p w:rsidR="00B403A2" w:rsidRDefault="00B403A2"/>
    <w:p w:rsidR="002E5B40" w:rsidRDefault="004C6217">
      <w:r>
        <w:t>With a view to</w:t>
      </w:r>
      <w:r w:rsidR="00B403A2">
        <w:t xml:space="preserve"> </w:t>
      </w:r>
      <w:r>
        <w:t>current</w:t>
      </w:r>
      <w:r w:rsidR="00B403A2">
        <w:t xml:space="preserve"> debates in the field more generally, three further </w:t>
      </w:r>
      <w:r w:rsidR="00B403A2" w:rsidRPr="00D516DC">
        <w:rPr>
          <w:i/>
        </w:rPr>
        <w:t>issues</w:t>
      </w:r>
      <w:r w:rsidR="00B403A2">
        <w:t xml:space="preserve"> shall be briefly touched upon</w:t>
      </w:r>
      <w:r>
        <w:t xml:space="preserve"> here</w:t>
      </w:r>
      <w:r w:rsidR="00B403A2">
        <w:t>: the complex relationship between the material and immaterial dimensions; the vexed question of terminology; and the place of ‘early modernity’ in the history of space.</w:t>
      </w:r>
      <w:r w:rsidR="00531A69">
        <w:t xml:space="preserve"> The material world is by no means absent from th</w:t>
      </w:r>
      <w:r w:rsidR="00D516DC">
        <w:t>e</w:t>
      </w:r>
      <w:r w:rsidR="00531A69">
        <w:t>s</w:t>
      </w:r>
      <w:r w:rsidR="00D516DC">
        <w:t>e</w:t>
      </w:r>
      <w:r w:rsidR="00531A69">
        <w:t xml:space="preserve"> </w:t>
      </w:r>
      <w:r w:rsidR="00D516DC">
        <w:t>pages</w:t>
      </w:r>
      <w:r w:rsidR="00531A69">
        <w:t xml:space="preserve"> (dust and dirt in the English vernacular house; scuffles during church services; abject devastation of paupers in Malthus’ parish; the adverse terrain faced by the builders of St Petersburg), but on balance engagement with representation, discourse and mental worlds is rather more extensive. This has </w:t>
      </w:r>
      <w:r w:rsidR="00D516DC">
        <w:t xml:space="preserve">previously </w:t>
      </w:r>
      <w:r w:rsidR="00531A69">
        <w:t xml:space="preserve">been noted as a concomitant of the cultural turn and the integration of the two </w:t>
      </w:r>
      <w:r w:rsidR="001F6F2C">
        <w:lastRenderedPageBreak/>
        <w:t xml:space="preserve">dimensions </w:t>
      </w:r>
      <w:r w:rsidR="00531A69">
        <w:t>remains challenging.</w:t>
      </w:r>
      <w:r w:rsidR="00531A69">
        <w:rPr>
          <w:rStyle w:val="FootnoteReference"/>
        </w:rPr>
        <w:footnoteReference w:id="11"/>
      </w:r>
      <w:r w:rsidR="00531A69">
        <w:t xml:space="preserve"> </w:t>
      </w:r>
      <w:r w:rsidR="001F6F2C">
        <w:t>Would it be helpful to, say, take account of the size, shape and ornamentation of pews; the topographical location and interior layout of the Paris Academy of Science; the personal travel experience</w:t>
      </w:r>
      <w:r w:rsidR="00517C4C">
        <w:t>s</w:t>
      </w:r>
      <w:r w:rsidR="001F6F2C">
        <w:t xml:space="preserve"> of Burke and Hastings?</w:t>
      </w:r>
      <w:r w:rsidR="00B403A2">
        <w:t xml:space="preserve"> </w:t>
      </w:r>
    </w:p>
    <w:p w:rsidR="002E5B40" w:rsidRDefault="002E5B40"/>
    <w:p w:rsidR="0012578F" w:rsidRDefault="00034E86">
      <w:pPr>
        <w:rPr>
          <w:rFonts w:cs="Times New Roman"/>
          <w:shd w:val="clear" w:color="auto" w:fill="FFFFFF"/>
        </w:rPr>
      </w:pPr>
      <w:r>
        <w:t xml:space="preserve">As for terminology, there </w:t>
      </w:r>
      <w:r w:rsidR="00517C4C">
        <w:t>have been numerous</w:t>
      </w:r>
      <w:r w:rsidR="001F6F2C">
        <w:t xml:space="preserve"> </w:t>
      </w:r>
      <w:r>
        <w:t>attempts</w:t>
      </w:r>
      <w:r w:rsidR="001F6F2C">
        <w:t xml:space="preserve"> to </w:t>
      </w:r>
      <w:r w:rsidR="00CF6ED1">
        <w:t>promote</w:t>
      </w:r>
      <w:r w:rsidR="001F6F2C">
        <w:t xml:space="preserve"> consistency and clarity across period</w:t>
      </w:r>
      <w:r>
        <w:t>s</w:t>
      </w:r>
      <w:r w:rsidR="001F6F2C">
        <w:t xml:space="preserve"> and disciplin</w:t>
      </w:r>
      <w:r>
        <w:t>es</w:t>
      </w:r>
      <w:r w:rsidR="001F6F2C">
        <w:t xml:space="preserve">. </w:t>
      </w:r>
      <w:r w:rsidRPr="00481CC4">
        <w:rPr>
          <w:rFonts w:cs="Times New Roman"/>
        </w:rPr>
        <w:t xml:space="preserve">The most famous </w:t>
      </w:r>
      <w:r w:rsidR="008C6E09">
        <w:rPr>
          <w:rFonts w:cs="Times New Roman"/>
        </w:rPr>
        <w:t>example</w:t>
      </w:r>
      <w:r w:rsidRPr="00481CC4">
        <w:rPr>
          <w:rFonts w:cs="Times New Roman"/>
        </w:rPr>
        <w:t xml:space="preserve"> is Lefebvre’s trilogy of </w:t>
      </w:r>
      <w:r>
        <w:rPr>
          <w:rFonts w:cs="Times New Roman"/>
          <w:shd w:val="clear" w:color="auto" w:fill="FFFFFF"/>
        </w:rPr>
        <w:t>‘spatial practice’</w:t>
      </w:r>
      <w:r w:rsidRPr="00481CC4">
        <w:rPr>
          <w:rFonts w:cs="Times New Roman"/>
          <w:shd w:val="clear" w:color="auto" w:fill="FFFFFF"/>
        </w:rPr>
        <w:t xml:space="preserve">, </w:t>
      </w:r>
      <w:r>
        <w:rPr>
          <w:rFonts w:cs="Times New Roman"/>
          <w:shd w:val="clear" w:color="auto" w:fill="FFFFFF"/>
        </w:rPr>
        <w:t>‘</w:t>
      </w:r>
      <w:r w:rsidRPr="00481CC4">
        <w:rPr>
          <w:rStyle w:val="Emphasis"/>
          <w:rFonts w:cs="Times New Roman"/>
          <w:bCs/>
          <w:i w:val="0"/>
          <w:iCs w:val="0"/>
          <w:shd w:val="clear" w:color="auto" w:fill="FFFFFF"/>
        </w:rPr>
        <w:t>representation</w:t>
      </w:r>
      <w:r w:rsidRPr="00481CC4">
        <w:rPr>
          <w:rStyle w:val="apple-converted-space"/>
          <w:rFonts w:cs="Times New Roman"/>
          <w:shd w:val="clear" w:color="auto" w:fill="FFFFFF"/>
        </w:rPr>
        <w:t> </w:t>
      </w:r>
      <w:r w:rsidRPr="00481CC4">
        <w:rPr>
          <w:rFonts w:cs="Times New Roman"/>
          <w:shd w:val="clear" w:color="auto" w:fill="FFFFFF"/>
        </w:rPr>
        <w:t>of</w:t>
      </w:r>
      <w:r w:rsidRPr="00481CC4">
        <w:rPr>
          <w:rStyle w:val="apple-converted-space"/>
          <w:rFonts w:cs="Times New Roman"/>
          <w:shd w:val="clear" w:color="auto" w:fill="FFFFFF"/>
        </w:rPr>
        <w:t> </w:t>
      </w:r>
      <w:r w:rsidRPr="00481CC4">
        <w:rPr>
          <w:rStyle w:val="Emphasis"/>
          <w:rFonts w:cs="Times New Roman"/>
          <w:bCs/>
          <w:i w:val="0"/>
          <w:iCs w:val="0"/>
          <w:shd w:val="clear" w:color="auto" w:fill="FFFFFF"/>
        </w:rPr>
        <w:t>space</w:t>
      </w:r>
      <w:r>
        <w:rPr>
          <w:rFonts w:cs="Times New Roman"/>
          <w:shd w:val="clear" w:color="auto" w:fill="FFFFFF"/>
        </w:rPr>
        <w:t>’</w:t>
      </w:r>
      <w:r w:rsidRPr="00481CC4">
        <w:rPr>
          <w:rFonts w:cs="Times New Roman"/>
          <w:shd w:val="clear" w:color="auto" w:fill="FFFFFF"/>
        </w:rPr>
        <w:t xml:space="preserve"> and </w:t>
      </w:r>
      <w:r>
        <w:rPr>
          <w:rFonts w:cs="Times New Roman"/>
          <w:shd w:val="clear" w:color="auto" w:fill="FFFFFF"/>
        </w:rPr>
        <w:t>‘</w:t>
      </w:r>
      <w:r w:rsidRPr="00481CC4">
        <w:rPr>
          <w:rStyle w:val="Emphasis"/>
          <w:rFonts w:cs="Times New Roman"/>
          <w:bCs/>
          <w:i w:val="0"/>
          <w:iCs w:val="0"/>
          <w:shd w:val="clear" w:color="auto" w:fill="FFFFFF"/>
        </w:rPr>
        <w:t>representational space</w:t>
      </w:r>
      <w:r>
        <w:rPr>
          <w:rFonts w:cs="Times New Roman"/>
          <w:shd w:val="clear" w:color="auto" w:fill="FFFFFF"/>
        </w:rPr>
        <w:t xml:space="preserve">’, but many observers – including this writer – have found </w:t>
      </w:r>
      <w:r w:rsidR="00517C4C">
        <w:rPr>
          <w:rFonts w:cs="Times New Roman"/>
          <w:shd w:val="clear" w:color="auto" w:fill="FFFFFF"/>
        </w:rPr>
        <w:t>it</w:t>
      </w:r>
      <w:r>
        <w:rPr>
          <w:rFonts w:cs="Times New Roman"/>
          <w:shd w:val="clear" w:color="auto" w:fill="FFFFFF"/>
        </w:rPr>
        <w:t xml:space="preserve"> </w:t>
      </w:r>
      <w:r w:rsidR="00517C4C">
        <w:rPr>
          <w:rFonts w:cs="Times New Roman"/>
          <w:shd w:val="clear" w:color="auto" w:fill="FFFFFF"/>
        </w:rPr>
        <w:t xml:space="preserve">somewhat </w:t>
      </w:r>
      <w:r>
        <w:rPr>
          <w:rFonts w:cs="Times New Roman"/>
          <w:shd w:val="clear" w:color="auto" w:fill="FFFFFF"/>
        </w:rPr>
        <w:t xml:space="preserve">difficult to </w:t>
      </w:r>
      <w:r w:rsidR="00517C4C">
        <w:rPr>
          <w:rFonts w:cs="Times New Roman"/>
          <w:shd w:val="clear" w:color="auto" w:fill="FFFFFF"/>
        </w:rPr>
        <w:t>disentangle</w:t>
      </w:r>
      <w:r>
        <w:rPr>
          <w:rFonts w:cs="Times New Roman"/>
          <w:shd w:val="clear" w:color="auto" w:fill="FFFFFF"/>
        </w:rPr>
        <w:t>.</w:t>
      </w:r>
      <w:r>
        <w:rPr>
          <w:rStyle w:val="FootnoteReference"/>
          <w:rFonts w:cs="Times New Roman"/>
          <w:shd w:val="clear" w:color="auto" w:fill="FFFFFF"/>
        </w:rPr>
        <w:footnoteReference w:id="12"/>
      </w:r>
      <w:r>
        <w:rPr>
          <w:rFonts w:cs="Times New Roman"/>
          <w:shd w:val="clear" w:color="auto" w:fill="FFFFFF"/>
        </w:rPr>
        <w:t xml:space="preserve"> In the introduction</w:t>
      </w:r>
      <w:r w:rsidR="008C6E09">
        <w:rPr>
          <w:rFonts w:cs="Times New Roman"/>
          <w:shd w:val="clear" w:color="auto" w:fill="FFFFFF"/>
        </w:rPr>
        <w:t xml:space="preserve"> above</w:t>
      </w:r>
      <w:r>
        <w:rPr>
          <w:rFonts w:cs="Times New Roman"/>
          <w:shd w:val="clear" w:color="auto" w:fill="FFFFFF"/>
        </w:rPr>
        <w:t xml:space="preserve">, the editor rightly cautions against tendencies to set invariable/empty/bad ‘space’ too starkly against </w:t>
      </w:r>
      <w:r w:rsidR="00EC1FDE">
        <w:rPr>
          <w:rFonts w:cs="Times New Roman"/>
          <w:shd w:val="clear" w:color="auto" w:fill="FFFFFF"/>
        </w:rPr>
        <w:t>historicized</w:t>
      </w:r>
      <w:r>
        <w:rPr>
          <w:rFonts w:cs="Times New Roman"/>
          <w:shd w:val="clear" w:color="auto" w:fill="FFFFFF"/>
        </w:rPr>
        <w:t xml:space="preserve">/meaningful/good ‘place’, but perhaps at the risk of blurring the boundaries between the two </w:t>
      </w:r>
      <w:r w:rsidR="00CF6ED1">
        <w:rPr>
          <w:rFonts w:cs="Times New Roman"/>
          <w:shd w:val="clear" w:color="auto" w:fill="FFFFFF"/>
        </w:rPr>
        <w:t>in return</w:t>
      </w:r>
      <w:r>
        <w:rPr>
          <w:rFonts w:cs="Times New Roman"/>
          <w:shd w:val="clear" w:color="auto" w:fill="FFFFFF"/>
        </w:rPr>
        <w:t xml:space="preserve">. </w:t>
      </w:r>
      <w:r w:rsidR="00073782">
        <w:t xml:space="preserve">His definition of ‘place’, furthermore, differs e.g. from that of </w:t>
      </w:r>
      <w:proofErr w:type="spellStart"/>
      <w:r w:rsidR="00073782">
        <w:t>Flather</w:t>
      </w:r>
      <w:proofErr w:type="spellEnd"/>
      <w:r w:rsidR="00073782">
        <w:t xml:space="preserve"> (where it seems to be used for a topographical point). </w:t>
      </w:r>
      <w:r>
        <w:rPr>
          <w:rFonts w:cs="Times New Roman"/>
          <w:shd w:val="clear" w:color="auto" w:fill="FFFFFF"/>
        </w:rPr>
        <w:t xml:space="preserve">In a </w:t>
      </w:r>
      <w:r w:rsidR="00073782">
        <w:rPr>
          <w:rFonts w:cs="Times New Roman"/>
          <w:shd w:val="clear" w:color="auto" w:fill="FFFFFF"/>
        </w:rPr>
        <w:t>fresh</w:t>
      </w:r>
      <w:r w:rsidR="00EC1FDE">
        <w:rPr>
          <w:rFonts w:cs="Times New Roman"/>
          <w:shd w:val="clear" w:color="auto" w:fill="FFFFFF"/>
        </w:rPr>
        <w:t xml:space="preserve"> attack on the loose use of vocabulary in the field (and – rather as </w:t>
      </w:r>
      <w:r w:rsidR="00C74D83">
        <w:rPr>
          <w:rFonts w:cs="Times New Roman"/>
          <w:shd w:val="clear" w:color="auto" w:fill="FFFFFF"/>
        </w:rPr>
        <w:t>emphasized</w:t>
      </w:r>
      <w:r w:rsidR="00EC1FDE">
        <w:rPr>
          <w:rFonts w:cs="Times New Roman"/>
          <w:shd w:val="clear" w:color="auto" w:fill="FFFFFF"/>
        </w:rPr>
        <w:t xml:space="preserve"> here by Mayhew – the lack of any evidence or conceptualization of the actual ‘agency’ of space)</w:t>
      </w:r>
      <w:r>
        <w:rPr>
          <w:rFonts w:cs="Times New Roman"/>
          <w:shd w:val="clear" w:color="auto" w:fill="FFFFFF"/>
        </w:rPr>
        <w:t xml:space="preserve">, Leif </w:t>
      </w:r>
      <w:proofErr w:type="spellStart"/>
      <w:r>
        <w:rPr>
          <w:rFonts w:cs="Times New Roman"/>
          <w:shd w:val="clear" w:color="auto" w:fill="FFFFFF"/>
        </w:rPr>
        <w:t>Jerram</w:t>
      </w:r>
      <w:proofErr w:type="spellEnd"/>
      <w:r>
        <w:rPr>
          <w:rFonts w:cs="Times New Roman"/>
          <w:shd w:val="clear" w:color="auto" w:fill="FFFFFF"/>
        </w:rPr>
        <w:t xml:space="preserve"> </w:t>
      </w:r>
      <w:r w:rsidR="00517C4C">
        <w:rPr>
          <w:rFonts w:cs="Times New Roman"/>
          <w:shd w:val="clear" w:color="auto" w:fill="FFFFFF"/>
        </w:rPr>
        <w:t>proposes</w:t>
      </w:r>
      <w:r>
        <w:rPr>
          <w:rFonts w:cs="Times New Roman"/>
          <w:shd w:val="clear" w:color="auto" w:fill="FFFFFF"/>
        </w:rPr>
        <w:t xml:space="preserve"> </w:t>
      </w:r>
      <w:r w:rsidR="00073782">
        <w:rPr>
          <w:rFonts w:cs="Times New Roman"/>
          <w:shd w:val="clear" w:color="auto" w:fill="FFFFFF"/>
        </w:rPr>
        <w:t>a revised</w:t>
      </w:r>
      <w:r>
        <w:rPr>
          <w:rFonts w:cs="Times New Roman"/>
          <w:shd w:val="clear" w:color="auto" w:fill="FFFFFF"/>
        </w:rPr>
        <w:t xml:space="preserve"> </w:t>
      </w:r>
      <w:r w:rsidR="002E5B40">
        <w:rPr>
          <w:rFonts w:cs="Times New Roman"/>
          <w:shd w:val="clear" w:color="auto" w:fill="FFFFFF"/>
        </w:rPr>
        <w:t>layering</w:t>
      </w:r>
      <w:r>
        <w:rPr>
          <w:rFonts w:cs="Times New Roman"/>
          <w:shd w:val="clear" w:color="auto" w:fill="FFFFFF"/>
        </w:rPr>
        <w:t xml:space="preserve"> </w:t>
      </w:r>
      <w:r w:rsidR="00EC1FDE">
        <w:t xml:space="preserve">in which “space” refers to the “proximate disposition of things in relation to each other”, “site” to the “location of things on the earth’s surface” and “place” to “values, beliefs, codes and practices that surround a particular location”. In </w:t>
      </w:r>
      <w:r w:rsidR="008C6E09">
        <w:t>essence</w:t>
      </w:r>
      <w:r w:rsidR="00EC1FDE">
        <w:t xml:space="preserve">, he calls for </w:t>
      </w:r>
      <w:r w:rsidR="00073782">
        <w:t>a theoretically</w:t>
      </w:r>
      <w:r w:rsidR="00EC1FDE">
        <w:t xml:space="preserve"> satisfactory accounting for “space” in the historical process or to stop using the term </w:t>
      </w:r>
      <w:r w:rsidR="00073782">
        <w:t>altogether</w:t>
      </w:r>
      <w:r w:rsidR="00EC1FDE">
        <w:t>.</w:t>
      </w:r>
      <w:r w:rsidR="00073782">
        <w:rPr>
          <w:rStyle w:val="FootnoteReference"/>
        </w:rPr>
        <w:footnoteReference w:id="13"/>
      </w:r>
      <w:r>
        <w:rPr>
          <w:rFonts w:cs="Times New Roman"/>
          <w:shd w:val="clear" w:color="auto" w:fill="FFFFFF"/>
        </w:rPr>
        <w:t xml:space="preserve"> </w:t>
      </w:r>
      <w:r w:rsidR="002E5B40">
        <w:rPr>
          <w:rFonts w:cs="Times New Roman"/>
          <w:shd w:val="clear" w:color="auto" w:fill="FFFFFF"/>
        </w:rPr>
        <w:t xml:space="preserve">But should location and disposition of objects not be classed as features of the same physical environment rather than as separate categories? </w:t>
      </w:r>
      <w:r w:rsidR="008C6E09">
        <w:rPr>
          <w:rFonts w:cs="Times New Roman"/>
          <w:shd w:val="clear" w:color="auto" w:fill="FFFFFF"/>
        </w:rPr>
        <w:t>My inclination</w:t>
      </w:r>
      <w:r w:rsidR="002E5B40">
        <w:rPr>
          <w:rFonts w:cs="Times New Roman"/>
          <w:shd w:val="clear" w:color="auto" w:fill="FFFFFF"/>
        </w:rPr>
        <w:t xml:space="preserve">, I fear, is towards yet another tripartite model: “location” for </w:t>
      </w:r>
      <w:r w:rsidR="003A0D35">
        <w:rPr>
          <w:rFonts w:cs="Times New Roman"/>
          <w:shd w:val="clear" w:color="auto" w:fill="FFFFFF"/>
        </w:rPr>
        <w:t>a</w:t>
      </w:r>
      <w:r w:rsidR="002E5B40">
        <w:rPr>
          <w:rFonts w:cs="Times New Roman"/>
          <w:shd w:val="clear" w:color="auto" w:fill="FFFFFF"/>
        </w:rPr>
        <w:t xml:space="preserve"> </w:t>
      </w:r>
      <w:r w:rsidR="003A0D35">
        <w:rPr>
          <w:rFonts w:cs="Times New Roman"/>
          <w:shd w:val="clear" w:color="auto" w:fill="FFFFFF"/>
        </w:rPr>
        <w:t>specific position</w:t>
      </w:r>
      <w:r w:rsidR="002E5B40">
        <w:rPr>
          <w:rFonts w:cs="Times New Roman"/>
          <w:shd w:val="clear" w:color="auto" w:fill="FFFFFF"/>
        </w:rPr>
        <w:t xml:space="preserve"> within a </w:t>
      </w:r>
      <w:r w:rsidR="00C74D83">
        <w:rPr>
          <w:rFonts w:cs="Times New Roman"/>
          <w:shd w:val="clear" w:color="auto" w:fill="FFFFFF"/>
        </w:rPr>
        <w:t>current</w:t>
      </w:r>
      <w:r w:rsidR="002E5B40">
        <w:rPr>
          <w:rFonts w:cs="Times New Roman"/>
          <w:shd w:val="clear" w:color="auto" w:fill="FFFFFF"/>
        </w:rPr>
        <w:t xml:space="preserve"> or </w:t>
      </w:r>
      <w:r w:rsidR="003A0D35">
        <w:rPr>
          <w:rFonts w:cs="Times New Roman"/>
          <w:shd w:val="clear" w:color="auto" w:fill="FFFFFF"/>
        </w:rPr>
        <w:t xml:space="preserve">historical </w:t>
      </w:r>
      <w:r w:rsidR="002E5B40">
        <w:rPr>
          <w:rFonts w:cs="Times New Roman"/>
          <w:shd w:val="clear" w:color="auto" w:fill="FFFFFF"/>
        </w:rPr>
        <w:t>system</w:t>
      </w:r>
      <w:r w:rsidR="00517C4C">
        <w:rPr>
          <w:rFonts w:cs="Times New Roman"/>
          <w:shd w:val="clear" w:color="auto" w:fill="FFFFFF"/>
        </w:rPr>
        <w:t xml:space="preserve"> of organisation / measurement (</w:t>
      </w:r>
      <w:r w:rsidR="003A0D35">
        <w:rPr>
          <w:rFonts w:cs="Times New Roman"/>
          <w:shd w:val="clear" w:color="auto" w:fill="FFFFFF"/>
        </w:rPr>
        <w:t>for instance a</w:t>
      </w:r>
      <w:r w:rsidR="00C74D83">
        <w:rPr>
          <w:rFonts w:cs="Times New Roman"/>
          <w:shd w:val="clear" w:color="auto" w:fill="FFFFFF"/>
        </w:rPr>
        <w:t>s defined by coordinates on</w:t>
      </w:r>
      <w:r w:rsidR="003A0D35">
        <w:rPr>
          <w:rFonts w:cs="Times New Roman"/>
          <w:shd w:val="clear" w:color="auto" w:fill="FFFFFF"/>
        </w:rPr>
        <w:t xml:space="preserve"> a </w:t>
      </w:r>
      <w:r w:rsidR="00C74D83">
        <w:rPr>
          <w:rFonts w:cs="Times New Roman"/>
          <w:shd w:val="clear" w:color="auto" w:fill="FFFFFF"/>
        </w:rPr>
        <w:t>modern</w:t>
      </w:r>
      <w:r w:rsidR="003A0D35">
        <w:rPr>
          <w:rFonts w:cs="Times New Roman"/>
          <w:shd w:val="clear" w:color="auto" w:fill="FFFFFF"/>
        </w:rPr>
        <w:t xml:space="preserve"> map or </w:t>
      </w:r>
      <w:r w:rsidR="00C74D83">
        <w:rPr>
          <w:rFonts w:cs="Times New Roman"/>
          <w:shd w:val="clear" w:color="auto" w:fill="FFFFFF"/>
        </w:rPr>
        <w:t>a position on the</w:t>
      </w:r>
      <w:r w:rsidR="003A0D35">
        <w:rPr>
          <w:rFonts w:cs="Times New Roman"/>
          <w:shd w:val="clear" w:color="auto" w:fill="FFFFFF"/>
        </w:rPr>
        <w:t xml:space="preserve"> </w:t>
      </w:r>
      <w:proofErr w:type="spellStart"/>
      <w:r w:rsidR="003A0D35">
        <w:rPr>
          <w:rFonts w:cs="Times New Roman"/>
          <w:shd w:val="clear" w:color="auto" w:fill="FFFFFF"/>
        </w:rPr>
        <w:t>Ptolemean</w:t>
      </w:r>
      <w:proofErr w:type="spellEnd"/>
      <w:r w:rsidR="003A0D35">
        <w:rPr>
          <w:rFonts w:cs="Times New Roman"/>
          <w:shd w:val="clear" w:color="auto" w:fill="FFFFFF"/>
        </w:rPr>
        <w:t xml:space="preserve"> sphere</w:t>
      </w:r>
      <w:r w:rsidR="00C74D83">
        <w:rPr>
          <w:rFonts w:cs="Times New Roman"/>
          <w:shd w:val="clear" w:color="auto" w:fill="FFFFFF"/>
        </w:rPr>
        <w:t>s</w:t>
      </w:r>
      <w:r w:rsidR="00517C4C">
        <w:rPr>
          <w:rFonts w:cs="Times New Roman"/>
          <w:shd w:val="clear" w:color="auto" w:fill="FFFFFF"/>
        </w:rPr>
        <w:t>)</w:t>
      </w:r>
      <w:r w:rsidR="003A0D35">
        <w:rPr>
          <w:rFonts w:cs="Times New Roman"/>
          <w:shd w:val="clear" w:color="auto" w:fill="FFFFFF"/>
        </w:rPr>
        <w:t xml:space="preserve">; “place” for a location with </w:t>
      </w:r>
      <w:r w:rsidR="009C27A1">
        <w:rPr>
          <w:rFonts w:cs="Times New Roman"/>
          <w:shd w:val="clear" w:color="auto" w:fill="FFFFFF"/>
        </w:rPr>
        <w:t>a broadly accepted</w:t>
      </w:r>
      <w:r w:rsidR="003A0D35">
        <w:rPr>
          <w:rFonts w:cs="Times New Roman"/>
          <w:shd w:val="clear" w:color="auto" w:fill="FFFFFF"/>
        </w:rPr>
        <w:t xml:space="preserve"> set of </w:t>
      </w:r>
      <w:r w:rsidR="00C74D83">
        <w:rPr>
          <w:rFonts w:cs="Times New Roman"/>
          <w:shd w:val="clear" w:color="auto" w:fill="FFFFFF"/>
        </w:rPr>
        <w:t>functions</w:t>
      </w:r>
      <w:r w:rsidR="009C27A1">
        <w:rPr>
          <w:rFonts w:cs="Times New Roman"/>
          <w:shd w:val="clear" w:color="auto" w:fill="FFFFFF"/>
        </w:rPr>
        <w:t>, furnishings</w:t>
      </w:r>
      <w:r w:rsidR="00C74D83">
        <w:rPr>
          <w:rFonts w:cs="Times New Roman"/>
          <w:shd w:val="clear" w:color="auto" w:fill="FFFFFF"/>
        </w:rPr>
        <w:t xml:space="preserve"> and meanings (e.g. a church or market square, but also a metaphysical concept like Purgatory); and “space” for the relational situating of </w:t>
      </w:r>
      <w:r w:rsidR="000F763B">
        <w:rPr>
          <w:rFonts w:cs="Times New Roman"/>
          <w:shd w:val="clear" w:color="auto" w:fill="FFFFFF"/>
        </w:rPr>
        <w:t>humans</w:t>
      </w:r>
      <w:r w:rsidR="006E58DC">
        <w:rPr>
          <w:rFonts w:cs="Times New Roman"/>
          <w:shd w:val="clear" w:color="auto" w:fill="FFFFFF"/>
        </w:rPr>
        <w:t>, environmental</w:t>
      </w:r>
      <w:r w:rsidR="009C27A1">
        <w:rPr>
          <w:rFonts w:cs="Times New Roman"/>
          <w:shd w:val="clear" w:color="auto" w:fill="FFFFFF"/>
        </w:rPr>
        <w:t xml:space="preserve"> features</w:t>
      </w:r>
      <w:r w:rsidR="006E58DC">
        <w:rPr>
          <w:rFonts w:cs="Times New Roman"/>
          <w:shd w:val="clear" w:color="auto" w:fill="FFFFFF"/>
        </w:rPr>
        <w:t xml:space="preserve"> and objects</w:t>
      </w:r>
      <w:r w:rsidR="00C74D83">
        <w:rPr>
          <w:rFonts w:cs="Times New Roman"/>
          <w:shd w:val="clear" w:color="auto" w:fill="FFFFFF"/>
        </w:rPr>
        <w:t xml:space="preserve"> in </w:t>
      </w:r>
      <w:r w:rsidR="000F763B">
        <w:rPr>
          <w:rFonts w:cs="Times New Roman"/>
          <w:shd w:val="clear" w:color="auto" w:fill="FFFFFF"/>
        </w:rPr>
        <w:t>people’s minds</w:t>
      </w:r>
      <w:r w:rsidR="00C74D83">
        <w:rPr>
          <w:rFonts w:cs="Times New Roman"/>
          <w:shd w:val="clear" w:color="auto" w:fill="FFFFFF"/>
        </w:rPr>
        <w:t>. T</w:t>
      </w:r>
      <w:r w:rsidR="008C6E09">
        <w:rPr>
          <w:rFonts w:cs="Times New Roman"/>
          <w:shd w:val="clear" w:color="auto" w:fill="FFFFFF"/>
        </w:rPr>
        <w:t xml:space="preserve">he first term thus refers to </w:t>
      </w:r>
      <w:r w:rsidR="009C27A1">
        <w:rPr>
          <w:rFonts w:cs="Times New Roman"/>
          <w:shd w:val="clear" w:color="auto" w:fill="FFFFFF"/>
        </w:rPr>
        <w:t>given</w:t>
      </w:r>
      <w:r w:rsidR="00C74D83">
        <w:rPr>
          <w:rFonts w:cs="Times New Roman"/>
          <w:shd w:val="clear" w:color="auto" w:fill="FFFFFF"/>
        </w:rPr>
        <w:t xml:space="preserve"> </w:t>
      </w:r>
      <w:r w:rsidR="009C27A1">
        <w:rPr>
          <w:rFonts w:cs="Times New Roman"/>
          <w:shd w:val="clear" w:color="auto" w:fill="FFFFFF"/>
        </w:rPr>
        <w:t>point</w:t>
      </w:r>
      <w:r w:rsidR="008C6E09">
        <w:rPr>
          <w:rFonts w:cs="Times New Roman"/>
          <w:shd w:val="clear" w:color="auto" w:fill="FFFFFF"/>
        </w:rPr>
        <w:t xml:space="preserve">s, the second to </w:t>
      </w:r>
      <w:r w:rsidR="009C27A1">
        <w:rPr>
          <w:rFonts w:cs="Times New Roman"/>
          <w:shd w:val="clear" w:color="auto" w:fill="FFFFFF"/>
        </w:rPr>
        <w:t>social interpretation</w:t>
      </w:r>
      <w:r w:rsidR="008C6E09">
        <w:rPr>
          <w:rFonts w:cs="Times New Roman"/>
          <w:shd w:val="clear" w:color="auto" w:fill="FFFFFF"/>
        </w:rPr>
        <w:t>s</w:t>
      </w:r>
      <w:r w:rsidR="009C27A1">
        <w:rPr>
          <w:rFonts w:cs="Times New Roman"/>
          <w:shd w:val="clear" w:color="auto" w:fill="FFFFFF"/>
        </w:rPr>
        <w:t xml:space="preserve">, </w:t>
      </w:r>
      <w:proofErr w:type="gramStart"/>
      <w:r w:rsidR="009C27A1">
        <w:rPr>
          <w:rFonts w:cs="Times New Roman"/>
          <w:shd w:val="clear" w:color="auto" w:fill="FFFFFF"/>
        </w:rPr>
        <w:t>the</w:t>
      </w:r>
      <w:proofErr w:type="gramEnd"/>
      <w:r w:rsidR="009C27A1">
        <w:rPr>
          <w:rFonts w:cs="Times New Roman"/>
          <w:shd w:val="clear" w:color="auto" w:fill="FFFFFF"/>
        </w:rPr>
        <w:t xml:space="preserve"> third to </w:t>
      </w:r>
      <w:r w:rsidR="006E58DC">
        <w:rPr>
          <w:rFonts w:cs="Times New Roman"/>
          <w:shd w:val="clear" w:color="auto" w:fill="FFFFFF"/>
        </w:rPr>
        <w:t>idiosyncratic imagination</w:t>
      </w:r>
      <w:r w:rsidR="0012578F">
        <w:rPr>
          <w:rFonts w:cs="Times New Roman"/>
          <w:shd w:val="clear" w:color="auto" w:fill="FFFFFF"/>
        </w:rPr>
        <w:t>s</w:t>
      </w:r>
      <w:r w:rsidR="009C27A1">
        <w:rPr>
          <w:rFonts w:cs="Times New Roman"/>
          <w:shd w:val="clear" w:color="auto" w:fill="FFFFFF"/>
        </w:rPr>
        <w:t xml:space="preserve">. </w:t>
      </w:r>
      <w:r w:rsidR="007664F0">
        <w:rPr>
          <w:rFonts w:cs="Times New Roman"/>
          <w:shd w:val="clear" w:color="auto" w:fill="FFFFFF"/>
        </w:rPr>
        <w:t xml:space="preserve">Such a model </w:t>
      </w:r>
      <w:r w:rsidR="008C6E09">
        <w:rPr>
          <w:rFonts w:cs="Times New Roman"/>
          <w:shd w:val="clear" w:color="auto" w:fill="FFFFFF"/>
        </w:rPr>
        <w:t xml:space="preserve">affords a certain </w:t>
      </w:r>
      <w:r w:rsidR="007664F0">
        <w:rPr>
          <w:rFonts w:cs="Times New Roman"/>
          <w:shd w:val="clear" w:color="auto" w:fill="FFFFFF"/>
        </w:rPr>
        <w:t xml:space="preserve">agency </w:t>
      </w:r>
      <w:r w:rsidR="008C6E09">
        <w:rPr>
          <w:rFonts w:cs="Times New Roman"/>
          <w:shd w:val="clear" w:color="auto" w:fill="FFFFFF"/>
        </w:rPr>
        <w:t>to</w:t>
      </w:r>
      <w:r w:rsidR="007664F0">
        <w:rPr>
          <w:rFonts w:cs="Times New Roman"/>
          <w:shd w:val="clear" w:color="auto" w:fill="FFFFFF"/>
        </w:rPr>
        <w:t xml:space="preserve"> ‘things’ (in that the presence/absence of, say, falling apples or</w:t>
      </w:r>
      <w:r w:rsidR="00D516DC">
        <w:rPr>
          <w:rFonts w:cs="Times New Roman"/>
          <w:shd w:val="clear" w:color="auto" w:fill="FFFFFF"/>
        </w:rPr>
        <w:t xml:space="preserve"> crucifixes affect</w:t>
      </w:r>
      <w:r w:rsidR="007664F0">
        <w:rPr>
          <w:rFonts w:cs="Times New Roman"/>
          <w:shd w:val="clear" w:color="auto" w:fill="FFFFFF"/>
        </w:rPr>
        <w:t xml:space="preserve"> the way</w:t>
      </w:r>
      <w:r w:rsidR="00D516DC">
        <w:rPr>
          <w:rFonts w:cs="Times New Roman"/>
          <w:shd w:val="clear" w:color="auto" w:fill="FFFFFF"/>
        </w:rPr>
        <w:t>s</w:t>
      </w:r>
      <w:r w:rsidR="007664F0">
        <w:rPr>
          <w:rFonts w:cs="Times New Roman"/>
          <w:shd w:val="clear" w:color="auto" w:fill="FFFFFF"/>
        </w:rPr>
        <w:t xml:space="preserve"> in which individuals like ‘Newton’ or </w:t>
      </w:r>
      <w:r w:rsidR="0012578F">
        <w:rPr>
          <w:rFonts w:cs="Times New Roman"/>
          <w:shd w:val="clear" w:color="auto" w:fill="FFFFFF"/>
        </w:rPr>
        <w:t>groups</w:t>
      </w:r>
      <w:r w:rsidR="007664F0">
        <w:rPr>
          <w:rFonts w:cs="Times New Roman"/>
          <w:shd w:val="clear" w:color="auto" w:fill="FFFFFF"/>
        </w:rPr>
        <w:t xml:space="preserve"> like ‘Christians’ perceive their surroundings), thus helping </w:t>
      </w:r>
      <w:r w:rsidR="009C27A1">
        <w:rPr>
          <w:rFonts w:cs="Times New Roman"/>
          <w:shd w:val="clear" w:color="auto" w:fill="FFFFFF"/>
        </w:rPr>
        <w:t>us integrate the material</w:t>
      </w:r>
      <w:r w:rsidR="006E58DC">
        <w:rPr>
          <w:rFonts w:cs="Times New Roman"/>
          <w:shd w:val="clear" w:color="auto" w:fill="FFFFFF"/>
        </w:rPr>
        <w:t xml:space="preserve">, social and mental components of space constitution, while allowing for </w:t>
      </w:r>
      <w:r w:rsidR="0012578F">
        <w:rPr>
          <w:rFonts w:cs="Times New Roman"/>
          <w:shd w:val="clear" w:color="auto" w:fill="FFFFFF"/>
        </w:rPr>
        <w:t>synchronic variation</w:t>
      </w:r>
      <w:r w:rsidR="006E58DC">
        <w:rPr>
          <w:rFonts w:cs="Times New Roman"/>
          <w:shd w:val="clear" w:color="auto" w:fill="FFFFFF"/>
        </w:rPr>
        <w:t xml:space="preserve"> and diac</w:t>
      </w:r>
      <w:r w:rsidR="007664F0">
        <w:rPr>
          <w:rFonts w:cs="Times New Roman"/>
          <w:shd w:val="clear" w:color="auto" w:fill="FFFFFF"/>
        </w:rPr>
        <w:t xml:space="preserve">hronic </w:t>
      </w:r>
      <w:r w:rsidR="0012578F">
        <w:rPr>
          <w:rFonts w:cs="Times New Roman"/>
          <w:shd w:val="clear" w:color="auto" w:fill="FFFFFF"/>
        </w:rPr>
        <w:t>change</w:t>
      </w:r>
      <w:r w:rsidR="007664F0">
        <w:rPr>
          <w:rFonts w:cs="Times New Roman"/>
          <w:shd w:val="clear" w:color="auto" w:fill="FFFFFF"/>
        </w:rPr>
        <w:t xml:space="preserve"> at each level.</w:t>
      </w:r>
      <w:r w:rsidR="006E58DC">
        <w:rPr>
          <w:rFonts w:cs="Times New Roman"/>
          <w:shd w:val="clear" w:color="auto" w:fill="FFFFFF"/>
        </w:rPr>
        <w:t xml:space="preserve"> </w:t>
      </w:r>
      <w:r w:rsidR="0012578F">
        <w:rPr>
          <w:rFonts w:cs="Times New Roman"/>
          <w:shd w:val="clear" w:color="auto" w:fill="FFFFFF"/>
        </w:rPr>
        <w:t>The search</w:t>
      </w:r>
      <w:r w:rsidR="00393069">
        <w:rPr>
          <w:rFonts w:cs="Times New Roman"/>
          <w:shd w:val="clear" w:color="auto" w:fill="FFFFFF"/>
        </w:rPr>
        <w:t xml:space="preserve"> for the perfect solution</w:t>
      </w:r>
      <w:r w:rsidR="0012578F">
        <w:rPr>
          <w:rFonts w:cs="Times New Roman"/>
          <w:shd w:val="clear" w:color="auto" w:fill="FFFFFF"/>
        </w:rPr>
        <w:t>, no doubt, continue</w:t>
      </w:r>
      <w:r w:rsidR="00393069">
        <w:rPr>
          <w:rFonts w:cs="Times New Roman"/>
          <w:shd w:val="clear" w:color="auto" w:fill="FFFFFF"/>
        </w:rPr>
        <w:t>s</w:t>
      </w:r>
      <w:r w:rsidR="0012578F">
        <w:rPr>
          <w:rFonts w:cs="Times New Roman"/>
          <w:shd w:val="clear" w:color="auto" w:fill="FFFFFF"/>
        </w:rPr>
        <w:t>.</w:t>
      </w:r>
    </w:p>
    <w:p w:rsidR="0012578F" w:rsidRDefault="0012578F">
      <w:pPr>
        <w:rPr>
          <w:rFonts w:cs="Times New Roman"/>
          <w:shd w:val="clear" w:color="auto" w:fill="FFFFFF"/>
        </w:rPr>
      </w:pPr>
    </w:p>
    <w:p w:rsidR="008C6E09" w:rsidRDefault="0012578F">
      <w:r>
        <w:rPr>
          <w:rFonts w:cs="Times New Roman"/>
          <w:shd w:val="clear" w:color="auto" w:fill="FFFFFF"/>
        </w:rPr>
        <w:t>Finally, what was particularly ‘early modern’ about the practices and processes observed in this volume?</w:t>
      </w:r>
      <w:r w:rsidR="00EF5029">
        <w:rPr>
          <w:rFonts w:cs="Times New Roman"/>
          <w:shd w:val="clear" w:color="auto" w:fill="FFFFFF"/>
        </w:rPr>
        <w:t xml:space="preserve"> This is naturally </w:t>
      </w:r>
      <w:r w:rsidR="00D516DC">
        <w:rPr>
          <w:rFonts w:cs="Times New Roman"/>
          <w:shd w:val="clear" w:color="auto" w:fill="FFFFFF"/>
        </w:rPr>
        <w:t>hard</w:t>
      </w:r>
      <w:r w:rsidR="00EF5029">
        <w:rPr>
          <w:rFonts w:cs="Times New Roman"/>
          <w:shd w:val="clear" w:color="auto" w:fill="FFFFFF"/>
        </w:rPr>
        <w:t xml:space="preserve"> to assess given the (perfectly </w:t>
      </w:r>
      <w:r w:rsidR="00880D3F">
        <w:rPr>
          <w:rFonts w:cs="Times New Roman"/>
          <w:shd w:val="clear" w:color="auto" w:fill="FFFFFF"/>
        </w:rPr>
        <w:t>reasonable</w:t>
      </w:r>
      <w:r w:rsidR="00EF5029">
        <w:rPr>
          <w:rFonts w:cs="Times New Roman"/>
          <w:shd w:val="clear" w:color="auto" w:fill="FFFFFF"/>
        </w:rPr>
        <w:t xml:space="preserve">) chronological limitation to one period. There are numerous leads in many contributions: the </w:t>
      </w:r>
      <w:r w:rsidR="00A72945">
        <w:rPr>
          <w:rFonts w:cs="Times New Roman"/>
          <w:shd w:val="clear" w:color="auto" w:fill="FFFFFF"/>
        </w:rPr>
        <w:t xml:space="preserve">relatively slow pace of long-distance transportation/communication; </w:t>
      </w:r>
      <w:r w:rsidR="00880D3F">
        <w:rPr>
          <w:rFonts w:cs="Times New Roman"/>
          <w:shd w:val="clear" w:color="auto" w:fill="FFFFFF"/>
        </w:rPr>
        <w:t xml:space="preserve">stronger </w:t>
      </w:r>
      <w:r w:rsidR="00A72945">
        <w:rPr>
          <w:rFonts w:cs="Times New Roman"/>
          <w:shd w:val="clear" w:color="auto" w:fill="FFFFFF"/>
        </w:rPr>
        <w:t xml:space="preserve">political/legal restrictions on the circulation of goods and people; emerging clashes between religious and secular explanations of the universe; transformations wrought in face-to-face societies by the first mass/distance medium of print. But how should we assess the ‘feel’ of these centuries overall? In their afterword to a comparable collection, Marko </w:t>
      </w:r>
      <w:proofErr w:type="spellStart"/>
      <w:r w:rsidR="00A72945">
        <w:rPr>
          <w:rFonts w:cs="Times New Roman"/>
          <w:shd w:val="clear" w:color="auto" w:fill="FFFFFF"/>
        </w:rPr>
        <w:t>Lemberg</w:t>
      </w:r>
      <w:proofErr w:type="spellEnd"/>
      <w:r w:rsidR="00A72945">
        <w:rPr>
          <w:rFonts w:cs="Times New Roman"/>
          <w:shd w:val="clear" w:color="auto" w:fill="FFFFFF"/>
        </w:rPr>
        <w:t xml:space="preserve"> and Marko </w:t>
      </w:r>
      <w:proofErr w:type="spellStart"/>
      <w:r w:rsidR="00A72945">
        <w:rPr>
          <w:rFonts w:cs="Times New Roman"/>
          <w:shd w:val="clear" w:color="auto" w:fill="FFFFFF"/>
        </w:rPr>
        <w:t>Hakanen</w:t>
      </w:r>
      <w:proofErr w:type="spellEnd"/>
      <w:r w:rsidR="00A72945">
        <w:rPr>
          <w:rFonts w:cs="Times New Roman"/>
          <w:shd w:val="clear" w:color="auto" w:fill="FFFFFF"/>
        </w:rPr>
        <w:t xml:space="preserve"> </w:t>
      </w:r>
      <w:r w:rsidR="00880D3F">
        <w:rPr>
          <w:rFonts w:cs="Times New Roman"/>
          <w:shd w:val="clear" w:color="auto" w:fill="FFFFFF"/>
        </w:rPr>
        <w:lastRenderedPageBreak/>
        <w:t>characterize</w:t>
      </w:r>
      <w:r w:rsidR="00A72945">
        <w:rPr>
          <w:rFonts w:cs="Times New Roman"/>
          <w:shd w:val="clear" w:color="auto" w:fill="FFFFFF"/>
        </w:rPr>
        <w:t xml:space="preserve"> </w:t>
      </w:r>
      <w:r w:rsidR="00A72945">
        <w:t xml:space="preserve">space as really ‘an obstacle more than anything’ in </w:t>
      </w:r>
      <w:r w:rsidR="00880D3F">
        <w:t>pre-industrial times.</w:t>
      </w:r>
      <w:r w:rsidR="00880D3F">
        <w:rPr>
          <w:rStyle w:val="FootnoteReference"/>
        </w:rPr>
        <w:footnoteReference w:id="14"/>
      </w:r>
      <w:r w:rsidR="00A72945">
        <w:t xml:space="preserve"> </w:t>
      </w:r>
      <w:r w:rsidR="00880D3F">
        <w:t>Certainly</w:t>
      </w:r>
      <w:r w:rsidR="00A72945">
        <w:t xml:space="preserve">, mobility and information flows have </w:t>
      </w:r>
      <w:r w:rsidR="00880D3F">
        <w:t>increased dramatically since</w:t>
      </w:r>
      <w:r w:rsidR="00A72945">
        <w:t xml:space="preserve">, but </w:t>
      </w:r>
      <w:r w:rsidR="00880D3F">
        <w:t>from a period</w:t>
      </w:r>
      <w:r w:rsidR="00A72945">
        <w:t xml:space="preserve"> perspective</w:t>
      </w:r>
      <w:r w:rsidR="00880D3F">
        <w:t xml:space="preserve"> </w:t>
      </w:r>
      <w:r w:rsidR="00A72945">
        <w:t xml:space="preserve">one </w:t>
      </w:r>
      <w:r w:rsidR="00880D3F">
        <w:t>could arguably make a stronger case for an age of</w:t>
      </w:r>
      <w:r w:rsidR="00A72945">
        <w:t xml:space="preserve"> opportunity</w:t>
      </w:r>
      <w:r w:rsidR="00880D3F">
        <w:t xml:space="preserve"> and expansion</w:t>
      </w:r>
      <w:r w:rsidR="00A72945">
        <w:t>. Cartographic campaigns, road-building programmes, growth of trade, print technology, urban planning, postal connections – in all these senses, early modernity was overcoming traditional hurdles</w:t>
      </w:r>
      <w:r w:rsidR="0037756A">
        <w:t>, at least in Europe.</w:t>
      </w:r>
      <w:r w:rsidR="0037756A">
        <w:rPr>
          <w:rStyle w:val="FootnoteReference"/>
        </w:rPr>
        <w:footnoteReference w:id="15"/>
      </w:r>
    </w:p>
    <w:p w:rsidR="008C6E09" w:rsidRDefault="008C6E09"/>
    <w:p w:rsidR="00B403A2" w:rsidRPr="00D35AA3" w:rsidRDefault="00D35AA3">
      <w:r>
        <w:t xml:space="preserve">By addressing key issues, </w:t>
      </w:r>
      <w:r w:rsidR="00393069">
        <w:t>testing</w:t>
      </w:r>
      <w:r>
        <w:t xml:space="preserve"> approaches, providing new insights and provoking further questions,</w:t>
      </w:r>
      <w:r w:rsidR="006E58DC">
        <w:rPr>
          <w:rFonts w:cs="Times New Roman"/>
          <w:shd w:val="clear" w:color="auto" w:fill="FFFFFF"/>
        </w:rPr>
        <w:t xml:space="preserve"> </w:t>
      </w:r>
      <w:r w:rsidRPr="00D35AA3">
        <w:rPr>
          <w:i/>
        </w:rPr>
        <w:t>The Uses of Space</w:t>
      </w:r>
      <w:r w:rsidR="0072142E">
        <w:rPr>
          <w:i/>
        </w:rPr>
        <w:t xml:space="preserve"> in Early Modern History</w:t>
      </w:r>
      <w:r>
        <w:t xml:space="preserve"> advances the field in significant ways. Readers will form their own judgements on </w:t>
      </w:r>
      <w:r w:rsidR="0072142E">
        <w:t>the collection’s</w:t>
      </w:r>
      <w:r>
        <w:t xml:space="preserve"> salient features, strengths and impulses for future work, but I am sure that</w:t>
      </w:r>
      <w:r w:rsidR="00720D77">
        <w:t xml:space="preserve"> </w:t>
      </w:r>
      <w:r w:rsidR="0072142E">
        <w:t>they</w:t>
      </w:r>
      <w:r w:rsidR="00720D77">
        <w:t xml:space="preserve"> will benefit from close engagement with the arguments presented here.</w:t>
      </w:r>
      <w:r>
        <w:t xml:space="preserve">  </w:t>
      </w:r>
    </w:p>
    <w:p w:rsidR="00BA79A8" w:rsidRDefault="00BA79A8"/>
    <w:p w:rsidR="00A523C4" w:rsidRDefault="00A523C4" w:rsidP="00944D9A"/>
    <w:sectPr w:rsidR="00A523C4" w:rsidSect="007516EB">
      <w:head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68E" w:rsidRDefault="00F0368E" w:rsidP="00674625">
      <w:r>
        <w:separator/>
      </w:r>
    </w:p>
  </w:endnote>
  <w:endnote w:type="continuationSeparator" w:id="0">
    <w:p w:rsidR="00F0368E" w:rsidRDefault="00F0368E" w:rsidP="00674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68E" w:rsidRDefault="00F0368E" w:rsidP="00674625">
      <w:r>
        <w:separator/>
      </w:r>
    </w:p>
  </w:footnote>
  <w:footnote w:type="continuationSeparator" w:id="0">
    <w:p w:rsidR="00F0368E" w:rsidRDefault="00F0368E" w:rsidP="00674625">
      <w:r>
        <w:continuationSeparator/>
      </w:r>
    </w:p>
  </w:footnote>
  <w:footnote w:id="1">
    <w:p w:rsidR="001F6F2C" w:rsidRDefault="001F6F2C">
      <w:pPr>
        <w:pStyle w:val="FootnoteText"/>
      </w:pPr>
      <w:r>
        <w:rPr>
          <w:rStyle w:val="FootnoteReference"/>
        </w:rPr>
        <w:footnoteRef/>
      </w:r>
      <w:r>
        <w:t xml:space="preserve"> Peter J. </w:t>
      </w:r>
      <w:proofErr w:type="spellStart"/>
      <w:r>
        <w:t>Arnade</w:t>
      </w:r>
      <w:proofErr w:type="spellEnd"/>
      <w:r>
        <w:t>, Martha C. Howell and Walter Simons (</w:t>
      </w:r>
      <w:proofErr w:type="spellStart"/>
      <w:r>
        <w:t>eds</w:t>
      </w:r>
      <w:proofErr w:type="spellEnd"/>
      <w:r>
        <w:t xml:space="preserve">), </w:t>
      </w:r>
      <w:r w:rsidRPr="00B65A87">
        <w:t>‘The Productivity of Urban Space in Northern Europe’</w:t>
      </w:r>
      <w:r>
        <w:t xml:space="preserve">, [special issue of] </w:t>
      </w:r>
      <w:r w:rsidRPr="00B65A87">
        <w:rPr>
          <w:i/>
        </w:rPr>
        <w:t>Journal of Interdisciplinary History</w:t>
      </w:r>
      <w:r>
        <w:t xml:space="preserve"> 32 (2002); Will </w:t>
      </w:r>
      <w:proofErr w:type="spellStart"/>
      <w:r>
        <w:t>Coster</w:t>
      </w:r>
      <w:proofErr w:type="spellEnd"/>
      <w:r>
        <w:t xml:space="preserve"> and Andrew Spicer (</w:t>
      </w:r>
      <w:proofErr w:type="spellStart"/>
      <w:r>
        <w:t>eds</w:t>
      </w:r>
      <w:proofErr w:type="spellEnd"/>
      <w:r>
        <w:t xml:space="preserve">), </w:t>
      </w:r>
      <w:r w:rsidRPr="003A3FAA">
        <w:rPr>
          <w:i/>
        </w:rPr>
        <w:t>Sacred Space in Early Modern Europe</w:t>
      </w:r>
      <w:r>
        <w:t xml:space="preserve"> (Cambridge, 2005); Beat </w:t>
      </w:r>
      <w:proofErr w:type="spellStart"/>
      <w:r>
        <w:t>Kümin</w:t>
      </w:r>
      <w:proofErr w:type="spellEnd"/>
      <w:r>
        <w:t xml:space="preserve"> (ed.), </w:t>
      </w:r>
      <w:r w:rsidRPr="003A3FAA">
        <w:rPr>
          <w:i/>
        </w:rPr>
        <w:t>Political Space in Pre-industrial Europe</w:t>
      </w:r>
      <w:r>
        <w:t xml:space="preserve"> (Farnham, 2009)</w:t>
      </w:r>
      <w:r w:rsidR="00880D3F">
        <w:t xml:space="preserve">; Marko </w:t>
      </w:r>
      <w:proofErr w:type="spellStart"/>
      <w:r w:rsidR="00880D3F">
        <w:t>Le</w:t>
      </w:r>
      <w:r>
        <w:t>mberg</w:t>
      </w:r>
      <w:proofErr w:type="spellEnd"/>
      <w:r>
        <w:t xml:space="preserve">, Marko </w:t>
      </w:r>
      <w:proofErr w:type="spellStart"/>
      <w:r>
        <w:t>Hakanen</w:t>
      </w:r>
      <w:proofErr w:type="spellEnd"/>
      <w:r>
        <w:t xml:space="preserve"> and </w:t>
      </w:r>
      <w:proofErr w:type="spellStart"/>
      <w:r>
        <w:t>Janne</w:t>
      </w:r>
      <w:proofErr w:type="spellEnd"/>
      <w:r>
        <w:t xml:space="preserve"> </w:t>
      </w:r>
      <w:proofErr w:type="spellStart"/>
      <w:r>
        <w:t>Haikari</w:t>
      </w:r>
      <w:proofErr w:type="spellEnd"/>
      <w:r>
        <w:t xml:space="preserve"> (</w:t>
      </w:r>
      <w:proofErr w:type="spellStart"/>
      <w:r>
        <w:t>eds</w:t>
      </w:r>
      <w:proofErr w:type="spellEnd"/>
      <w:r>
        <w:t xml:space="preserve">), </w:t>
      </w:r>
      <w:r w:rsidRPr="00746C81">
        <w:rPr>
          <w:i/>
        </w:rPr>
        <w:t>Physical and Cultural Space in Pre-industrial Europe</w:t>
      </w:r>
      <w:r>
        <w:t xml:space="preserve">: </w:t>
      </w:r>
      <w:r w:rsidRPr="00746C81">
        <w:rPr>
          <w:i/>
        </w:rPr>
        <w:t>Methodological Approaches to Spatiality</w:t>
      </w:r>
      <w:r>
        <w:t xml:space="preserve"> (Lund, 2011).</w:t>
      </w:r>
    </w:p>
  </w:footnote>
  <w:footnote w:id="2">
    <w:p w:rsidR="001F6F2C" w:rsidRDefault="001F6F2C">
      <w:pPr>
        <w:pStyle w:val="FootnoteText"/>
      </w:pPr>
      <w:r>
        <w:rPr>
          <w:rStyle w:val="FootnoteReference"/>
        </w:rPr>
        <w:footnoteRef/>
      </w:r>
      <w:r>
        <w:t xml:space="preserve"> </w:t>
      </w:r>
      <w:proofErr w:type="spellStart"/>
      <w:r w:rsidRPr="001722D9">
        <w:t>Achim</w:t>
      </w:r>
      <w:proofErr w:type="spellEnd"/>
      <w:r w:rsidRPr="001722D9">
        <w:t xml:space="preserve"> Landwehr, </w:t>
      </w:r>
      <w:r w:rsidRPr="00697D07">
        <w:rPr>
          <w:i/>
        </w:rPr>
        <w:t xml:space="preserve">Die </w:t>
      </w:r>
      <w:proofErr w:type="spellStart"/>
      <w:r w:rsidRPr="00697D07">
        <w:rPr>
          <w:i/>
        </w:rPr>
        <w:t>Erschaffung</w:t>
      </w:r>
      <w:proofErr w:type="spellEnd"/>
      <w:r w:rsidRPr="00697D07">
        <w:rPr>
          <w:i/>
        </w:rPr>
        <w:t xml:space="preserve"> </w:t>
      </w:r>
      <w:proofErr w:type="spellStart"/>
      <w:r w:rsidRPr="00697D07">
        <w:rPr>
          <w:i/>
        </w:rPr>
        <w:t>Venedigs</w:t>
      </w:r>
      <w:proofErr w:type="spellEnd"/>
      <w:r w:rsidRPr="00697D07">
        <w:rPr>
          <w:i/>
        </w:rPr>
        <w:t xml:space="preserve">: </w:t>
      </w:r>
      <w:proofErr w:type="spellStart"/>
      <w:r w:rsidRPr="00697D07">
        <w:rPr>
          <w:i/>
        </w:rPr>
        <w:t>Raum</w:t>
      </w:r>
      <w:proofErr w:type="spellEnd"/>
      <w:r w:rsidRPr="00697D07">
        <w:rPr>
          <w:i/>
        </w:rPr>
        <w:t xml:space="preserve">, </w:t>
      </w:r>
      <w:proofErr w:type="spellStart"/>
      <w:r w:rsidRPr="00697D07">
        <w:rPr>
          <w:i/>
        </w:rPr>
        <w:t>Bevölkerung</w:t>
      </w:r>
      <w:proofErr w:type="spellEnd"/>
      <w:r w:rsidRPr="00697D07">
        <w:rPr>
          <w:i/>
        </w:rPr>
        <w:t>, Mythos 1570-1750</w:t>
      </w:r>
      <w:r w:rsidRPr="001722D9">
        <w:t xml:space="preserve"> (Paderborn</w:t>
      </w:r>
      <w:r>
        <w:t xml:space="preserve">: F. </w:t>
      </w:r>
      <w:proofErr w:type="spellStart"/>
      <w:r>
        <w:t>Schöningh</w:t>
      </w:r>
      <w:proofErr w:type="spellEnd"/>
      <w:r w:rsidRPr="001722D9">
        <w:t>, 2007)</w:t>
      </w:r>
      <w:r>
        <w:t xml:space="preserve">; Susan Guinn-Chapman, </w:t>
      </w:r>
      <w:r w:rsidRPr="00FE1B84">
        <w:rPr>
          <w:i/>
        </w:rPr>
        <w:t>Religious Space in Reformation England: Contesting the Past</w:t>
      </w:r>
      <w:r>
        <w:t xml:space="preserve"> (London, 2013). For interdisciplinary introductions see e.g. </w:t>
      </w:r>
      <w:r w:rsidRPr="00620176">
        <w:t xml:space="preserve">Denis Cosgrove, </w:t>
      </w:r>
      <w:r>
        <w:t>‘</w:t>
      </w:r>
      <w:r w:rsidRPr="00620176">
        <w:t xml:space="preserve">Landscape and </w:t>
      </w:r>
      <w:proofErr w:type="spellStart"/>
      <w:r w:rsidRPr="00620176">
        <w:t>Landschaft</w:t>
      </w:r>
      <w:proofErr w:type="spellEnd"/>
      <w:r w:rsidRPr="00620176">
        <w:t xml:space="preserve">: Lecture delivered at the </w:t>
      </w:r>
      <w:r>
        <w:t>“Spatial Turn in History”</w:t>
      </w:r>
      <w:r w:rsidRPr="00620176">
        <w:t xml:space="preserve"> Symposium (GHI, 19/2/2004)</w:t>
      </w:r>
      <w:r>
        <w:t>’</w:t>
      </w:r>
      <w:r w:rsidRPr="00620176">
        <w:t xml:space="preserve">, </w:t>
      </w:r>
      <w:r w:rsidRPr="00F905E3">
        <w:rPr>
          <w:i/>
        </w:rPr>
        <w:t>G</w:t>
      </w:r>
      <w:r>
        <w:rPr>
          <w:i/>
        </w:rPr>
        <w:t xml:space="preserve">erman </w:t>
      </w:r>
      <w:r w:rsidRPr="00F905E3">
        <w:rPr>
          <w:i/>
        </w:rPr>
        <w:t>H</w:t>
      </w:r>
      <w:r>
        <w:rPr>
          <w:i/>
        </w:rPr>
        <w:t xml:space="preserve">istorical </w:t>
      </w:r>
      <w:r w:rsidRPr="00F905E3">
        <w:rPr>
          <w:i/>
        </w:rPr>
        <w:t>I</w:t>
      </w:r>
      <w:r>
        <w:rPr>
          <w:i/>
        </w:rPr>
        <w:t>nstitute</w:t>
      </w:r>
      <w:r w:rsidRPr="00F905E3">
        <w:rPr>
          <w:i/>
        </w:rPr>
        <w:t xml:space="preserve"> Washington</w:t>
      </w:r>
      <w:r>
        <w:rPr>
          <w:i/>
        </w:rPr>
        <w:t>:</w:t>
      </w:r>
      <w:r w:rsidRPr="00F905E3">
        <w:rPr>
          <w:i/>
        </w:rPr>
        <w:t xml:space="preserve"> Bulletin</w:t>
      </w:r>
      <w:r w:rsidRPr="00620176">
        <w:t xml:space="preserve"> 35 (Fall 2004), 57-71</w:t>
      </w:r>
      <w:r>
        <w:t xml:space="preserve">; </w:t>
      </w:r>
      <w:proofErr w:type="spellStart"/>
      <w:r>
        <w:t>Jörg</w:t>
      </w:r>
      <w:proofErr w:type="spellEnd"/>
      <w:r w:rsidRPr="00B65A87">
        <w:t xml:space="preserve"> </w:t>
      </w:r>
      <w:proofErr w:type="spellStart"/>
      <w:r w:rsidRPr="00B65A87">
        <w:t>Döring</w:t>
      </w:r>
      <w:proofErr w:type="spellEnd"/>
      <w:r w:rsidRPr="00B65A87">
        <w:t xml:space="preserve"> and </w:t>
      </w:r>
      <w:r>
        <w:t>Tristan</w:t>
      </w:r>
      <w:r w:rsidRPr="00B65A87">
        <w:t xml:space="preserve"> </w:t>
      </w:r>
      <w:proofErr w:type="spellStart"/>
      <w:r w:rsidRPr="00B65A87">
        <w:t>Thielmann</w:t>
      </w:r>
      <w:proofErr w:type="spellEnd"/>
      <w:r w:rsidRPr="00B65A87">
        <w:t xml:space="preserve"> (</w:t>
      </w:r>
      <w:proofErr w:type="spellStart"/>
      <w:proofErr w:type="gramStart"/>
      <w:r w:rsidRPr="00B65A87">
        <w:t>eds</w:t>
      </w:r>
      <w:proofErr w:type="spellEnd"/>
      <w:proofErr w:type="gramEnd"/>
      <w:r w:rsidRPr="00B65A87">
        <w:t xml:space="preserve">), </w:t>
      </w:r>
      <w:r w:rsidRPr="00B65A87">
        <w:rPr>
          <w:i/>
        </w:rPr>
        <w:t xml:space="preserve">Spatial Turn: Das </w:t>
      </w:r>
      <w:proofErr w:type="spellStart"/>
      <w:r w:rsidRPr="00B65A87">
        <w:rPr>
          <w:i/>
        </w:rPr>
        <w:t>Raumparadigma</w:t>
      </w:r>
      <w:proofErr w:type="spellEnd"/>
      <w:r w:rsidRPr="00B65A87">
        <w:rPr>
          <w:i/>
        </w:rPr>
        <w:t xml:space="preserve"> in den </w:t>
      </w:r>
      <w:proofErr w:type="spellStart"/>
      <w:r w:rsidRPr="00B65A87">
        <w:rPr>
          <w:i/>
        </w:rPr>
        <w:t>Kultur</w:t>
      </w:r>
      <w:proofErr w:type="spellEnd"/>
      <w:r w:rsidRPr="00B65A87">
        <w:rPr>
          <w:i/>
        </w:rPr>
        <w:t xml:space="preserve">- und </w:t>
      </w:r>
      <w:proofErr w:type="spellStart"/>
      <w:r w:rsidRPr="00B65A87">
        <w:rPr>
          <w:i/>
        </w:rPr>
        <w:t>Sozialwissenschaften</w:t>
      </w:r>
      <w:proofErr w:type="spellEnd"/>
      <w:r w:rsidRPr="00B65A87">
        <w:t xml:space="preserve"> (2</w:t>
      </w:r>
      <w:r w:rsidRPr="00B65A87">
        <w:rPr>
          <w:vertAlign w:val="superscript"/>
        </w:rPr>
        <w:t>nd</w:t>
      </w:r>
      <w:r w:rsidRPr="00B65A87">
        <w:t xml:space="preserve"> </w:t>
      </w:r>
      <w:proofErr w:type="spellStart"/>
      <w:r w:rsidRPr="00B65A87">
        <w:t>edn</w:t>
      </w:r>
      <w:proofErr w:type="spellEnd"/>
      <w:r w:rsidRPr="00B65A87">
        <w:t>, Bielefeld, 2009)</w:t>
      </w:r>
      <w:r>
        <w:t xml:space="preserve">; and </w:t>
      </w:r>
      <w:r>
        <w:rPr>
          <w:szCs w:val="24"/>
        </w:rPr>
        <w:t>Susanne Rau,</w:t>
      </w:r>
      <w:r w:rsidRPr="00773D26">
        <w:rPr>
          <w:i/>
          <w:szCs w:val="24"/>
        </w:rPr>
        <w:t xml:space="preserve"> </w:t>
      </w:r>
      <w:proofErr w:type="spellStart"/>
      <w:r w:rsidRPr="00773D26">
        <w:rPr>
          <w:i/>
          <w:szCs w:val="24"/>
        </w:rPr>
        <w:t>Räume</w:t>
      </w:r>
      <w:proofErr w:type="spellEnd"/>
      <w:r>
        <w:rPr>
          <w:szCs w:val="24"/>
        </w:rPr>
        <w:t xml:space="preserve"> (Frankfurt, 2013).</w:t>
      </w:r>
    </w:p>
  </w:footnote>
  <w:footnote w:id="3">
    <w:p w:rsidR="001F6F2C" w:rsidRDefault="001F6F2C" w:rsidP="005D26D0">
      <w:pPr>
        <w:pStyle w:val="FootnoteText"/>
      </w:pPr>
      <w:r w:rsidRPr="00B65A87">
        <w:rPr>
          <w:rStyle w:val="FootnoteReference"/>
        </w:rPr>
        <w:footnoteRef/>
      </w:r>
      <w:r w:rsidRPr="00B65A87">
        <w:t xml:space="preserve"> </w:t>
      </w:r>
      <w:r>
        <w:t xml:space="preserve">Key theorists are discussed in Mike </w:t>
      </w:r>
      <w:proofErr w:type="spellStart"/>
      <w:r>
        <w:t>Crang</w:t>
      </w:r>
      <w:proofErr w:type="spellEnd"/>
      <w:r>
        <w:t xml:space="preserve"> and Nigel</w:t>
      </w:r>
      <w:r w:rsidRPr="00B65A87">
        <w:t xml:space="preserve"> Thrift (</w:t>
      </w:r>
      <w:proofErr w:type="spellStart"/>
      <w:proofErr w:type="gramStart"/>
      <w:r w:rsidRPr="00B65A87">
        <w:t>eds</w:t>
      </w:r>
      <w:proofErr w:type="spellEnd"/>
      <w:proofErr w:type="gramEnd"/>
      <w:r w:rsidRPr="00B65A87">
        <w:t xml:space="preserve">), </w:t>
      </w:r>
      <w:r w:rsidRPr="00B65A87">
        <w:rPr>
          <w:i/>
        </w:rPr>
        <w:t>Thinking Space</w:t>
      </w:r>
      <w:r>
        <w:t xml:space="preserve"> (London, 2000); </w:t>
      </w:r>
      <w:r>
        <w:rPr>
          <w:szCs w:val="24"/>
        </w:rPr>
        <w:t>space-focused research groups exist e.g. at UCL London (</w:t>
      </w:r>
      <w:hyperlink r:id="rId1" w:history="1">
        <w:r>
          <w:rPr>
            <w:rStyle w:val="Hyperlink"/>
          </w:rPr>
          <w:t>http://www.bartlett.ucl.ac.uk/graduate/research/space</w:t>
        </w:r>
      </w:hyperlink>
      <w:r>
        <w:t xml:space="preserve">) </w:t>
      </w:r>
      <w:r>
        <w:rPr>
          <w:szCs w:val="24"/>
        </w:rPr>
        <w:t>and the Technical University at Darmstadt (</w:t>
      </w:r>
      <w:hyperlink r:id="rId2" w:history="1">
        <w:r w:rsidRPr="00B20F43">
          <w:rPr>
            <w:rStyle w:val="Hyperlink"/>
          </w:rPr>
          <w:t>http://raumsoz.ifs.tu-darmstadt.de/</w:t>
        </w:r>
      </w:hyperlink>
      <w:r>
        <w:t>; both accessed 1/8/2013)</w:t>
      </w:r>
      <w:r>
        <w:rPr>
          <w:szCs w:val="24"/>
        </w:rPr>
        <w:t xml:space="preserve">. The </w:t>
      </w:r>
      <w:r w:rsidRPr="00B65A87">
        <w:t>University of Erfurt</w:t>
      </w:r>
      <w:r>
        <w:rPr>
          <w:szCs w:val="24"/>
        </w:rPr>
        <w:t xml:space="preserve"> established a </w:t>
      </w:r>
      <w:r w:rsidRPr="00B65A87">
        <w:t xml:space="preserve">Heisenberg Chair </w:t>
      </w:r>
      <w:r>
        <w:t>for</w:t>
      </w:r>
      <w:r w:rsidRPr="00B65A87">
        <w:t xml:space="preserve"> the</w:t>
      </w:r>
      <w:r w:rsidRPr="00F32A7D">
        <w:rPr>
          <w:szCs w:val="24"/>
        </w:rPr>
        <w:t xml:space="preserve"> </w:t>
      </w:r>
      <w:r>
        <w:rPr>
          <w:szCs w:val="24"/>
        </w:rPr>
        <w:t>‘</w:t>
      </w:r>
      <w:r w:rsidRPr="00F32A7D">
        <w:rPr>
          <w:szCs w:val="24"/>
        </w:rPr>
        <w:t>History and Cultures of Spaces in Modern Times</w:t>
      </w:r>
      <w:r>
        <w:rPr>
          <w:szCs w:val="24"/>
        </w:rPr>
        <w:t>’ in 2009.</w:t>
      </w:r>
    </w:p>
  </w:footnote>
  <w:footnote w:id="4">
    <w:p w:rsidR="001F6F2C" w:rsidRDefault="001F6F2C">
      <w:pPr>
        <w:pStyle w:val="FootnoteText"/>
      </w:pPr>
      <w:r>
        <w:rPr>
          <w:rStyle w:val="FootnoteReference"/>
        </w:rPr>
        <w:footnoteRef/>
      </w:r>
      <w:r>
        <w:t xml:space="preserve"> See Paul Stock’s introduction to this collection.</w:t>
      </w:r>
    </w:p>
  </w:footnote>
  <w:footnote w:id="5">
    <w:p w:rsidR="001F6F2C" w:rsidRDefault="001F6F2C">
      <w:pPr>
        <w:pStyle w:val="FootnoteText"/>
      </w:pPr>
      <w:r>
        <w:rPr>
          <w:rStyle w:val="FootnoteReference"/>
        </w:rPr>
        <w:footnoteRef/>
      </w:r>
      <w:r>
        <w:t xml:space="preserve"> For the sake of brevity and consistency, reference to individual contributions will be made by author surnames, arranged in the sequence in which they appear in the volume.</w:t>
      </w:r>
    </w:p>
  </w:footnote>
  <w:footnote w:id="6">
    <w:p w:rsidR="001F6F2C" w:rsidRPr="006E1B41" w:rsidRDefault="001F6F2C">
      <w:pPr>
        <w:pStyle w:val="FootnoteText"/>
      </w:pPr>
      <w:r>
        <w:rPr>
          <w:rStyle w:val="FootnoteReference"/>
        </w:rPr>
        <w:footnoteRef/>
      </w:r>
      <w:r>
        <w:t xml:space="preserve"> I</w:t>
      </w:r>
      <w:r w:rsidR="00880D3F">
        <w:t xml:space="preserve">n strong contrast to those in </w:t>
      </w:r>
      <w:proofErr w:type="spellStart"/>
      <w:r w:rsidR="00880D3F">
        <w:t>Le</w:t>
      </w:r>
      <w:r>
        <w:t>mberg</w:t>
      </w:r>
      <w:proofErr w:type="spellEnd"/>
      <w:r>
        <w:t xml:space="preserve"> et al. (</w:t>
      </w:r>
      <w:proofErr w:type="spellStart"/>
      <w:r>
        <w:t>eds</w:t>
      </w:r>
      <w:proofErr w:type="spellEnd"/>
      <w:r>
        <w:t xml:space="preserve">), </w:t>
      </w:r>
      <w:r w:rsidRPr="00746C81">
        <w:rPr>
          <w:i/>
        </w:rPr>
        <w:t>Physical and Cultural Space</w:t>
      </w:r>
      <w:r>
        <w:t xml:space="preserve">; see esp. Kari </w:t>
      </w:r>
      <w:proofErr w:type="spellStart"/>
      <w:r>
        <w:t>Uotila</w:t>
      </w:r>
      <w:proofErr w:type="spellEnd"/>
      <w:r>
        <w:t xml:space="preserve"> and </w:t>
      </w:r>
      <w:proofErr w:type="spellStart"/>
      <w:r>
        <w:t>Isto</w:t>
      </w:r>
      <w:proofErr w:type="spellEnd"/>
      <w:r>
        <w:t xml:space="preserve"> </w:t>
      </w:r>
      <w:proofErr w:type="spellStart"/>
      <w:r>
        <w:t>Huvila</w:t>
      </w:r>
      <w:proofErr w:type="spellEnd"/>
      <w:r>
        <w:t xml:space="preserve">, ‘Virtual Landscape Modelling’, in: </w:t>
      </w:r>
      <w:proofErr w:type="gramStart"/>
      <w:r>
        <w:t>ibid.,</w:t>
      </w:r>
      <w:proofErr w:type="gramEnd"/>
      <w:r>
        <w:t xml:space="preserve"> 273-86.</w:t>
      </w:r>
      <w:r w:rsidR="00880D3F">
        <w:t xml:space="preserve"> </w:t>
      </w:r>
    </w:p>
  </w:footnote>
  <w:footnote w:id="7">
    <w:p w:rsidR="001F6F2C" w:rsidRPr="00633F5B" w:rsidRDefault="001F6F2C" w:rsidP="004245E8">
      <w:pPr>
        <w:pStyle w:val="FootnoteText"/>
      </w:pPr>
      <w:r w:rsidRPr="00633F5B">
        <w:rPr>
          <w:rStyle w:val="FootnoteReference"/>
        </w:rPr>
        <w:footnoteRef/>
      </w:r>
      <w:r w:rsidRPr="00633F5B">
        <w:t xml:space="preserve"> </w:t>
      </w:r>
      <w:r w:rsidR="0063702E" w:rsidRPr="0005116D">
        <w:rPr>
          <w:rFonts w:cs="Times New Roman"/>
          <w:lang w:val="de-DE"/>
        </w:rPr>
        <w:t xml:space="preserve">K. Friedrich (ed.), </w:t>
      </w:r>
      <w:r w:rsidR="0063702E" w:rsidRPr="0005116D">
        <w:rPr>
          <w:rStyle w:val="Emphasis"/>
          <w:rFonts w:cs="Times New Roman"/>
          <w:bdr w:val="none" w:sz="0" w:space="0" w:color="auto" w:frame="1"/>
          <w:shd w:val="clear" w:color="auto" w:fill="FFFFFF"/>
          <w:lang w:val="de-DE"/>
        </w:rPr>
        <w:t xml:space="preserve">Die Erschließung des Raumes: Konstruktion, Imagination und Darstellung von Räumen und Grenzen im Barockzeitalter – Opening spaces: Constructions, </w:t>
      </w:r>
      <w:r w:rsidR="00DA58F0">
        <w:rPr>
          <w:rStyle w:val="Emphasis"/>
          <w:rFonts w:cs="Times New Roman"/>
          <w:bdr w:val="none" w:sz="0" w:space="0" w:color="auto" w:frame="1"/>
          <w:shd w:val="clear" w:color="auto" w:fill="FFFFFF"/>
          <w:lang w:val="de-DE"/>
        </w:rPr>
        <w:t>V</w:t>
      </w:r>
      <w:r w:rsidR="0063702E" w:rsidRPr="0005116D">
        <w:rPr>
          <w:rStyle w:val="Emphasis"/>
          <w:rFonts w:cs="Times New Roman"/>
          <w:bdr w:val="none" w:sz="0" w:space="0" w:color="auto" w:frame="1"/>
          <w:shd w:val="clear" w:color="auto" w:fill="FFFFFF"/>
          <w:lang w:val="de-DE"/>
        </w:rPr>
        <w:t xml:space="preserve">isions and </w:t>
      </w:r>
      <w:r w:rsidR="00DA58F0">
        <w:rPr>
          <w:rStyle w:val="Emphasis"/>
          <w:rFonts w:cs="Times New Roman"/>
          <w:bdr w:val="none" w:sz="0" w:space="0" w:color="auto" w:frame="1"/>
          <w:shd w:val="clear" w:color="auto" w:fill="FFFFFF"/>
          <w:lang w:val="de-DE"/>
        </w:rPr>
        <w:t>D</w:t>
      </w:r>
      <w:r w:rsidR="0063702E" w:rsidRPr="0005116D">
        <w:rPr>
          <w:rStyle w:val="Emphasis"/>
          <w:rFonts w:cs="Times New Roman"/>
          <w:bdr w:val="none" w:sz="0" w:space="0" w:color="auto" w:frame="1"/>
          <w:shd w:val="clear" w:color="auto" w:fill="FFFFFF"/>
          <w:lang w:val="de-DE"/>
        </w:rPr>
        <w:t xml:space="preserve">epictions of </w:t>
      </w:r>
      <w:r w:rsidR="00DA58F0">
        <w:rPr>
          <w:rStyle w:val="Emphasis"/>
          <w:rFonts w:cs="Times New Roman"/>
          <w:bdr w:val="none" w:sz="0" w:space="0" w:color="auto" w:frame="1"/>
          <w:shd w:val="clear" w:color="auto" w:fill="FFFFFF"/>
          <w:lang w:val="de-DE"/>
        </w:rPr>
        <w:t>S</w:t>
      </w:r>
      <w:r w:rsidR="0063702E" w:rsidRPr="0005116D">
        <w:rPr>
          <w:rStyle w:val="Emphasis"/>
          <w:rFonts w:cs="Times New Roman"/>
          <w:bdr w:val="none" w:sz="0" w:space="0" w:color="auto" w:frame="1"/>
          <w:shd w:val="clear" w:color="auto" w:fill="FFFFFF"/>
          <w:lang w:val="de-DE"/>
        </w:rPr>
        <w:t xml:space="preserve">paces and </w:t>
      </w:r>
      <w:r w:rsidR="00DA58F0">
        <w:rPr>
          <w:rStyle w:val="Emphasis"/>
          <w:rFonts w:cs="Times New Roman"/>
          <w:bdr w:val="none" w:sz="0" w:space="0" w:color="auto" w:frame="1"/>
          <w:shd w:val="clear" w:color="auto" w:fill="FFFFFF"/>
          <w:lang w:val="de-DE"/>
        </w:rPr>
        <w:t>B</w:t>
      </w:r>
      <w:r w:rsidR="0063702E" w:rsidRPr="0005116D">
        <w:rPr>
          <w:rStyle w:val="Emphasis"/>
          <w:rFonts w:cs="Times New Roman"/>
          <w:bdr w:val="none" w:sz="0" w:space="0" w:color="auto" w:frame="1"/>
          <w:shd w:val="clear" w:color="auto" w:fill="FFFFFF"/>
          <w:lang w:val="de-DE"/>
        </w:rPr>
        <w:t>oundaries in the Baroque</w:t>
      </w:r>
      <w:r w:rsidR="0063702E" w:rsidRPr="0005116D">
        <w:rPr>
          <w:rFonts w:cs="Times New Roman"/>
          <w:shd w:val="clear" w:color="auto" w:fill="FFFFFF"/>
          <w:lang w:val="de-DE"/>
        </w:rPr>
        <w:t xml:space="preserve"> (Wiesbaden, forthcoming 2013)</w:t>
      </w:r>
      <w:r w:rsidR="0063702E">
        <w:rPr>
          <w:rFonts w:cs="Times New Roman"/>
          <w:shd w:val="clear" w:color="auto" w:fill="FFFFFF"/>
          <w:lang w:val="de-DE"/>
        </w:rPr>
        <w:t xml:space="preserve">; </w:t>
      </w:r>
      <w:r w:rsidRPr="00633F5B">
        <w:t xml:space="preserve">Henri Lefebvre, </w:t>
      </w:r>
      <w:r w:rsidRPr="00633F5B">
        <w:rPr>
          <w:i/>
        </w:rPr>
        <w:t>The Production of Space</w:t>
      </w:r>
      <w:r w:rsidRPr="00633F5B">
        <w:t xml:space="preserve">, trans. Donald Nicholson-Smith (Oxford, 1991); Martina </w:t>
      </w:r>
      <w:proofErr w:type="spellStart"/>
      <w:r w:rsidRPr="00633F5B">
        <w:t>Löw</w:t>
      </w:r>
      <w:proofErr w:type="spellEnd"/>
      <w:r w:rsidRPr="00633F5B">
        <w:t xml:space="preserve">, </w:t>
      </w:r>
      <w:proofErr w:type="spellStart"/>
      <w:r w:rsidRPr="00633F5B">
        <w:rPr>
          <w:i/>
        </w:rPr>
        <w:t>Raumsoziologie</w:t>
      </w:r>
      <w:proofErr w:type="spellEnd"/>
      <w:r w:rsidR="00DA58F0">
        <w:t xml:space="preserve"> (Frankfurt, 2001); cf. the editorial introduction above.</w:t>
      </w:r>
    </w:p>
  </w:footnote>
  <w:footnote w:id="8">
    <w:p w:rsidR="00804AD1" w:rsidRDefault="00804AD1">
      <w:pPr>
        <w:pStyle w:val="FootnoteText"/>
      </w:pPr>
      <w:r>
        <w:rPr>
          <w:rStyle w:val="FootnoteReference"/>
        </w:rPr>
        <w:footnoteRef/>
      </w:r>
      <w:r>
        <w:t xml:space="preserve"> Three of the latest examples, each with conceptual introductions, are Peter Lake and Steven </w:t>
      </w:r>
      <w:proofErr w:type="spellStart"/>
      <w:r>
        <w:t>Pincus</w:t>
      </w:r>
      <w:proofErr w:type="spellEnd"/>
      <w:r>
        <w:t xml:space="preserve"> (</w:t>
      </w:r>
      <w:proofErr w:type="spellStart"/>
      <w:r>
        <w:t>eds</w:t>
      </w:r>
      <w:proofErr w:type="spellEnd"/>
      <w:r>
        <w:t xml:space="preserve">), </w:t>
      </w:r>
      <w:r w:rsidRPr="001A62B5">
        <w:rPr>
          <w:i/>
        </w:rPr>
        <w:t>The Politics of the Public Sphere in Early Modern England</w:t>
      </w:r>
      <w:r>
        <w:t xml:space="preserve"> (Manchester, 2007); </w:t>
      </w:r>
      <w:proofErr w:type="spellStart"/>
      <w:r>
        <w:t>Gerd</w:t>
      </w:r>
      <w:proofErr w:type="spellEnd"/>
      <w:r>
        <w:t xml:space="preserve"> </w:t>
      </w:r>
      <w:proofErr w:type="spellStart"/>
      <w:r>
        <w:t>Schwerhoff</w:t>
      </w:r>
      <w:proofErr w:type="spellEnd"/>
      <w:r>
        <w:t xml:space="preserve"> (ed.), </w:t>
      </w:r>
      <w:proofErr w:type="spellStart"/>
      <w:r w:rsidRPr="00804AD1">
        <w:rPr>
          <w:i/>
        </w:rPr>
        <w:t>Stadt</w:t>
      </w:r>
      <w:proofErr w:type="spellEnd"/>
      <w:r w:rsidRPr="00804AD1">
        <w:rPr>
          <w:i/>
        </w:rPr>
        <w:t xml:space="preserve"> und </w:t>
      </w:r>
      <w:proofErr w:type="spellStart"/>
      <w:r w:rsidRPr="00804AD1">
        <w:rPr>
          <w:i/>
        </w:rPr>
        <w:t>Öffentlichkeit</w:t>
      </w:r>
      <w:proofErr w:type="spellEnd"/>
      <w:r>
        <w:rPr>
          <w:i/>
        </w:rPr>
        <w:t xml:space="preserve"> in der </w:t>
      </w:r>
      <w:proofErr w:type="spellStart"/>
      <w:r>
        <w:rPr>
          <w:i/>
        </w:rPr>
        <w:t>Frühen</w:t>
      </w:r>
      <w:proofErr w:type="spellEnd"/>
      <w:r>
        <w:rPr>
          <w:i/>
        </w:rPr>
        <w:t xml:space="preserve"> </w:t>
      </w:r>
      <w:proofErr w:type="spellStart"/>
      <w:r>
        <w:rPr>
          <w:i/>
        </w:rPr>
        <w:t>Neuzeit</w:t>
      </w:r>
      <w:proofErr w:type="spellEnd"/>
      <w:r>
        <w:t xml:space="preserve"> (Cologne, 2011): Massimo </w:t>
      </w:r>
      <w:proofErr w:type="spellStart"/>
      <w:r>
        <w:t>Rospocher</w:t>
      </w:r>
      <w:proofErr w:type="spellEnd"/>
      <w:r>
        <w:t xml:space="preserve"> (ed.), </w:t>
      </w:r>
      <w:r w:rsidRPr="0005116D">
        <w:rPr>
          <w:i/>
        </w:rPr>
        <w:t>Beyond the Public Sphere: Opinions, Publics, Spaces in Early Modern Europe</w:t>
      </w:r>
      <w:r>
        <w:t xml:space="preserve"> (Bologna, 2012).</w:t>
      </w:r>
    </w:p>
  </w:footnote>
  <w:footnote w:id="9">
    <w:p w:rsidR="001F6F2C" w:rsidRDefault="001F6F2C" w:rsidP="00A910BF">
      <w:pPr>
        <w:pStyle w:val="FootnoteText"/>
      </w:pPr>
      <w:r>
        <w:rPr>
          <w:rStyle w:val="FootnoteReference"/>
        </w:rPr>
        <w:footnoteRef/>
      </w:r>
      <w:r>
        <w:t xml:space="preserve"> For a discussion of recent anthropological, geographical, sociological and historical perspectives on gendered space see </w:t>
      </w:r>
      <w:r w:rsidR="00921336">
        <w:t xml:space="preserve">also </w:t>
      </w:r>
      <w:r>
        <w:t xml:space="preserve">B. </w:t>
      </w:r>
      <w:proofErr w:type="spellStart"/>
      <w:r>
        <w:t>Kümin</w:t>
      </w:r>
      <w:proofErr w:type="spellEnd"/>
      <w:r>
        <w:t xml:space="preserve"> and C. Usborne, ‘At home and in the workplace: a historical introduction to the spatial turn’, in idem (</w:t>
      </w:r>
      <w:proofErr w:type="spellStart"/>
      <w:r>
        <w:t>eds</w:t>
      </w:r>
      <w:proofErr w:type="spellEnd"/>
      <w:r>
        <w:t xml:space="preserve">), ‘At home and in the workplace: domestic and occupational space in Western Europe from the Middle Ages’, Forum for </w:t>
      </w:r>
      <w:r w:rsidRPr="00D907F5">
        <w:rPr>
          <w:i/>
        </w:rPr>
        <w:t>History &amp; Theory’</w:t>
      </w:r>
      <w:r>
        <w:t xml:space="preserve"> (forthcoming in autumn 2013).</w:t>
      </w:r>
    </w:p>
  </w:footnote>
  <w:footnote w:id="10">
    <w:p w:rsidR="00720D77" w:rsidRDefault="00720D77" w:rsidP="00720D77">
      <w:pPr>
        <w:pStyle w:val="FootnoteText"/>
      </w:pPr>
      <w:r>
        <w:rPr>
          <w:rStyle w:val="FootnoteReference"/>
        </w:rPr>
        <w:footnoteRef/>
      </w:r>
      <w:r>
        <w:t xml:space="preserve"> On late medieval precedents for such female agency see Katherine French, </w:t>
      </w:r>
      <w:r w:rsidRPr="008A212F">
        <w:rPr>
          <w:i/>
        </w:rPr>
        <w:t>The Good Women of the Parish: Gender and Religion after the Black Death</w:t>
      </w:r>
      <w:r>
        <w:t xml:space="preserve"> (Philadelphia, 2008), esp. </w:t>
      </w:r>
      <w:proofErr w:type="spellStart"/>
      <w:r>
        <w:t>ch.</w:t>
      </w:r>
      <w:proofErr w:type="spellEnd"/>
      <w:r>
        <w:t xml:space="preserve"> 3. For further conceptual reflections </w:t>
      </w:r>
      <w:r w:rsidR="0063702E">
        <w:t xml:space="preserve">on </w:t>
      </w:r>
      <w:r>
        <w:t xml:space="preserve">public spaces see </w:t>
      </w:r>
      <w:r w:rsidRPr="00F163FE">
        <w:t xml:space="preserve">Susanne Rau and </w:t>
      </w:r>
      <w:proofErr w:type="spellStart"/>
      <w:r w:rsidRPr="00F163FE">
        <w:t>Gerd</w:t>
      </w:r>
      <w:proofErr w:type="spellEnd"/>
      <w:r w:rsidRPr="00F163FE">
        <w:t xml:space="preserve"> </w:t>
      </w:r>
      <w:proofErr w:type="spellStart"/>
      <w:r w:rsidRPr="00F163FE">
        <w:t>Schwerhoff</w:t>
      </w:r>
      <w:proofErr w:type="spellEnd"/>
      <w:r w:rsidRPr="00F163FE">
        <w:t xml:space="preserve"> (</w:t>
      </w:r>
      <w:proofErr w:type="spellStart"/>
      <w:proofErr w:type="gramStart"/>
      <w:r w:rsidRPr="00F163FE">
        <w:t>eds</w:t>
      </w:r>
      <w:proofErr w:type="spellEnd"/>
      <w:proofErr w:type="gramEnd"/>
      <w:r w:rsidRPr="00F163FE">
        <w:t xml:space="preserve">), </w:t>
      </w:r>
      <w:proofErr w:type="spellStart"/>
      <w:r w:rsidRPr="00F163FE">
        <w:rPr>
          <w:i/>
        </w:rPr>
        <w:t>Zwischen</w:t>
      </w:r>
      <w:proofErr w:type="spellEnd"/>
      <w:r w:rsidRPr="00F163FE">
        <w:rPr>
          <w:i/>
        </w:rPr>
        <w:t xml:space="preserve"> </w:t>
      </w:r>
      <w:proofErr w:type="spellStart"/>
      <w:r w:rsidRPr="00F163FE">
        <w:rPr>
          <w:i/>
        </w:rPr>
        <w:t>Gotteshaus</w:t>
      </w:r>
      <w:proofErr w:type="spellEnd"/>
      <w:r w:rsidRPr="00F163FE">
        <w:rPr>
          <w:i/>
        </w:rPr>
        <w:t xml:space="preserve"> und </w:t>
      </w:r>
      <w:proofErr w:type="spellStart"/>
      <w:r w:rsidRPr="00F163FE">
        <w:rPr>
          <w:i/>
        </w:rPr>
        <w:t>Taverne</w:t>
      </w:r>
      <w:proofErr w:type="spellEnd"/>
      <w:r w:rsidRPr="00F163FE">
        <w:rPr>
          <w:i/>
        </w:rPr>
        <w:t xml:space="preserve">. </w:t>
      </w:r>
      <w:proofErr w:type="spellStart"/>
      <w:r w:rsidRPr="00F163FE">
        <w:rPr>
          <w:i/>
        </w:rPr>
        <w:t>Öffentliche</w:t>
      </w:r>
      <w:proofErr w:type="spellEnd"/>
      <w:r w:rsidRPr="00F163FE">
        <w:rPr>
          <w:i/>
        </w:rPr>
        <w:t xml:space="preserve"> </w:t>
      </w:r>
      <w:proofErr w:type="spellStart"/>
      <w:r w:rsidRPr="00F163FE">
        <w:rPr>
          <w:i/>
        </w:rPr>
        <w:t>Räume</w:t>
      </w:r>
      <w:proofErr w:type="spellEnd"/>
      <w:r w:rsidRPr="00F163FE">
        <w:rPr>
          <w:i/>
        </w:rPr>
        <w:t xml:space="preserve"> in </w:t>
      </w:r>
      <w:proofErr w:type="spellStart"/>
      <w:r w:rsidRPr="00F163FE">
        <w:rPr>
          <w:i/>
        </w:rPr>
        <w:t>Spätmittelalter</w:t>
      </w:r>
      <w:proofErr w:type="spellEnd"/>
      <w:r w:rsidRPr="00F163FE">
        <w:rPr>
          <w:i/>
        </w:rPr>
        <w:t xml:space="preserve"> und </w:t>
      </w:r>
      <w:proofErr w:type="spellStart"/>
      <w:r w:rsidRPr="00F163FE">
        <w:rPr>
          <w:i/>
        </w:rPr>
        <w:t>Früher</w:t>
      </w:r>
      <w:proofErr w:type="spellEnd"/>
      <w:r w:rsidRPr="00F163FE">
        <w:rPr>
          <w:i/>
        </w:rPr>
        <w:t xml:space="preserve"> </w:t>
      </w:r>
      <w:proofErr w:type="spellStart"/>
      <w:r w:rsidRPr="00F163FE">
        <w:rPr>
          <w:i/>
        </w:rPr>
        <w:t>Neuzeit</w:t>
      </w:r>
      <w:proofErr w:type="spellEnd"/>
      <w:r w:rsidRPr="00F163FE">
        <w:t xml:space="preserve"> (Cologne</w:t>
      </w:r>
      <w:r w:rsidRPr="00AD1775">
        <w:rPr>
          <w:lang w:val="de-DE"/>
        </w:rPr>
        <w:t>: Böhlau</w:t>
      </w:r>
      <w:r w:rsidRPr="00F163FE">
        <w:t>, 2004)</w:t>
      </w:r>
      <w:r>
        <w:t>.</w:t>
      </w:r>
    </w:p>
  </w:footnote>
  <w:footnote w:id="11">
    <w:p w:rsidR="001F6F2C" w:rsidRDefault="001F6F2C">
      <w:pPr>
        <w:pStyle w:val="FootnoteText"/>
      </w:pPr>
      <w:r>
        <w:rPr>
          <w:rStyle w:val="FootnoteReference"/>
        </w:rPr>
        <w:footnoteRef/>
      </w:r>
      <w:r>
        <w:t xml:space="preserve"> </w:t>
      </w:r>
      <w:r w:rsidRPr="00022A34">
        <w:t xml:space="preserve">Ralph Kingston, “Mind over matter? </w:t>
      </w:r>
      <w:proofErr w:type="gramStart"/>
      <w:r w:rsidRPr="00022A34">
        <w:t xml:space="preserve">History and the spatial turn”, </w:t>
      </w:r>
      <w:r w:rsidRPr="001134B7">
        <w:rPr>
          <w:i/>
        </w:rPr>
        <w:t>Cultural and Social History</w:t>
      </w:r>
      <w:r>
        <w:t xml:space="preserve"> 7 (1/2010), 111-21.</w:t>
      </w:r>
      <w:proofErr w:type="gramEnd"/>
      <w:r>
        <w:t xml:space="preserve"> For case studies and conceptual guidance</w:t>
      </w:r>
      <w:r w:rsidR="00D516DC">
        <w:t xml:space="preserve"> on material </w:t>
      </w:r>
      <w:r w:rsidR="008C6E09">
        <w:t>approaches</w:t>
      </w:r>
      <w:r>
        <w:t xml:space="preserve"> see e.g. Tara </w:t>
      </w:r>
      <w:proofErr w:type="spellStart"/>
      <w:r>
        <w:t>Hamling</w:t>
      </w:r>
      <w:proofErr w:type="spellEnd"/>
      <w:r>
        <w:t xml:space="preserve"> and Catherine Richardson (</w:t>
      </w:r>
      <w:proofErr w:type="spellStart"/>
      <w:proofErr w:type="gramStart"/>
      <w:r>
        <w:t>eds</w:t>
      </w:r>
      <w:proofErr w:type="spellEnd"/>
      <w:proofErr w:type="gramEnd"/>
      <w:r>
        <w:t xml:space="preserve">), </w:t>
      </w:r>
      <w:r w:rsidRPr="001F6F2C">
        <w:rPr>
          <w:i/>
        </w:rPr>
        <w:t>Everyday Objects: Medieval and Early Modern Material Culture and its Meanings</w:t>
      </w:r>
      <w:r>
        <w:t xml:space="preserve"> (Farnham, 2010).</w:t>
      </w:r>
      <w:r w:rsidR="008C6E09">
        <w:t xml:space="preserve"> A forceful case for the primary importance of the physical environment in Christine Carpenter, ‘Political and Geographical Space: The Geopolitics of Medieval England’, in: </w:t>
      </w:r>
      <w:proofErr w:type="spellStart"/>
      <w:r w:rsidR="008C6E09">
        <w:t>Kümin</w:t>
      </w:r>
      <w:proofErr w:type="spellEnd"/>
      <w:r w:rsidR="008C6E09">
        <w:t xml:space="preserve"> (ed.), </w:t>
      </w:r>
      <w:r w:rsidR="008C6E09" w:rsidRPr="008C6E09">
        <w:rPr>
          <w:i/>
        </w:rPr>
        <w:t>Political Space</w:t>
      </w:r>
      <w:r w:rsidR="008C6E09">
        <w:t xml:space="preserve">, 117-34. </w:t>
      </w:r>
    </w:p>
  </w:footnote>
  <w:footnote w:id="12">
    <w:p w:rsidR="00034E86" w:rsidRDefault="00034E86" w:rsidP="00034E86">
      <w:pPr>
        <w:pStyle w:val="FootnoteText"/>
      </w:pPr>
      <w:r>
        <w:rPr>
          <w:rStyle w:val="FootnoteReference"/>
        </w:rPr>
        <w:footnoteRef/>
      </w:r>
      <w:r>
        <w:t xml:space="preserve"> </w:t>
      </w:r>
      <w:r w:rsidRPr="00055B92">
        <w:t xml:space="preserve">T. Unwin, “A waste of space? </w:t>
      </w:r>
      <w:proofErr w:type="gramStart"/>
      <w:r w:rsidRPr="00055B92">
        <w:t xml:space="preserve">Towards a critique of </w:t>
      </w:r>
      <w:r>
        <w:t>the social production of space”,</w:t>
      </w:r>
      <w:r w:rsidRPr="00055B92">
        <w:t xml:space="preserve"> </w:t>
      </w:r>
      <w:r w:rsidRPr="00055B92">
        <w:rPr>
          <w:i/>
        </w:rPr>
        <w:t>Transactions of the Institute of British Geographers</w:t>
      </w:r>
      <w:r w:rsidRPr="00055B92">
        <w:t xml:space="preserve"> NS 25 (2000), 11-29</w:t>
      </w:r>
      <w:r>
        <w:t>.</w:t>
      </w:r>
      <w:proofErr w:type="gramEnd"/>
      <w:r w:rsidR="00C74D83">
        <w:t xml:space="preserve"> </w:t>
      </w:r>
      <w:proofErr w:type="gramStart"/>
      <w:r w:rsidR="00C74D83">
        <w:t xml:space="preserve">A useful survey of seminal </w:t>
      </w:r>
      <w:r w:rsidR="00517C4C">
        <w:t>taxonomies</w:t>
      </w:r>
      <w:r w:rsidR="00C74D83">
        <w:t xml:space="preserve"> in Rau, </w:t>
      </w:r>
      <w:proofErr w:type="spellStart"/>
      <w:r w:rsidR="00C74D83" w:rsidRPr="00C74D83">
        <w:rPr>
          <w:i/>
        </w:rPr>
        <w:t>Räume</w:t>
      </w:r>
      <w:proofErr w:type="spellEnd"/>
      <w:r w:rsidR="00C74D83">
        <w:t>, 61-70.</w:t>
      </w:r>
      <w:proofErr w:type="gramEnd"/>
    </w:p>
  </w:footnote>
  <w:footnote w:id="13">
    <w:p w:rsidR="00073782" w:rsidRDefault="00073782">
      <w:pPr>
        <w:pStyle w:val="FootnoteText"/>
      </w:pPr>
      <w:r>
        <w:rPr>
          <w:rStyle w:val="FootnoteReference"/>
        </w:rPr>
        <w:footnoteRef/>
      </w:r>
      <w:r>
        <w:t xml:space="preserve"> Leif </w:t>
      </w:r>
      <w:proofErr w:type="spellStart"/>
      <w:r>
        <w:t>Jerram</w:t>
      </w:r>
      <w:proofErr w:type="spellEnd"/>
      <w:r>
        <w:t xml:space="preserve">, ‘Space: A Useless Category of Historical Analysis’, in </w:t>
      </w:r>
      <w:proofErr w:type="spellStart"/>
      <w:r>
        <w:t>Kümin</w:t>
      </w:r>
      <w:proofErr w:type="spellEnd"/>
      <w:r>
        <w:t xml:space="preserve"> and Usborne (</w:t>
      </w:r>
      <w:proofErr w:type="spellStart"/>
      <w:r>
        <w:t>eds</w:t>
      </w:r>
      <w:proofErr w:type="spellEnd"/>
      <w:r>
        <w:t>), ‘At Home and in the Workplace’.</w:t>
      </w:r>
    </w:p>
  </w:footnote>
  <w:footnote w:id="14">
    <w:p w:rsidR="00880D3F" w:rsidRDefault="00880D3F">
      <w:pPr>
        <w:pStyle w:val="FootnoteText"/>
      </w:pPr>
      <w:r>
        <w:rPr>
          <w:rStyle w:val="FootnoteReference"/>
        </w:rPr>
        <w:footnoteRef/>
      </w:r>
      <w:r>
        <w:t xml:space="preserve"> </w:t>
      </w:r>
      <w:proofErr w:type="spellStart"/>
      <w:r>
        <w:t>Lemberg</w:t>
      </w:r>
      <w:proofErr w:type="spellEnd"/>
      <w:r>
        <w:t xml:space="preserve"> et al. (</w:t>
      </w:r>
      <w:proofErr w:type="spellStart"/>
      <w:proofErr w:type="gramStart"/>
      <w:r>
        <w:t>eds</w:t>
      </w:r>
      <w:proofErr w:type="spellEnd"/>
      <w:proofErr w:type="gramEnd"/>
      <w:r>
        <w:t xml:space="preserve">), </w:t>
      </w:r>
      <w:r w:rsidRPr="00880D3F">
        <w:rPr>
          <w:i/>
        </w:rPr>
        <w:t>Physical and Cultural Space</w:t>
      </w:r>
      <w:r>
        <w:t>, 376.</w:t>
      </w:r>
    </w:p>
  </w:footnote>
  <w:footnote w:id="15">
    <w:p w:rsidR="0037756A" w:rsidRDefault="0037756A" w:rsidP="0037756A">
      <w:pPr>
        <w:pStyle w:val="FootnoteText"/>
      </w:pPr>
      <w:r>
        <w:rPr>
          <w:rStyle w:val="FootnoteReference"/>
        </w:rPr>
        <w:footnoteRef/>
      </w:r>
      <w:r>
        <w:t xml:space="preserve"> </w:t>
      </w:r>
      <w:r w:rsidR="00393069">
        <w:t xml:space="preserve">On the question of the wider global applicability of European periodization: </w:t>
      </w:r>
      <w:proofErr w:type="spellStart"/>
      <w:r w:rsidRPr="00DC0C3F">
        <w:t>Shamuel</w:t>
      </w:r>
      <w:proofErr w:type="spellEnd"/>
      <w:r w:rsidRPr="00DC0C3F">
        <w:t xml:space="preserve"> N</w:t>
      </w:r>
      <w:r>
        <w:t>.</w:t>
      </w:r>
      <w:r w:rsidRPr="00DC0C3F">
        <w:t xml:space="preserve"> </w:t>
      </w:r>
      <w:proofErr w:type="spellStart"/>
      <w:r>
        <w:t>Eisenstadt</w:t>
      </w:r>
      <w:proofErr w:type="spellEnd"/>
      <w:r>
        <w:t xml:space="preserve"> and</w:t>
      </w:r>
      <w:r w:rsidRPr="00DC0C3F">
        <w:t xml:space="preserve"> Wolfgang </w:t>
      </w:r>
      <w:proofErr w:type="spellStart"/>
      <w:r>
        <w:t>Schluchter</w:t>
      </w:r>
      <w:proofErr w:type="spellEnd"/>
      <w:r>
        <w:t xml:space="preserve"> (</w:t>
      </w:r>
      <w:proofErr w:type="spellStart"/>
      <w:proofErr w:type="gramStart"/>
      <w:r w:rsidRPr="00DC0C3F">
        <w:t>eds</w:t>
      </w:r>
      <w:proofErr w:type="spellEnd"/>
      <w:proofErr w:type="gramEnd"/>
      <w:r>
        <w:t>)</w:t>
      </w:r>
      <w:r w:rsidRPr="00DC0C3F">
        <w:t xml:space="preserve">, ‘Early </w:t>
      </w:r>
      <w:proofErr w:type="spellStart"/>
      <w:r w:rsidRPr="00DC0C3F">
        <w:t>Modernities</w:t>
      </w:r>
      <w:proofErr w:type="spellEnd"/>
      <w:r w:rsidRPr="00DC0C3F">
        <w:t>’</w:t>
      </w:r>
      <w:r>
        <w:t>, special issue of</w:t>
      </w:r>
      <w:r w:rsidRPr="00DC0C3F">
        <w:t xml:space="preserve"> </w:t>
      </w:r>
      <w:r w:rsidRPr="00DC0C3F">
        <w:rPr>
          <w:i/>
        </w:rPr>
        <w:t>Daedalus</w:t>
      </w:r>
      <w:r w:rsidRPr="00DC0C3F">
        <w:t xml:space="preserve"> 127</w:t>
      </w:r>
      <w:r>
        <w:t xml:space="preserve"> (1998).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505533"/>
      <w:docPartObj>
        <w:docPartGallery w:val="Page Numbers (Top of Page)"/>
        <w:docPartUnique/>
      </w:docPartObj>
    </w:sdtPr>
    <w:sdtEndPr>
      <w:rPr>
        <w:noProof/>
      </w:rPr>
    </w:sdtEndPr>
    <w:sdtContent>
      <w:p w:rsidR="007516EB" w:rsidRDefault="007516EB">
        <w:pPr>
          <w:pStyle w:val="Header"/>
          <w:jc w:val="right"/>
        </w:pPr>
        <w:r>
          <w:fldChar w:fldCharType="begin"/>
        </w:r>
        <w:r>
          <w:instrText xml:space="preserve"> PAGE   \* MERGEFORMAT </w:instrText>
        </w:r>
        <w:r>
          <w:fldChar w:fldCharType="separate"/>
        </w:r>
        <w:r w:rsidR="00941E5F">
          <w:rPr>
            <w:noProof/>
          </w:rPr>
          <w:t>2</w:t>
        </w:r>
        <w:r>
          <w:rPr>
            <w:noProof/>
          </w:rPr>
          <w:fldChar w:fldCharType="end"/>
        </w:r>
      </w:p>
    </w:sdtContent>
  </w:sdt>
  <w:p w:rsidR="007516EB" w:rsidRDefault="007516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26"/>
    <w:multiLevelType w:val="hybridMultilevel"/>
    <w:tmpl w:val="1EE0F690"/>
    <w:lvl w:ilvl="0" w:tplc="A86A5BC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4B55558"/>
    <w:multiLevelType w:val="hybridMultilevel"/>
    <w:tmpl w:val="BC628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AA42CE8"/>
    <w:multiLevelType w:val="hybridMultilevel"/>
    <w:tmpl w:val="1522073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00927F3"/>
    <w:multiLevelType w:val="hybridMultilevel"/>
    <w:tmpl w:val="ACBA06AC"/>
    <w:lvl w:ilvl="0" w:tplc="44A03292">
      <w:start w:val="1"/>
      <w:numFmt w:val="bullet"/>
      <w:lvlText w:val="•"/>
      <w:lvlJc w:val="left"/>
      <w:pPr>
        <w:tabs>
          <w:tab w:val="num" w:pos="720"/>
        </w:tabs>
        <w:ind w:left="720" w:hanging="360"/>
      </w:pPr>
      <w:rPr>
        <w:rFonts w:ascii="Arial" w:hAnsi="Arial" w:hint="default"/>
      </w:rPr>
    </w:lvl>
    <w:lvl w:ilvl="1" w:tplc="5304510E" w:tentative="1">
      <w:start w:val="1"/>
      <w:numFmt w:val="bullet"/>
      <w:lvlText w:val="•"/>
      <w:lvlJc w:val="left"/>
      <w:pPr>
        <w:tabs>
          <w:tab w:val="num" w:pos="1440"/>
        </w:tabs>
        <w:ind w:left="1440" w:hanging="360"/>
      </w:pPr>
      <w:rPr>
        <w:rFonts w:ascii="Arial" w:hAnsi="Arial" w:hint="default"/>
      </w:rPr>
    </w:lvl>
    <w:lvl w:ilvl="2" w:tplc="D8EEA812" w:tentative="1">
      <w:start w:val="1"/>
      <w:numFmt w:val="bullet"/>
      <w:lvlText w:val="•"/>
      <w:lvlJc w:val="left"/>
      <w:pPr>
        <w:tabs>
          <w:tab w:val="num" w:pos="2160"/>
        </w:tabs>
        <w:ind w:left="2160" w:hanging="360"/>
      </w:pPr>
      <w:rPr>
        <w:rFonts w:ascii="Arial" w:hAnsi="Arial" w:hint="default"/>
      </w:rPr>
    </w:lvl>
    <w:lvl w:ilvl="3" w:tplc="64AA677E" w:tentative="1">
      <w:start w:val="1"/>
      <w:numFmt w:val="bullet"/>
      <w:lvlText w:val="•"/>
      <w:lvlJc w:val="left"/>
      <w:pPr>
        <w:tabs>
          <w:tab w:val="num" w:pos="2880"/>
        </w:tabs>
        <w:ind w:left="2880" w:hanging="360"/>
      </w:pPr>
      <w:rPr>
        <w:rFonts w:ascii="Arial" w:hAnsi="Arial" w:hint="default"/>
      </w:rPr>
    </w:lvl>
    <w:lvl w:ilvl="4" w:tplc="C53C2E84" w:tentative="1">
      <w:start w:val="1"/>
      <w:numFmt w:val="bullet"/>
      <w:lvlText w:val="•"/>
      <w:lvlJc w:val="left"/>
      <w:pPr>
        <w:tabs>
          <w:tab w:val="num" w:pos="3600"/>
        </w:tabs>
        <w:ind w:left="3600" w:hanging="360"/>
      </w:pPr>
      <w:rPr>
        <w:rFonts w:ascii="Arial" w:hAnsi="Arial" w:hint="default"/>
      </w:rPr>
    </w:lvl>
    <w:lvl w:ilvl="5" w:tplc="E496F12C" w:tentative="1">
      <w:start w:val="1"/>
      <w:numFmt w:val="bullet"/>
      <w:lvlText w:val="•"/>
      <w:lvlJc w:val="left"/>
      <w:pPr>
        <w:tabs>
          <w:tab w:val="num" w:pos="4320"/>
        </w:tabs>
        <w:ind w:left="4320" w:hanging="360"/>
      </w:pPr>
      <w:rPr>
        <w:rFonts w:ascii="Arial" w:hAnsi="Arial" w:hint="default"/>
      </w:rPr>
    </w:lvl>
    <w:lvl w:ilvl="6" w:tplc="AAAAD6B8" w:tentative="1">
      <w:start w:val="1"/>
      <w:numFmt w:val="bullet"/>
      <w:lvlText w:val="•"/>
      <w:lvlJc w:val="left"/>
      <w:pPr>
        <w:tabs>
          <w:tab w:val="num" w:pos="5040"/>
        </w:tabs>
        <w:ind w:left="5040" w:hanging="360"/>
      </w:pPr>
      <w:rPr>
        <w:rFonts w:ascii="Arial" w:hAnsi="Arial" w:hint="default"/>
      </w:rPr>
    </w:lvl>
    <w:lvl w:ilvl="7" w:tplc="C89A67E6" w:tentative="1">
      <w:start w:val="1"/>
      <w:numFmt w:val="bullet"/>
      <w:lvlText w:val="•"/>
      <w:lvlJc w:val="left"/>
      <w:pPr>
        <w:tabs>
          <w:tab w:val="num" w:pos="5760"/>
        </w:tabs>
        <w:ind w:left="5760" w:hanging="360"/>
      </w:pPr>
      <w:rPr>
        <w:rFonts w:ascii="Arial" w:hAnsi="Arial" w:hint="default"/>
      </w:rPr>
    </w:lvl>
    <w:lvl w:ilvl="8" w:tplc="7E1ED65E" w:tentative="1">
      <w:start w:val="1"/>
      <w:numFmt w:val="bullet"/>
      <w:lvlText w:val="•"/>
      <w:lvlJc w:val="left"/>
      <w:pPr>
        <w:tabs>
          <w:tab w:val="num" w:pos="6480"/>
        </w:tabs>
        <w:ind w:left="6480" w:hanging="360"/>
      </w:pPr>
      <w:rPr>
        <w:rFonts w:ascii="Arial" w:hAnsi="Arial" w:hint="default"/>
      </w:rPr>
    </w:lvl>
  </w:abstractNum>
  <w:abstractNum w:abstractNumId="4">
    <w:nsid w:val="27B75681"/>
    <w:multiLevelType w:val="hybridMultilevel"/>
    <w:tmpl w:val="B636C060"/>
    <w:lvl w:ilvl="0" w:tplc="A86A5BC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90973BF"/>
    <w:multiLevelType w:val="hybridMultilevel"/>
    <w:tmpl w:val="4A1C85E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C514EA5"/>
    <w:multiLevelType w:val="hybridMultilevel"/>
    <w:tmpl w:val="99828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45905BA"/>
    <w:multiLevelType w:val="hybridMultilevel"/>
    <w:tmpl w:val="A7562982"/>
    <w:lvl w:ilvl="0" w:tplc="30B4AF96">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C367234"/>
    <w:multiLevelType w:val="hybridMultilevel"/>
    <w:tmpl w:val="142A1182"/>
    <w:lvl w:ilvl="0" w:tplc="A86A5BC6">
      <w:numFmt w:val="bullet"/>
      <w:lvlText w:val="-"/>
      <w:lvlJc w:val="left"/>
      <w:pPr>
        <w:tabs>
          <w:tab w:val="num" w:pos="720"/>
        </w:tabs>
        <w:ind w:left="720" w:hanging="360"/>
      </w:pPr>
      <w:rPr>
        <w:rFonts w:ascii="Times New Roman" w:eastAsia="Times New Roman" w:hAnsi="Times New Roman" w:cs="Times New Roman" w:hint="default"/>
      </w:rPr>
    </w:lvl>
    <w:lvl w:ilvl="1" w:tplc="5304510E">
      <w:start w:val="1"/>
      <w:numFmt w:val="bullet"/>
      <w:lvlText w:val="•"/>
      <w:lvlJc w:val="left"/>
      <w:pPr>
        <w:tabs>
          <w:tab w:val="num" w:pos="1440"/>
        </w:tabs>
        <w:ind w:left="1440" w:hanging="360"/>
      </w:pPr>
      <w:rPr>
        <w:rFonts w:ascii="Arial" w:hAnsi="Arial" w:hint="default"/>
      </w:rPr>
    </w:lvl>
    <w:lvl w:ilvl="2" w:tplc="D8EEA812" w:tentative="1">
      <w:start w:val="1"/>
      <w:numFmt w:val="bullet"/>
      <w:lvlText w:val="•"/>
      <w:lvlJc w:val="left"/>
      <w:pPr>
        <w:tabs>
          <w:tab w:val="num" w:pos="2160"/>
        </w:tabs>
        <w:ind w:left="2160" w:hanging="360"/>
      </w:pPr>
      <w:rPr>
        <w:rFonts w:ascii="Arial" w:hAnsi="Arial" w:hint="default"/>
      </w:rPr>
    </w:lvl>
    <w:lvl w:ilvl="3" w:tplc="64AA677E" w:tentative="1">
      <w:start w:val="1"/>
      <w:numFmt w:val="bullet"/>
      <w:lvlText w:val="•"/>
      <w:lvlJc w:val="left"/>
      <w:pPr>
        <w:tabs>
          <w:tab w:val="num" w:pos="2880"/>
        </w:tabs>
        <w:ind w:left="2880" w:hanging="360"/>
      </w:pPr>
      <w:rPr>
        <w:rFonts w:ascii="Arial" w:hAnsi="Arial" w:hint="default"/>
      </w:rPr>
    </w:lvl>
    <w:lvl w:ilvl="4" w:tplc="C53C2E84" w:tentative="1">
      <w:start w:val="1"/>
      <w:numFmt w:val="bullet"/>
      <w:lvlText w:val="•"/>
      <w:lvlJc w:val="left"/>
      <w:pPr>
        <w:tabs>
          <w:tab w:val="num" w:pos="3600"/>
        </w:tabs>
        <w:ind w:left="3600" w:hanging="360"/>
      </w:pPr>
      <w:rPr>
        <w:rFonts w:ascii="Arial" w:hAnsi="Arial" w:hint="default"/>
      </w:rPr>
    </w:lvl>
    <w:lvl w:ilvl="5" w:tplc="E496F12C" w:tentative="1">
      <w:start w:val="1"/>
      <w:numFmt w:val="bullet"/>
      <w:lvlText w:val="•"/>
      <w:lvlJc w:val="left"/>
      <w:pPr>
        <w:tabs>
          <w:tab w:val="num" w:pos="4320"/>
        </w:tabs>
        <w:ind w:left="4320" w:hanging="360"/>
      </w:pPr>
      <w:rPr>
        <w:rFonts w:ascii="Arial" w:hAnsi="Arial" w:hint="default"/>
      </w:rPr>
    </w:lvl>
    <w:lvl w:ilvl="6" w:tplc="AAAAD6B8" w:tentative="1">
      <w:start w:val="1"/>
      <w:numFmt w:val="bullet"/>
      <w:lvlText w:val="•"/>
      <w:lvlJc w:val="left"/>
      <w:pPr>
        <w:tabs>
          <w:tab w:val="num" w:pos="5040"/>
        </w:tabs>
        <w:ind w:left="5040" w:hanging="360"/>
      </w:pPr>
      <w:rPr>
        <w:rFonts w:ascii="Arial" w:hAnsi="Arial" w:hint="default"/>
      </w:rPr>
    </w:lvl>
    <w:lvl w:ilvl="7" w:tplc="C89A67E6" w:tentative="1">
      <w:start w:val="1"/>
      <w:numFmt w:val="bullet"/>
      <w:lvlText w:val="•"/>
      <w:lvlJc w:val="left"/>
      <w:pPr>
        <w:tabs>
          <w:tab w:val="num" w:pos="5760"/>
        </w:tabs>
        <w:ind w:left="5760" w:hanging="360"/>
      </w:pPr>
      <w:rPr>
        <w:rFonts w:ascii="Arial" w:hAnsi="Arial" w:hint="default"/>
      </w:rPr>
    </w:lvl>
    <w:lvl w:ilvl="8" w:tplc="7E1ED65E" w:tentative="1">
      <w:start w:val="1"/>
      <w:numFmt w:val="bullet"/>
      <w:lvlText w:val="•"/>
      <w:lvlJc w:val="left"/>
      <w:pPr>
        <w:tabs>
          <w:tab w:val="num" w:pos="6480"/>
        </w:tabs>
        <w:ind w:left="6480" w:hanging="360"/>
      </w:pPr>
      <w:rPr>
        <w:rFonts w:ascii="Arial" w:hAnsi="Arial" w:hint="default"/>
      </w:rPr>
    </w:lvl>
  </w:abstractNum>
  <w:abstractNum w:abstractNumId="9">
    <w:nsid w:val="4EDD3C76"/>
    <w:multiLevelType w:val="hybridMultilevel"/>
    <w:tmpl w:val="7CEE403C"/>
    <w:lvl w:ilvl="0" w:tplc="D460292A">
      <w:start w:val="1"/>
      <w:numFmt w:val="bullet"/>
      <w:lvlText w:val="•"/>
      <w:lvlJc w:val="left"/>
      <w:pPr>
        <w:tabs>
          <w:tab w:val="num" w:pos="1080"/>
        </w:tabs>
        <w:ind w:left="1080" w:hanging="360"/>
      </w:pPr>
      <w:rPr>
        <w:rFonts w:ascii="Arial" w:hAnsi="Arial" w:hint="default"/>
      </w:rPr>
    </w:lvl>
    <w:lvl w:ilvl="1" w:tplc="5304510E" w:tentative="1">
      <w:start w:val="1"/>
      <w:numFmt w:val="bullet"/>
      <w:lvlText w:val="•"/>
      <w:lvlJc w:val="left"/>
      <w:pPr>
        <w:tabs>
          <w:tab w:val="num" w:pos="1800"/>
        </w:tabs>
        <w:ind w:left="1800" w:hanging="360"/>
      </w:pPr>
      <w:rPr>
        <w:rFonts w:ascii="Arial" w:hAnsi="Arial" w:hint="default"/>
      </w:rPr>
    </w:lvl>
    <w:lvl w:ilvl="2" w:tplc="D8EEA812" w:tentative="1">
      <w:start w:val="1"/>
      <w:numFmt w:val="bullet"/>
      <w:lvlText w:val="•"/>
      <w:lvlJc w:val="left"/>
      <w:pPr>
        <w:tabs>
          <w:tab w:val="num" w:pos="2520"/>
        </w:tabs>
        <w:ind w:left="2520" w:hanging="360"/>
      </w:pPr>
      <w:rPr>
        <w:rFonts w:ascii="Arial" w:hAnsi="Arial" w:hint="default"/>
      </w:rPr>
    </w:lvl>
    <w:lvl w:ilvl="3" w:tplc="64AA677E" w:tentative="1">
      <w:start w:val="1"/>
      <w:numFmt w:val="bullet"/>
      <w:lvlText w:val="•"/>
      <w:lvlJc w:val="left"/>
      <w:pPr>
        <w:tabs>
          <w:tab w:val="num" w:pos="3240"/>
        </w:tabs>
        <w:ind w:left="3240" w:hanging="360"/>
      </w:pPr>
      <w:rPr>
        <w:rFonts w:ascii="Arial" w:hAnsi="Arial" w:hint="default"/>
      </w:rPr>
    </w:lvl>
    <w:lvl w:ilvl="4" w:tplc="C53C2E84" w:tentative="1">
      <w:start w:val="1"/>
      <w:numFmt w:val="bullet"/>
      <w:lvlText w:val="•"/>
      <w:lvlJc w:val="left"/>
      <w:pPr>
        <w:tabs>
          <w:tab w:val="num" w:pos="3960"/>
        </w:tabs>
        <w:ind w:left="3960" w:hanging="360"/>
      </w:pPr>
      <w:rPr>
        <w:rFonts w:ascii="Arial" w:hAnsi="Arial" w:hint="default"/>
      </w:rPr>
    </w:lvl>
    <w:lvl w:ilvl="5" w:tplc="E496F12C" w:tentative="1">
      <w:start w:val="1"/>
      <w:numFmt w:val="bullet"/>
      <w:lvlText w:val="•"/>
      <w:lvlJc w:val="left"/>
      <w:pPr>
        <w:tabs>
          <w:tab w:val="num" w:pos="4680"/>
        </w:tabs>
        <w:ind w:left="4680" w:hanging="360"/>
      </w:pPr>
      <w:rPr>
        <w:rFonts w:ascii="Arial" w:hAnsi="Arial" w:hint="default"/>
      </w:rPr>
    </w:lvl>
    <w:lvl w:ilvl="6" w:tplc="AAAAD6B8" w:tentative="1">
      <w:start w:val="1"/>
      <w:numFmt w:val="bullet"/>
      <w:lvlText w:val="•"/>
      <w:lvlJc w:val="left"/>
      <w:pPr>
        <w:tabs>
          <w:tab w:val="num" w:pos="5400"/>
        </w:tabs>
        <w:ind w:left="5400" w:hanging="360"/>
      </w:pPr>
      <w:rPr>
        <w:rFonts w:ascii="Arial" w:hAnsi="Arial" w:hint="default"/>
      </w:rPr>
    </w:lvl>
    <w:lvl w:ilvl="7" w:tplc="C89A67E6" w:tentative="1">
      <w:start w:val="1"/>
      <w:numFmt w:val="bullet"/>
      <w:lvlText w:val="•"/>
      <w:lvlJc w:val="left"/>
      <w:pPr>
        <w:tabs>
          <w:tab w:val="num" w:pos="6120"/>
        </w:tabs>
        <w:ind w:left="6120" w:hanging="360"/>
      </w:pPr>
      <w:rPr>
        <w:rFonts w:ascii="Arial" w:hAnsi="Arial" w:hint="default"/>
      </w:rPr>
    </w:lvl>
    <w:lvl w:ilvl="8" w:tplc="7E1ED65E" w:tentative="1">
      <w:start w:val="1"/>
      <w:numFmt w:val="bullet"/>
      <w:lvlText w:val="•"/>
      <w:lvlJc w:val="left"/>
      <w:pPr>
        <w:tabs>
          <w:tab w:val="num" w:pos="6840"/>
        </w:tabs>
        <w:ind w:left="6840" w:hanging="360"/>
      </w:pPr>
      <w:rPr>
        <w:rFonts w:ascii="Arial" w:hAnsi="Arial" w:hint="default"/>
      </w:rPr>
    </w:lvl>
  </w:abstractNum>
  <w:abstractNum w:abstractNumId="10">
    <w:nsid w:val="532F69ED"/>
    <w:multiLevelType w:val="hybridMultilevel"/>
    <w:tmpl w:val="E640E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60475F95"/>
    <w:multiLevelType w:val="hybridMultilevel"/>
    <w:tmpl w:val="05EA3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BAB5D9B"/>
    <w:multiLevelType w:val="hybridMultilevel"/>
    <w:tmpl w:val="B6F69B64"/>
    <w:lvl w:ilvl="0" w:tplc="D460292A">
      <w:start w:val="1"/>
      <w:numFmt w:val="bullet"/>
      <w:lvlText w:val="•"/>
      <w:lvlJc w:val="left"/>
      <w:pPr>
        <w:tabs>
          <w:tab w:val="num" w:pos="720"/>
        </w:tabs>
        <w:ind w:left="720" w:hanging="360"/>
      </w:pPr>
      <w:rPr>
        <w:rFonts w:ascii="Arial" w:hAnsi="Arial" w:hint="default"/>
      </w:rPr>
    </w:lvl>
    <w:lvl w:ilvl="1" w:tplc="A50898C2" w:tentative="1">
      <w:start w:val="1"/>
      <w:numFmt w:val="bullet"/>
      <w:lvlText w:val="•"/>
      <w:lvlJc w:val="left"/>
      <w:pPr>
        <w:tabs>
          <w:tab w:val="num" w:pos="1440"/>
        </w:tabs>
        <w:ind w:left="1440" w:hanging="360"/>
      </w:pPr>
      <w:rPr>
        <w:rFonts w:ascii="Arial" w:hAnsi="Arial" w:hint="default"/>
      </w:rPr>
    </w:lvl>
    <w:lvl w:ilvl="2" w:tplc="E1C04758" w:tentative="1">
      <w:start w:val="1"/>
      <w:numFmt w:val="bullet"/>
      <w:lvlText w:val="•"/>
      <w:lvlJc w:val="left"/>
      <w:pPr>
        <w:tabs>
          <w:tab w:val="num" w:pos="2160"/>
        </w:tabs>
        <w:ind w:left="2160" w:hanging="360"/>
      </w:pPr>
      <w:rPr>
        <w:rFonts w:ascii="Arial" w:hAnsi="Arial" w:hint="default"/>
      </w:rPr>
    </w:lvl>
    <w:lvl w:ilvl="3" w:tplc="8F3EE226" w:tentative="1">
      <w:start w:val="1"/>
      <w:numFmt w:val="bullet"/>
      <w:lvlText w:val="•"/>
      <w:lvlJc w:val="left"/>
      <w:pPr>
        <w:tabs>
          <w:tab w:val="num" w:pos="2880"/>
        </w:tabs>
        <w:ind w:left="2880" w:hanging="360"/>
      </w:pPr>
      <w:rPr>
        <w:rFonts w:ascii="Arial" w:hAnsi="Arial" w:hint="default"/>
      </w:rPr>
    </w:lvl>
    <w:lvl w:ilvl="4" w:tplc="735E3BE4" w:tentative="1">
      <w:start w:val="1"/>
      <w:numFmt w:val="bullet"/>
      <w:lvlText w:val="•"/>
      <w:lvlJc w:val="left"/>
      <w:pPr>
        <w:tabs>
          <w:tab w:val="num" w:pos="3600"/>
        </w:tabs>
        <w:ind w:left="3600" w:hanging="360"/>
      </w:pPr>
      <w:rPr>
        <w:rFonts w:ascii="Arial" w:hAnsi="Arial" w:hint="default"/>
      </w:rPr>
    </w:lvl>
    <w:lvl w:ilvl="5" w:tplc="E864D554" w:tentative="1">
      <w:start w:val="1"/>
      <w:numFmt w:val="bullet"/>
      <w:lvlText w:val="•"/>
      <w:lvlJc w:val="left"/>
      <w:pPr>
        <w:tabs>
          <w:tab w:val="num" w:pos="4320"/>
        </w:tabs>
        <w:ind w:left="4320" w:hanging="360"/>
      </w:pPr>
      <w:rPr>
        <w:rFonts w:ascii="Arial" w:hAnsi="Arial" w:hint="default"/>
      </w:rPr>
    </w:lvl>
    <w:lvl w:ilvl="6" w:tplc="6EF4F180" w:tentative="1">
      <w:start w:val="1"/>
      <w:numFmt w:val="bullet"/>
      <w:lvlText w:val="•"/>
      <w:lvlJc w:val="left"/>
      <w:pPr>
        <w:tabs>
          <w:tab w:val="num" w:pos="5040"/>
        </w:tabs>
        <w:ind w:left="5040" w:hanging="360"/>
      </w:pPr>
      <w:rPr>
        <w:rFonts w:ascii="Arial" w:hAnsi="Arial" w:hint="default"/>
      </w:rPr>
    </w:lvl>
    <w:lvl w:ilvl="7" w:tplc="8570B0E4" w:tentative="1">
      <w:start w:val="1"/>
      <w:numFmt w:val="bullet"/>
      <w:lvlText w:val="•"/>
      <w:lvlJc w:val="left"/>
      <w:pPr>
        <w:tabs>
          <w:tab w:val="num" w:pos="5760"/>
        </w:tabs>
        <w:ind w:left="5760" w:hanging="360"/>
      </w:pPr>
      <w:rPr>
        <w:rFonts w:ascii="Arial" w:hAnsi="Arial" w:hint="default"/>
      </w:rPr>
    </w:lvl>
    <w:lvl w:ilvl="8" w:tplc="AAA2AE1E" w:tentative="1">
      <w:start w:val="1"/>
      <w:numFmt w:val="bullet"/>
      <w:lvlText w:val="•"/>
      <w:lvlJc w:val="left"/>
      <w:pPr>
        <w:tabs>
          <w:tab w:val="num" w:pos="6480"/>
        </w:tabs>
        <w:ind w:left="6480" w:hanging="360"/>
      </w:pPr>
      <w:rPr>
        <w:rFonts w:ascii="Arial" w:hAnsi="Arial" w:hint="default"/>
      </w:rPr>
    </w:lvl>
  </w:abstractNum>
  <w:abstractNum w:abstractNumId="13">
    <w:nsid w:val="6E922FE1"/>
    <w:multiLevelType w:val="hybridMultilevel"/>
    <w:tmpl w:val="56345BA6"/>
    <w:lvl w:ilvl="0" w:tplc="9500C35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6F9A25CE"/>
    <w:multiLevelType w:val="hybridMultilevel"/>
    <w:tmpl w:val="8C1C90B4"/>
    <w:lvl w:ilvl="0" w:tplc="E790103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EC76689"/>
    <w:multiLevelType w:val="hybridMultilevel"/>
    <w:tmpl w:val="3DC4FB9A"/>
    <w:lvl w:ilvl="0" w:tplc="A86A5BC6">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12"/>
  </w:num>
  <w:num w:numId="4">
    <w:abstractNumId w:val="3"/>
  </w:num>
  <w:num w:numId="5">
    <w:abstractNumId w:val="8"/>
  </w:num>
  <w:num w:numId="6">
    <w:abstractNumId w:val="9"/>
  </w:num>
  <w:num w:numId="7">
    <w:abstractNumId w:val="2"/>
  </w:num>
  <w:num w:numId="8">
    <w:abstractNumId w:val="4"/>
  </w:num>
  <w:num w:numId="9">
    <w:abstractNumId w:val="5"/>
  </w:num>
  <w:num w:numId="10">
    <w:abstractNumId w:val="0"/>
  </w:num>
  <w:num w:numId="11">
    <w:abstractNumId w:val="1"/>
  </w:num>
  <w:num w:numId="12">
    <w:abstractNumId w:val="11"/>
  </w:num>
  <w:num w:numId="13">
    <w:abstractNumId w:val="6"/>
  </w:num>
  <w:num w:numId="14">
    <w:abstractNumId w:val="7"/>
  </w:num>
  <w:num w:numId="15">
    <w:abstractNumId w:val="1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C81"/>
    <w:rsid w:val="00010E8F"/>
    <w:rsid w:val="00030654"/>
    <w:rsid w:val="000323C9"/>
    <w:rsid w:val="00034E86"/>
    <w:rsid w:val="00042224"/>
    <w:rsid w:val="0005116D"/>
    <w:rsid w:val="00065AF5"/>
    <w:rsid w:val="00073782"/>
    <w:rsid w:val="0009094F"/>
    <w:rsid w:val="000B6DDC"/>
    <w:rsid w:val="000E0BAD"/>
    <w:rsid w:val="000E6F8E"/>
    <w:rsid w:val="000F763B"/>
    <w:rsid w:val="00107BC8"/>
    <w:rsid w:val="0012578F"/>
    <w:rsid w:val="00127B12"/>
    <w:rsid w:val="00132E21"/>
    <w:rsid w:val="00153CC2"/>
    <w:rsid w:val="0016016E"/>
    <w:rsid w:val="0016587F"/>
    <w:rsid w:val="0016736E"/>
    <w:rsid w:val="001909D7"/>
    <w:rsid w:val="001C5516"/>
    <w:rsid w:val="001D4C77"/>
    <w:rsid w:val="001E281F"/>
    <w:rsid w:val="001E2C55"/>
    <w:rsid w:val="001E7400"/>
    <w:rsid w:val="001F6F2C"/>
    <w:rsid w:val="00200729"/>
    <w:rsid w:val="0023554A"/>
    <w:rsid w:val="00266C03"/>
    <w:rsid w:val="00270380"/>
    <w:rsid w:val="00273973"/>
    <w:rsid w:val="002822DE"/>
    <w:rsid w:val="002B777A"/>
    <w:rsid w:val="002C1E7C"/>
    <w:rsid w:val="002D444F"/>
    <w:rsid w:val="002D4541"/>
    <w:rsid w:val="002E5B40"/>
    <w:rsid w:val="002F30E7"/>
    <w:rsid w:val="002F72F6"/>
    <w:rsid w:val="003221E3"/>
    <w:rsid w:val="00334C15"/>
    <w:rsid w:val="003424DD"/>
    <w:rsid w:val="003567F3"/>
    <w:rsid w:val="003654F9"/>
    <w:rsid w:val="0037756A"/>
    <w:rsid w:val="003853B3"/>
    <w:rsid w:val="00393069"/>
    <w:rsid w:val="003A0D35"/>
    <w:rsid w:val="003A3FAA"/>
    <w:rsid w:val="003B7367"/>
    <w:rsid w:val="003F5CF1"/>
    <w:rsid w:val="004005CA"/>
    <w:rsid w:val="004245E8"/>
    <w:rsid w:val="00426F4C"/>
    <w:rsid w:val="0043271B"/>
    <w:rsid w:val="00442C82"/>
    <w:rsid w:val="00451518"/>
    <w:rsid w:val="004536AA"/>
    <w:rsid w:val="004557B5"/>
    <w:rsid w:val="00470D1F"/>
    <w:rsid w:val="004732FD"/>
    <w:rsid w:val="004760E4"/>
    <w:rsid w:val="00481CC4"/>
    <w:rsid w:val="004A2B26"/>
    <w:rsid w:val="004B67F6"/>
    <w:rsid w:val="004C6217"/>
    <w:rsid w:val="004D1EBE"/>
    <w:rsid w:val="004D5CE8"/>
    <w:rsid w:val="004F0397"/>
    <w:rsid w:val="004F3285"/>
    <w:rsid w:val="004F37B1"/>
    <w:rsid w:val="004F5390"/>
    <w:rsid w:val="00503774"/>
    <w:rsid w:val="0051524A"/>
    <w:rsid w:val="00517C4C"/>
    <w:rsid w:val="005301C2"/>
    <w:rsid w:val="00531A69"/>
    <w:rsid w:val="005402CC"/>
    <w:rsid w:val="0059485F"/>
    <w:rsid w:val="005B56BA"/>
    <w:rsid w:val="005D26D0"/>
    <w:rsid w:val="005F33DC"/>
    <w:rsid w:val="006129D5"/>
    <w:rsid w:val="00627449"/>
    <w:rsid w:val="00630E7C"/>
    <w:rsid w:val="0063377A"/>
    <w:rsid w:val="00633F5B"/>
    <w:rsid w:val="0063702E"/>
    <w:rsid w:val="006418D6"/>
    <w:rsid w:val="00674625"/>
    <w:rsid w:val="00696415"/>
    <w:rsid w:val="006E1B41"/>
    <w:rsid w:val="006E3984"/>
    <w:rsid w:val="006E58DC"/>
    <w:rsid w:val="006E6927"/>
    <w:rsid w:val="00710A74"/>
    <w:rsid w:val="00713162"/>
    <w:rsid w:val="00720D77"/>
    <w:rsid w:val="0072142E"/>
    <w:rsid w:val="00743E41"/>
    <w:rsid w:val="00745E6A"/>
    <w:rsid w:val="00746C81"/>
    <w:rsid w:val="007516EB"/>
    <w:rsid w:val="00755B81"/>
    <w:rsid w:val="007664F0"/>
    <w:rsid w:val="00770329"/>
    <w:rsid w:val="00771779"/>
    <w:rsid w:val="00773D26"/>
    <w:rsid w:val="00782EE5"/>
    <w:rsid w:val="00787285"/>
    <w:rsid w:val="007B5E10"/>
    <w:rsid w:val="007F6291"/>
    <w:rsid w:val="007F6E43"/>
    <w:rsid w:val="00804AD1"/>
    <w:rsid w:val="00826529"/>
    <w:rsid w:val="00850711"/>
    <w:rsid w:val="00880D3F"/>
    <w:rsid w:val="008977E8"/>
    <w:rsid w:val="008A212F"/>
    <w:rsid w:val="008C0B4B"/>
    <w:rsid w:val="008C69BF"/>
    <w:rsid w:val="008C6E09"/>
    <w:rsid w:val="008D7824"/>
    <w:rsid w:val="008E690A"/>
    <w:rsid w:val="00921336"/>
    <w:rsid w:val="00924F6D"/>
    <w:rsid w:val="00926031"/>
    <w:rsid w:val="00926F27"/>
    <w:rsid w:val="00933322"/>
    <w:rsid w:val="00941E5F"/>
    <w:rsid w:val="00944D9A"/>
    <w:rsid w:val="0094518D"/>
    <w:rsid w:val="009477BC"/>
    <w:rsid w:val="00982164"/>
    <w:rsid w:val="00996134"/>
    <w:rsid w:val="0099665E"/>
    <w:rsid w:val="00997B9C"/>
    <w:rsid w:val="009A0352"/>
    <w:rsid w:val="009A534F"/>
    <w:rsid w:val="009C171E"/>
    <w:rsid w:val="009C27A1"/>
    <w:rsid w:val="009E6325"/>
    <w:rsid w:val="00A13BBD"/>
    <w:rsid w:val="00A2470E"/>
    <w:rsid w:val="00A40628"/>
    <w:rsid w:val="00A407EB"/>
    <w:rsid w:val="00A42F8B"/>
    <w:rsid w:val="00A43A73"/>
    <w:rsid w:val="00A523C4"/>
    <w:rsid w:val="00A72945"/>
    <w:rsid w:val="00A771FB"/>
    <w:rsid w:val="00A836C4"/>
    <w:rsid w:val="00A910BF"/>
    <w:rsid w:val="00AB2EAB"/>
    <w:rsid w:val="00AD31EB"/>
    <w:rsid w:val="00AD3BB9"/>
    <w:rsid w:val="00B01DC9"/>
    <w:rsid w:val="00B0447C"/>
    <w:rsid w:val="00B403A2"/>
    <w:rsid w:val="00B44F9C"/>
    <w:rsid w:val="00B65A87"/>
    <w:rsid w:val="00B83EBD"/>
    <w:rsid w:val="00BA61BB"/>
    <w:rsid w:val="00BA79A8"/>
    <w:rsid w:val="00BB0999"/>
    <w:rsid w:val="00BB6A90"/>
    <w:rsid w:val="00BD1580"/>
    <w:rsid w:val="00BD4E97"/>
    <w:rsid w:val="00BE2B2E"/>
    <w:rsid w:val="00BF23C4"/>
    <w:rsid w:val="00BF4A21"/>
    <w:rsid w:val="00BF4C78"/>
    <w:rsid w:val="00C04B5C"/>
    <w:rsid w:val="00C0733B"/>
    <w:rsid w:val="00C12864"/>
    <w:rsid w:val="00C15FCA"/>
    <w:rsid w:val="00C227F4"/>
    <w:rsid w:val="00C43027"/>
    <w:rsid w:val="00C43CEC"/>
    <w:rsid w:val="00C448F2"/>
    <w:rsid w:val="00C65551"/>
    <w:rsid w:val="00C729D1"/>
    <w:rsid w:val="00C74D83"/>
    <w:rsid w:val="00C861DB"/>
    <w:rsid w:val="00C9316F"/>
    <w:rsid w:val="00CB6D7A"/>
    <w:rsid w:val="00CC4F7D"/>
    <w:rsid w:val="00CC5039"/>
    <w:rsid w:val="00CD1CF3"/>
    <w:rsid w:val="00CE3285"/>
    <w:rsid w:val="00CF390F"/>
    <w:rsid w:val="00CF6ED1"/>
    <w:rsid w:val="00D01902"/>
    <w:rsid w:val="00D06E58"/>
    <w:rsid w:val="00D143FE"/>
    <w:rsid w:val="00D235ED"/>
    <w:rsid w:val="00D26CE5"/>
    <w:rsid w:val="00D35AA3"/>
    <w:rsid w:val="00D37096"/>
    <w:rsid w:val="00D41C6D"/>
    <w:rsid w:val="00D46D39"/>
    <w:rsid w:val="00D516DC"/>
    <w:rsid w:val="00D73A3D"/>
    <w:rsid w:val="00D907F5"/>
    <w:rsid w:val="00D92F5A"/>
    <w:rsid w:val="00DA189D"/>
    <w:rsid w:val="00DA58F0"/>
    <w:rsid w:val="00DC1480"/>
    <w:rsid w:val="00DF75FC"/>
    <w:rsid w:val="00E239EA"/>
    <w:rsid w:val="00E30B32"/>
    <w:rsid w:val="00E461A4"/>
    <w:rsid w:val="00E51705"/>
    <w:rsid w:val="00EA3C73"/>
    <w:rsid w:val="00EA6DF9"/>
    <w:rsid w:val="00EB52F6"/>
    <w:rsid w:val="00EC13D8"/>
    <w:rsid w:val="00EC1FDE"/>
    <w:rsid w:val="00EC367F"/>
    <w:rsid w:val="00EE6F80"/>
    <w:rsid w:val="00EF5029"/>
    <w:rsid w:val="00EF55CC"/>
    <w:rsid w:val="00F0368E"/>
    <w:rsid w:val="00F32B00"/>
    <w:rsid w:val="00F469D5"/>
    <w:rsid w:val="00F746F5"/>
    <w:rsid w:val="00F958CE"/>
    <w:rsid w:val="00FA0D53"/>
    <w:rsid w:val="00FC578B"/>
    <w:rsid w:val="00FC7587"/>
    <w:rsid w:val="00FD25CF"/>
    <w:rsid w:val="00FD692F"/>
    <w:rsid w:val="00FE1B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0999"/>
    <w:pPr>
      <w:spacing w:after="0" w:line="240" w:lineRule="auto"/>
    </w:pPr>
    <w:rPr>
      <w:rFonts w:ascii="Times New Roman" w:hAnsi="Times New Roman" w:cs="Arial"/>
      <w:sz w:val="24"/>
      <w:szCs w:val="24"/>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qFormat/>
    <w:rsid w:val="008C0B4B"/>
    <w:pPr>
      <w:ind w:firstLine="284"/>
    </w:pPr>
    <w:rPr>
      <w:sz w:val="20"/>
      <w:szCs w:val="20"/>
    </w:rPr>
  </w:style>
  <w:style w:type="character" w:customStyle="1" w:styleId="FootnoteTextChar">
    <w:name w:val="Footnote Text Char"/>
    <w:basedOn w:val="DefaultParagraphFont"/>
    <w:link w:val="FootnoteText"/>
    <w:uiPriority w:val="99"/>
    <w:semiHidden/>
    <w:rsid w:val="008C0B4B"/>
    <w:rPr>
      <w:rFonts w:ascii="Times New Roman" w:hAnsi="Times New Roman"/>
      <w:sz w:val="20"/>
      <w:szCs w:val="20"/>
    </w:rPr>
  </w:style>
  <w:style w:type="paragraph" w:styleId="ListParagraph">
    <w:name w:val="List Paragraph"/>
    <w:basedOn w:val="Normal"/>
    <w:uiPriority w:val="34"/>
    <w:qFormat/>
    <w:rsid w:val="00746C81"/>
    <w:pPr>
      <w:ind w:left="720"/>
      <w:contextualSpacing/>
    </w:pPr>
  </w:style>
  <w:style w:type="character" w:styleId="Emphasis">
    <w:name w:val="Emphasis"/>
    <w:basedOn w:val="DefaultParagraphFont"/>
    <w:uiPriority w:val="20"/>
    <w:qFormat/>
    <w:rsid w:val="0005116D"/>
    <w:rPr>
      <w:i/>
      <w:iCs/>
    </w:rPr>
  </w:style>
  <w:style w:type="character" w:customStyle="1" w:styleId="apple-converted-space">
    <w:name w:val="apple-converted-space"/>
    <w:basedOn w:val="DefaultParagraphFont"/>
    <w:rsid w:val="0005116D"/>
  </w:style>
  <w:style w:type="character" w:styleId="FootnoteReference">
    <w:name w:val="footnote reference"/>
    <w:basedOn w:val="DefaultParagraphFont"/>
    <w:uiPriority w:val="99"/>
    <w:semiHidden/>
    <w:unhideWhenUsed/>
    <w:rsid w:val="00674625"/>
    <w:rPr>
      <w:vertAlign w:val="superscript"/>
    </w:rPr>
  </w:style>
  <w:style w:type="character" w:styleId="Hyperlink">
    <w:name w:val="Hyperlink"/>
    <w:uiPriority w:val="99"/>
    <w:unhideWhenUsed/>
    <w:rsid w:val="006129D5"/>
    <w:rPr>
      <w:color w:val="0000FF"/>
      <w:u w:val="single"/>
    </w:rPr>
  </w:style>
  <w:style w:type="paragraph" w:styleId="Header">
    <w:name w:val="header"/>
    <w:basedOn w:val="Normal"/>
    <w:link w:val="HeaderChar"/>
    <w:uiPriority w:val="99"/>
    <w:unhideWhenUsed/>
    <w:rsid w:val="007516EB"/>
    <w:pPr>
      <w:tabs>
        <w:tab w:val="center" w:pos="4513"/>
        <w:tab w:val="right" w:pos="9026"/>
      </w:tabs>
    </w:pPr>
  </w:style>
  <w:style w:type="character" w:customStyle="1" w:styleId="HeaderChar">
    <w:name w:val="Header Char"/>
    <w:basedOn w:val="DefaultParagraphFont"/>
    <w:link w:val="Header"/>
    <w:uiPriority w:val="99"/>
    <w:rsid w:val="007516EB"/>
    <w:rPr>
      <w:rFonts w:ascii="Times New Roman" w:hAnsi="Times New Roman" w:cs="Arial"/>
      <w:sz w:val="24"/>
      <w:szCs w:val="24"/>
      <w:lang w:eastAsia="de-DE"/>
    </w:rPr>
  </w:style>
  <w:style w:type="paragraph" w:styleId="Footer">
    <w:name w:val="footer"/>
    <w:basedOn w:val="Normal"/>
    <w:link w:val="FooterChar"/>
    <w:uiPriority w:val="99"/>
    <w:unhideWhenUsed/>
    <w:rsid w:val="007516EB"/>
    <w:pPr>
      <w:tabs>
        <w:tab w:val="center" w:pos="4513"/>
        <w:tab w:val="right" w:pos="9026"/>
      </w:tabs>
    </w:pPr>
  </w:style>
  <w:style w:type="character" w:customStyle="1" w:styleId="FooterChar">
    <w:name w:val="Footer Char"/>
    <w:basedOn w:val="DefaultParagraphFont"/>
    <w:link w:val="Footer"/>
    <w:uiPriority w:val="99"/>
    <w:rsid w:val="007516EB"/>
    <w:rPr>
      <w:rFonts w:ascii="Times New Roman" w:hAnsi="Times New Roman" w:cs="Arial"/>
      <w:sz w:val="24"/>
      <w:szCs w:val="24"/>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0999"/>
    <w:pPr>
      <w:spacing w:after="0" w:line="240" w:lineRule="auto"/>
    </w:pPr>
    <w:rPr>
      <w:rFonts w:ascii="Times New Roman" w:hAnsi="Times New Roman" w:cs="Arial"/>
      <w:sz w:val="24"/>
      <w:szCs w:val="24"/>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qFormat/>
    <w:rsid w:val="008C0B4B"/>
    <w:pPr>
      <w:ind w:firstLine="284"/>
    </w:pPr>
    <w:rPr>
      <w:sz w:val="20"/>
      <w:szCs w:val="20"/>
    </w:rPr>
  </w:style>
  <w:style w:type="character" w:customStyle="1" w:styleId="FootnoteTextChar">
    <w:name w:val="Footnote Text Char"/>
    <w:basedOn w:val="DefaultParagraphFont"/>
    <w:link w:val="FootnoteText"/>
    <w:uiPriority w:val="99"/>
    <w:semiHidden/>
    <w:rsid w:val="008C0B4B"/>
    <w:rPr>
      <w:rFonts w:ascii="Times New Roman" w:hAnsi="Times New Roman"/>
      <w:sz w:val="20"/>
      <w:szCs w:val="20"/>
    </w:rPr>
  </w:style>
  <w:style w:type="paragraph" w:styleId="ListParagraph">
    <w:name w:val="List Paragraph"/>
    <w:basedOn w:val="Normal"/>
    <w:uiPriority w:val="34"/>
    <w:qFormat/>
    <w:rsid w:val="00746C81"/>
    <w:pPr>
      <w:ind w:left="720"/>
      <w:contextualSpacing/>
    </w:pPr>
  </w:style>
  <w:style w:type="character" w:styleId="Emphasis">
    <w:name w:val="Emphasis"/>
    <w:basedOn w:val="DefaultParagraphFont"/>
    <w:uiPriority w:val="20"/>
    <w:qFormat/>
    <w:rsid w:val="0005116D"/>
    <w:rPr>
      <w:i/>
      <w:iCs/>
    </w:rPr>
  </w:style>
  <w:style w:type="character" w:customStyle="1" w:styleId="apple-converted-space">
    <w:name w:val="apple-converted-space"/>
    <w:basedOn w:val="DefaultParagraphFont"/>
    <w:rsid w:val="0005116D"/>
  </w:style>
  <w:style w:type="character" w:styleId="FootnoteReference">
    <w:name w:val="footnote reference"/>
    <w:basedOn w:val="DefaultParagraphFont"/>
    <w:uiPriority w:val="99"/>
    <w:semiHidden/>
    <w:unhideWhenUsed/>
    <w:rsid w:val="00674625"/>
    <w:rPr>
      <w:vertAlign w:val="superscript"/>
    </w:rPr>
  </w:style>
  <w:style w:type="character" w:styleId="Hyperlink">
    <w:name w:val="Hyperlink"/>
    <w:uiPriority w:val="99"/>
    <w:unhideWhenUsed/>
    <w:rsid w:val="006129D5"/>
    <w:rPr>
      <w:color w:val="0000FF"/>
      <w:u w:val="single"/>
    </w:rPr>
  </w:style>
  <w:style w:type="paragraph" w:styleId="Header">
    <w:name w:val="header"/>
    <w:basedOn w:val="Normal"/>
    <w:link w:val="HeaderChar"/>
    <w:uiPriority w:val="99"/>
    <w:unhideWhenUsed/>
    <w:rsid w:val="007516EB"/>
    <w:pPr>
      <w:tabs>
        <w:tab w:val="center" w:pos="4513"/>
        <w:tab w:val="right" w:pos="9026"/>
      </w:tabs>
    </w:pPr>
  </w:style>
  <w:style w:type="character" w:customStyle="1" w:styleId="HeaderChar">
    <w:name w:val="Header Char"/>
    <w:basedOn w:val="DefaultParagraphFont"/>
    <w:link w:val="Header"/>
    <w:uiPriority w:val="99"/>
    <w:rsid w:val="007516EB"/>
    <w:rPr>
      <w:rFonts w:ascii="Times New Roman" w:hAnsi="Times New Roman" w:cs="Arial"/>
      <w:sz w:val="24"/>
      <w:szCs w:val="24"/>
      <w:lang w:eastAsia="de-DE"/>
    </w:rPr>
  </w:style>
  <w:style w:type="paragraph" w:styleId="Footer">
    <w:name w:val="footer"/>
    <w:basedOn w:val="Normal"/>
    <w:link w:val="FooterChar"/>
    <w:uiPriority w:val="99"/>
    <w:unhideWhenUsed/>
    <w:rsid w:val="007516EB"/>
    <w:pPr>
      <w:tabs>
        <w:tab w:val="center" w:pos="4513"/>
        <w:tab w:val="right" w:pos="9026"/>
      </w:tabs>
    </w:pPr>
  </w:style>
  <w:style w:type="character" w:customStyle="1" w:styleId="FooterChar">
    <w:name w:val="Footer Char"/>
    <w:basedOn w:val="DefaultParagraphFont"/>
    <w:link w:val="Footer"/>
    <w:uiPriority w:val="99"/>
    <w:rsid w:val="007516EB"/>
    <w:rPr>
      <w:rFonts w:ascii="Times New Roman" w:hAnsi="Times New Roman" w:cs="Arial"/>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383184">
      <w:bodyDiv w:val="1"/>
      <w:marLeft w:val="0"/>
      <w:marRight w:val="0"/>
      <w:marTop w:val="0"/>
      <w:marBottom w:val="0"/>
      <w:divBdr>
        <w:top w:val="none" w:sz="0" w:space="0" w:color="auto"/>
        <w:left w:val="none" w:sz="0" w:space="0" w:color="auto"/>
        <w:bottom w:val="none" w:sz="0" w:space="0" w:color="auto"/>
        <w:right w:val="none" w:sz="0" w:space="0" w:color="auto"/>
      </w:divBdr>
    </w:div>
    <w:div w:id="84614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raumsoz.ifs.tu-darmstadt.de/" TargetMode="External"/><Relationship Id="rId1" Type="http://schemas.openxmlformats.org/officeDocument/2006/relationships/hyperlink" Target="http://www.bartlett.ucl.ac.uk/graduate/research/spa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E7CCBA-E2FE-418B-8C1B-D945986E3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1992</Words>
  <Characters>11357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Warwick History Dept</cp:lastModifiedBy>
  <cp:revision>2</cp:revision>
  <dcterms:created xsi:type="dcterms:W3CDTF">2015-05-15T14:13:00Z</dcterms:created>
  <dcterms:modified xsi:type="dcterms:W3CDTF">2015-05-15T14:13:00Z</dcterms:modified>
</cp:coreProperties>
</file>