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CD5C5F" w14:textId="77777777" w:rsidR="006D3F48" w:rsidRPr="006D3F48" w:rsidRDefault="006D3F48" w:rsidP="006D3F48">
      <w:pPr>
        <w:widowControl w:val="0"/>
        <w:autoSpaceDE w:val="0"/>
        <w:autoSpaceDN w:val="0"/>
        <w:adjustRightInd w:val="0"/>
        <w:spacing w:line="240" w:lineRule="auto"/>
        <w:jc w:val="center"/>
        <w:rPr>
          <w:rFonts w:cs="Times New Roman"/>
          <w:i/>
        </w:rPr>
      </w:pPr>
      <w:r w:rsidRPr="006D3F48">
        <w:rPr>
          <w:rFonts w:cs="Times New Roman"/>
          <w:i/>
        </w:rPr>
        <w:t>Women’s Society, 1750-1830</w:t>
      </w:r>
    </w:p>
    <w:p w14:paraId="3A5D722B" w14:textId="77777777" w:rsidR="006D3F48" w:rsidRPr="006D3F48" w:rsidRDefault="006D3F48" w:rsidP="006D3F48">
      <w:pPr>
        <w:widowControl w:val="0"/>
        <w:autoSpaceDE w:val="0"/>
        <w:autoSpaceDN w:val="0"/>
        <w:adjustRightInd w:val="0"/>
        <w:spacing w:line="240" w:lineRule="auto"/>
        <w:jc w:val="center"/>
        <w:rPr>
          <w:rFonts w:cs="Times New Roman"/>
        </w:rPr>
      </w:pPr>
      <w:r w:rsidRPr="006D3F48">
        <w:rPr>
          <w:rFonts w:cs="Times New Roman"/>
        </w:rPr>
        <w:t>7-8 July 2016</w:t>
      </w:r>
    </w:p>
    <w:p w14:paraId="7B98BE66" w14:textId="77777777" w:rsidR="006D3F48" w:rsidRDefault="006D3F48" w:rsidP="00ED3848">
      <w:pPr>
        <w:spacing w:line="240" w:lineRule="auto"/>
        <w:rPr>
          <w:rFonts w:cs="Times New Roman"/>
          <w:smallCaps/>
        </w:rPr>
      </w:pPr>
    </w:p>
    <w:p w14:paraId="6D796D88" w14:textId="46FC4FDC" w:rsidR="00ED3848" w:rsidRPr="00ED3848" w:rsidRDefault="00606BBD" w:rsidP="00ED3848">
      <w:pPr>
        <w:spacing w:line="240" w:lineRule="auto"/>
        <w:jc w:val="both"/>
        <w:rPr>
          <w:rFonts w:cs="Times New Roman"/>
        </w:rPr>
      </w:pPr>
      <w:r>
        <w:rPr>
          <w:rFonts w:cs="Times New Roman"/>
          <w:smallCaps/>
        </w:rPr>
        <w:t>Synopses</w:t>
      </w:r>
    </w:p>
    <w:p w14:paraId="14C9A5A5" w14:textId="77777777" w:rsidR="003727D4" w:rsidRDefault="003727D4" w:rsidP="00ED3848">
      <w:pPr>
        <w:spacing w:line="240" w:lineRule="auto"/>
        <w:rPr>
          <w:rFonts w:cs="Times New Roman"/>
        </w:rPr>
      </w:pPr>
    </w:p>
    <w:p w14:paraId="16E46098" w14:textId="77777777" w:rsidR="003727D4" w:rsidRDefault="003727D4" w:rsidP="00ED3848">
      <w:pPr>
        <w:spacing w:line="240" w:lineRule="auto"/>
        <w:rPr>
          <w:rFonts w:cs="Times New Roman"/>
        </w:rPr>
      </w:pPr>
    </w:p>
    <w:p w14:paraId="6FA6ACB6" w14:textId="5442FD4A" w:rsidR="003727D4" w:rsidRDefault="003727D4" w:rsidP="00ED3848">
      <w:pPr>
        <w:spacing w:line="240" w:lineRule="auto"/>
        <w:rPr>
          <w:rFonts w:cs="Times New Roman"/>
        </w:rPr>
      </w:pPr>
      <w:r>
        <w:rPr>
          <w:rFonts w:cs="Times New Roman"/>
        </w:rPr>
        <w:t>Margaret Doody</w:t>
      </w:r>
      <w:r w:rsidR="00606BBD">
        <w:rPr>
          <w:rFonts w:cs="Times New Roman"/>
        </w:rPr>
        <w:t xml:space="preserve"> (John and Barbara Glynn Family Professor of Literature, Notre Dame)</w:t>
      </w:r>
      <w:r>
        <w:rPr>
          <w:rFonts w:cs="Times New Roman"/>
        </w:rPr>
        <w:t>:</w:t>
      </w:r>
    </w:p>
    <w:p w14:paraId="25219025" w14:textId="77777777" w:rsidR="00543629" w:rsidRDefault="00C33342" w:rsidP="00543629">
      <w:pPr>
        <w:spacing w:line="240" w:lineRule="auto"/>
        <w:rPr>
          <w:rFonts w:cs="Times New Roman"/>
        </w:rPr>
      </w:pPr>
      <w:r>
        <w:rPr>
          <w:rFonts w:cs="Times New Roman"/>
        </w:rPr>
        <w:t xml:space="preserve"> </w:t>
      </w:r>
    </w:p>
    <w:p w14:paraId="0FFDBDF5" w14:textId="4CA75859" w:rsidR="00543629" w:rsidRPr="00543629" w:rsidRDefault="00543629" w:rsidP="00543629">
      <w:pPr>
        <w:spacing w:line="240" w:lineRule="auto"/>
        <w:rPr>
          <w:rFonts w:cs="Times New Roman"/>
        </w:rPr>
      </w:pPr>
      <w:r w:rsidRPr="00543629">
        <w:rPr>
          <w:rFonts w:eastAsia="Times New Roman" w:cs="Times New Roman"/>
          <w:lang w:val="en-GB" w:eastAsia="en-GB"/>
        </w:rPr>
        <w:t xml:space="preserve">Susannah </w:t>
      </w:r>
      <w:proofErr w:type="spellStart"/>
      <w:r w:rsidRPr="00543629">
        <w:rPr>
          <w:rFonts w:eastAsia="Times New Roman" w:cs="Times New Roman"/>
          <w:lang w:val="en-GB" w:eastAsia="en-GB"/>
        </w:rPr>
        <w:t>Minifie</w:t>
      </w:r>
      <w:proofErr w:type="spellEnd"/>
      <w:r w:rsidRPr="00543629">
        <w:rPr>
          <w:rFonts w:eastAsia="Times New Roman" w:cs="Times New Roman"/>
          <w:lang w:val="en-GB" w:eastAsia="en-GB"/>
        </w:rPr>
        <w:t xml:space="preserve"> published </w:t>
      </w:r>
      <w:proofErr w:type="spellStart"/>
      <w:r w:rsidRPr="00543629">
        <w:rPr>
          <w:rFonts w:eastAsia="Times New Roman" w:cs="Times New Roman"/>
          <w:lang w:val="en-GB" w:eastAsia="en-GB"/>
        </w:rPr>
        <w:t>Barford</w:t>
      </w:r>
      <w:proofErr w:type="spellEnd"/>
      <w:r w:rsidRPr="00543629">
        <w:rPr>
          <w:rFonts w:eastAsia="Times New Roman" w:cs="Times New Roman"/>
          <w:lang w:val="en-GB" w:eastAsia="en-GB"/>
        </w:rPr>
        <w:t xml:space="preserve"> Abbey, a novel, shortly before august 1768 when she married John Gunning, a military man who later fought at Bunker Hill. Susannah and her sister Margaret apparently collaborated in writing, though most of the novels are presumed to be Susannah </w:t>
      </w:r>
      <w:proofErr w:type="spellStart"/>
      <w:r w:rsidRPr="00543629">
        <w:rPr>
          <w:rFonts w:eastAsia="Times New Roman" w:cs="Times New Roman"/>
          <w:lang w:val="en-GB" w:eastAsia="en-GB"/>
        </w:rPr>
        <w:t>Minifie</w:t>
      </w:r>
      <w:proofErr w:type="spellEnd"/>
      <w:r w:rsidRPr="00543629">
        <w:rPr>
          <w:rFonts w:eastAsia="Times New Roman" w:cs="Times New Roman"/>
          <w:lang w:val="en-GB" w:eastAsia="en-GB"/>
        </w:rPr>
        <w:t xml:space="preserve"> Gunning. In </w:t>
      </w:r>
      <w:proofErr w:type="spellStart"/>
      <w:r w:rsidRPr="00543629">
        <w:rPr>
          <w:rFonts w:eastAsia="Times New Roman" w:cs="Times New Roman"/>
          <w:lang w:val="en-GB" w:eastAsia="en-GB"/>
        </w:rPr>
        <w:t>Barford</w:t>
      </w:r>
      <w:proofErr w:type="spellEnd"/>
      <w:r w:rsidRPr="00543629">
        <w:rPr>
          <w:rFonts w:eastAsia="Times New Roman" w:cs="Times New Roman"/>
          <w:lang w:val="en-GB" w:eastAsia="en-GB"/>
        </w:rPr>
        <w:t xml:space="preserve"> Abbey (an ancestor of </w:t>
      </w:r>
      <w:proofErr w:type="spellStart"/>
      <w:r w:rsidRPr="00543629">
        <w:rPr>
          <w:rFonts w:eastAsia="Times New Roman" w:cs="Times New Roman"/>
          <w:lang w:val="en-GB" w:eastAsia="en-GB"/>
        </w:rPr>
        <w:t>Downton</w:t>
      </w:r>
      <w:proofErr w:type="spellEnd"/>
      <w:r w:rsidRPr="00543629">
        <w:rPr>
          <w:rFonts w:eastAsia="Times New Roman" w:cs="Times New Roman"/>
          <w:lang w:val="en-GB" w:eastAsia="en-GB"/>
        </w:rPr>
        <w:t xml:space="preserve"> Abbey) women’s relationships are central, but suppressed or hidden. John Gunning’s sisters, supposedly the most beautiful women in Britain, had inspired admiration and envy in their marital successes among the aristocracy. Susannah and John had one child, a daughter,</w:t>
      </w:r>
      <w:r>
        <w:rPr>
          <w:rFonts w:eastAsia="Times New Roman" w:cs="Times New Roman"/>
          <w:lang w:val="en-GB" w:eastAsia="en-GB"/>
        </w:rPr>
        <w:t xml:space="preserve"> the good</w:t>
      </w:r>
      <w:r w:rsidRPr="00543629">
        <w:rPr>
          <w:rFonts w:eastAsia="Times New Roman" w:cs="Times New Roman"/>
          <w:lang w:val="en-GB" w:eastAsia="en-GB"/>
        </w:rPr>
        <w:t xml:space="preserve">-looking Elizabeth who got into trouble in 1791 when she was accused of writing a fake or letters indicating that she was going to marry the heir of the Duke of Marlborough, perhaps in order to stimulate another possible suitor into proposing. In contrast to the lovely Gunning sisters, Elizabeth was savaged in the press, along with her mother. </w:t>
      </w:r>
    </w:p>
    <w:p w14:paraId="146D1DF9" w14:textId="77777777" w:rsidR="00543629" w:rsidRPr="00543629" w:rsidRDefault="00543629" w:rsidP="00543629">
      <w:pPr>
        <w:spacing w:before="100" w:beforeAutospacing="1" w:after="100" w:afterAutospacing="1" w:line="240" w:lineRule="auto"/>
        <w:rPr>
          <w:rFonts w:eastAsia="Times New Roman" w:cs="Times New Roman"/>
          <w:lang w:val="en-GB" w:eastAsia="en-GB"/>
        </w:rPr>
      </w:pPr>
      <w:r w:rsidRPr="00543629">
        <w:rPr>
          <w:rFonts w:eastAsia="Times New Roman" w:cs="Times New Roman"/>
          <w:lang w:val="en-GB" w:eastAsia="en-GB"/>
        </w:rPr>
        <w:t xml:space="preserve">That Susannah’s </w:t>
      </w:r>
      <w:proofErr w:type="spellStart"/>
      <w:r w:rsidRPr="00543629">
        <w:rPr>
          <w:rFonts w:eastAsia="Times New Roman" w:cs="Times New Roman"/>
          <w:lang w:val="en-GB" w:eastAsia="en-GB"/>
        </w:rPr>
        <w:t>métier</w:t>
      </w:r>
      <w:proofErr w:type="spellEnd"/>
      <w:r w:rsidRPr="00543629">
        <w:rPr>
          <w:rFonts w:eastAsia="Times New Roman" w:cs="Times New Roman"/>
          <w:lang w:val="en-GB" w:eastAsia="en-GB"/>
        </w:rPr>
        <w:t xml:space="preserve"> was epistolary novels made her a suspect. A pamphlet war ensued. The height of the attack was three prints by </w:t>
      </w:r>
      <w:proofErr w:type="spellStart"/>
      <w:r w:rsidRPr="00543629">
        <w:rPr>
          <w:rFonts w:eastAsia="Times New Roman" w:cs="Times New Roman"/>
          <w:lang w:val="en-GB" w:eastAsia="en-GB"/>
        </w:rPr>
        <w:t>Gillray</w:t>
      </w:r>
      <w:proofErr w:type="spellEnd"/>
      <w:r w:rsidRPr="00543629">
        <w:rPr>
          <w:rFonts w:eastAsia="Times New Roman" w:cs="Times New Roman"/>
          <w:lang w:val="en-GB" w:eastAsia="en-GB"/>
        </w:rPr>
        <w:t xml:space="preserve">, caricaturing (sometimes obscenely) Elizabeth, Susannah and Margaret. The women are presented as a cabal or coven of aggressive and ridiculous women; they became associated with lower-class uprising, and with notorious female characters such as “Betty” Canning who had once deceived magistrate Henry Fielding. Their capacity as writers is connected with their attempt to take some control of the marriage market --and condemned. </w:t>
      </w:r>
    </w:p>
    <w:p w14:paraId="7FA64211" w14:textId="77777777" w:rsidR="00C33342" w:rsidRDefault="00C33342" w:rsidP="00ED3848">
      <w:pPr>
        <w:spacing w:line="240" w:lineRule="auto"/>
        <w:rPr>
          <w:rFonts w:cs="Times New Roman"/>
        </w:rPr>
      </w:pPr>
    </w:p>
    <w:p w14:paraId="667BE1CD" w14:textId="77777777" w:rsidR="00606BBD" w:rsidRPr="000168DC" w:rsidRDefault="00606BBD" w:rsidP="00606BBD">
      <w:pPr>
        <w:spacing w:line="240" w:lineRule="auto"/>
        <w:rPr>
          <w:rFonts w:cs="Times New Roman"/>
        </w:rPr>
      </w:pPr>
      <w:r w:rsidRPr="000168DC">
        <w:rPr>
          <w:rFonts w:cs="Times New Roman"/>
        </w:rPr>
        <w:t xml:space="preserve">Hannah </w:t>
      </w:r>
      <w:proofErr w:type="spellStart"/>
      <w:r w:rsidRPr="000168DC">
        <w:rPr>
          <w:rFonts w:cs="Times New Roman"/>
        </w:rPr>
        <w:t>Greig</w:t>
      </w:r>
      <w:proofErr w:type="spellEnd"/>
      <w:r w:rsidRPr="000168DC">
        <w:rPr>
          <w:rFonts w:cs="Times New Roman"/>
        </w:rPr>
        <w:t xml:space="preserve"> (York) &amp; Amanda Vickery (Queen Mary)</w:t>
      </w:r>
    </w:p>
    <w:p w14:paraId="39927394" w14:textId="77777777" w:rsidR="00606BBD" w:rsidRPr="000168DC" w:rsidRDefault="00606BBD" w:rsidP="00606BBD">
      <w:pPr>
        <w:spacing w:line="240" w:lineRule="auto"/>
        <w:rPr>
          <w:rFonts w:cs="Times New Roman"/>
        </w:rPr>
      </w:pPr>
      <w:r>
        <w:rPr>
          <w:rFonts w:cs="Times New Roman"/>
        </w:rPr>
        <w:t>“</w:t>
      </w:r>
      <w:r w:rsidRPr="000168DC">
        <w:rPr>
          <w:rFonts w:cs="Times New Roman"/>
        </w:rPr>
        <w:t>The political day: Mapping gender, power and high politics in Georgian London</w:t>
      </w:r>
      <w:r>
        <w:rPr>
          <w:rFonts w:cs="Times New Roman"/>
        </w:rPr>
        <w:t>”</w:t>
      </w:r>
    </w:p>
    <w:p w14:paraId="4268C324" w14:textId="77777777" w:rsidR="00606BBD" w:rsidRPr="00ED3848" w:rsidRDefault="00606BBD" w:rsidP="00606BBD">
      <w:pPr>
        <w:spacing w:line="240" w:lineRule="auto"/>
        <w:rPr>
          <w:rFonts w:cs="Times New Roman"/>
          <w:b/>
        </w:rPr>
      </w:pPr>
    </w:p>
    <w:p w14:paraId="481315C4" w14:textId="77777777" w:rsidR="00606BBD" w:rsidRPr="00ED3848" w:rsidRDefault="00606BBD" w:rsidP="00606BBD">
      <w:pPr>
        <w:spacing w:line="240" w:lineRule="auto"/>
        <w:rPr>
          <w:rFonts w:cs="Times New Roman"/>
          <w:color w:val="000000" w:themeColor="text1"/>
        </w:rPr>
      </w:pPr>
    </w:p>
    <w:p w14:paraId="1F36EA4E" w14:textId="77777777" w:rsidR="00606BBD" w:rsidRPr="00ED3848" w:rsidRDefault="00606BBD" w:rsidP="00606BBD">
      <w:pPr>
        <w:spacing w:line="240" w:lineRule="auto"/>
        <w:rPr>
          <w:rFonts w:cs="Times New Roman"/>
        </w:rPr>
      </w:pPr>
      <w:r w:rsidRPr="00ED3848">
        <w:rPr>
          <w:rFonts w:cs="Times New Roman"/>
          <w:color w:val="000000" w:themeColor="text1"/>
        </w:rPr>
        <w:t xml:space="preserve">Despite </w:t>
      </w:r>
      <w:r w:rsidRPr="00ED3848">
        <w:rPr>
          <w:rFonts w:cs="Times New Roman"/>
        </w:rPr>
        <w:t xml:space="preserve">decades of debate on the meaning and content of eighteenth-century politics (corrupt, unreformed and personal or ideological and proto-modern), if one were to ask what did a Georgian politician do; when did he start his day; how much time did he spend at parliament, court, or his club; where did he discuss politics and with whom, then even the most committed scholar might be stumped for an answer. Important work by Elaine </w:t>
      </w:r>
      <w:proofErr w:type="spellStart"/>
      <w:r w:rsidRPr="00ED3848">
        <w:rPr>
          <w:rFonts w:cs="Times New Roman"/>
        </w:rPr>
        <w:t>Chalus</w:t>
      </w:r>
      <w:proofErr w:type="spellEnd"/>
      <w:r w:rsidRPr="00ED3848">
        <w:rPr>
          <w:rFonts w:cs="Times New Roman"/>
        </w:rPr>
        <w:t xml:space="preserve"> and Judith Lewis has extended the field to reveal the legitimacy of elite women’s political activity and the particular significance of political sociability, and in so doing has generated more questions to answer. How did such systems of political sociability operate on a daily basis? What was the comparative value of a morning visit versus an evening invitation? How </w:t>
      </w:r>
      <w:proofErr w:type="gramStart"/>
      <w:r w:rsidRPr="00ED3848">
        <w:rPr>
          <w:rFonts w:cs="Times New Roman"/>
        </w:rPr>
        <w:t>were women’s</w:t>
      </w:r>
      <w:proofErr w:type="gramEnd"/>
      <w:r w:rsidRPr="00ED3848">
        <w:rPr>
          <w:rFonts w:cs="Times New Roman"/>
        </w:rPr>
        <w:t xml:space="preserve"> evening assemblies run, who attended them and what kinds of politics took place there? Did an MP discuss politics with his wife? How </w:t>
      </w:r>
      <w:r w:rsidRPr="00ED3848">
        <w:rPr>
          <w:rFonts w:cs="Times New Roman"/>
        </w:rPr>
        <w:lastRenderedPageBreak/>
        <w:t>important was it for a politician to attend a ball? What was the relationship between female sociability, male sociability and parliamentary political practice?</w:t>
      </w:r>
    </w:p>
    <w:p w14:paraId="18C76D9B" w14:textId="77777777" w:rsidR="00606BBD" w:rsidRPr="00ED3848" w:rsidRDefault="00606BBD" w:rsidP="00606BBD">
      <w:pPr>
        <w:spacing w:line="240" w:lineRule="auto"/>
        <w:ind w:firstLine="720"/>
        <w:rPr>
          <w:rFonts w:cs="Times New Roman"/>
        </w:rPr>
      </w:pPr>
      <w:r w:rsidRPr="00ED3848">
        <w:rPr>
          <w:rFonts w:cs="Times New Roman"/>
        </w:rPr>
        <w:t xml:space="preserve">One reason that the specifics of eighteenth-century politics are so hard to pin down is because they were so scattered across diverse sites, so intangible, so interpersonal, and so different from modern definitions of political </w:t>
      </w:r>
      <w:proofErr w:type="spellStart"/>
      <w:r w:rsidRPr="00ED3848">
        <w:rPr>
          <w:rFonts w:cs="Times New Roman"/>
        </w:rPr>
        <w:t>behaviour</w:t>
      </w:r>
      <w:proofErr w:type="spellEnd"/>
      <w:r w:rsidRPr="00ED3848">
        <w:rPr>
          <w:rFonts w:cs="Times New Roman"/>
        </w:rPr>
        <w:t xml:space="preserve">. It is almost impossible to comprehend politics as a culture without gathering a host of personal, ephemeral references.  For this reason we are pooling our research to build a mosaic of everyday socio-political practices from hundreds of incidental references in diaries, letters and informal notes. We argue that a particularly effective way to recover political culture - and ultimately to answer these lingering questions about eighteenth-century politics - is to study the activities and interactions undertaken over the course of an ordinary political day. </w:t>
      </w:r>
    </w:p>
    <w:p w14:paraId="35C4A0C9" w14:textId="77777777" w:rsidR="00606BBD" w:rsidRPr="00ED3848" w:rsidRDefault="00606BBD" w:rsidP="00606BBD">
      <w:pPr>
        <w:spacing w:line="240" w:lineRule="auto"/>
        <w:ind w:firstLine="720"/>
        <w:rPr>
          <w:rFonts w:cs="Times New Roman"/>
        </w:rPr>
      </w:pPr>
      <w:r w:rsidRPr="00ED3848">
        <w:rPr>
          <w:rFonts w:cs="Times New Roman"/>
        </w:rPr>
        <w:t xml:space="preserve">Through our bank of archival material we are mapping daily routines for men and women and following the everyday practices of the governing elite from rising and breakfast to visiting, </w:t>
      </w:r>
      <w:proofErr w:type="spellStart"/>
      <w:r w:rsidRPr="00ED3848">
        <w:rPr>
          <w:rFonts w:cs="Times New Roman"/>
        </w:rPr>
        <w:t>levées</w:t>
      </w:r>
      <w:proofErr w:type="spellEnd"/>
      <w:r w:rsidRPr="00ED3848">
        <w:rPr>
          <w:rFonts w:cs="Times New Roman"/>
        </w:rPr>
        <w:t xml:space="preserve">, parliamentary attendance, dinners, assemblies, balls, visits to the theatre and opera, suppers and bed. Such an approach fuses the established history of politics with the comparatively recent history of space and time. It reveals the close and suggestive interconnections between men’s and women’s political lives, as well as their differences and points of separation. Rounds of morning visits undertaken by lords as well as their ladies were often </w:t>
      </w:r>
      <w:proofErr w:type="spellStart"/>
      <w:r w:rsidRPr="00ED3848">
        <w:rPr>
          <w:rFonts w:cs="Times New Roman"/>
        </w:rPr>
        <w:t>co-ordinated</w:t>
      </w:r>
      <w:proofErr w:type="spellEnd"/>
      <w:r w:rsidRPr="00ED3848">
        <w:rPr>
          <w:rFonts w:cs="Times New Roman"/>
        </w:rPr>
        <w:t xml:space="preserve"> as shared political projects. The lady’s assembly was run in a similar fashion to a minister’s </w:t>
      </w:r>
      <w:proofErr w:type="spellStart"/>
      <w:r w:rsidRPr="00ED3848">
        <w:rPr>
          <w:rFonts w:cs="Times New Roman"/>
        </w:rPr>
        <w:t>levée</w:t>
      </w:r>
      <w:proofErr w:type="spellEnd"/>
      <w:r w:rsidRPr="00ED3848">
        <w:rPr>
          <w:rFonts w:cs="Times New Roman"/>
        </w:rPr>
        <w:t xml:space="preserve">. We find that the ordinary day of the political elite was structured and timetabled to permit the swift flow of information and personnel across a patchwork of London locations - some </w:t>
      </w:r>
      <w:proofErr w:type="spellStart"/>
      <w:r w:rsidRPr="00ED3848">
        <w:rPr>
          <w:rFonts w:cs="Times New Roman"/>
        </w:rPr>
        <w:t>heterosocial</w:t>
      </w:r>
      <w:proofErr w:type="spellEnd"/>
      <w:r w:rsidRPr="00ED3848">
        <w:rPr>
          <w:rFonts w:cs="Times New Roman"/>
        </w:rPr>
        <w:t xml:space="preserve">, some </w:t>
      </w:r>
      <w:proofErr w:type="spellStart"/>
      <w:r w:rsidRPr="00ED3848">
        <w:rPr>
          <w:rFonts w:cs="Times New Roman"/>
        </w:rPr>
        <w:t>homosocial</w:t>
      </w:r>
      <w:proofErr w:type="spellEnd"/>
      <w:r w:rsidRPr="00ED3848">
        <w:rPr>
          <w:rFonts w:cs="Times New Roman"/>
        </w:rPr>
        <w:t xml:space="preserve">, some parliamentary, some extra-parliamentary, some private and some public, but all connected to political life. </w:t>
      </w:r>
    </w:p>
    <w:p w14:paraId="535911D0" w14:textId="77777777" w:rsidR="00606BBD" w:rsidRPr="00ED3848" w:rsidRDefault="00606BBD" w:rsidP="00606BBD">
      <w:pPr>
        <w:spacing w:line="240" w:lineRule="auto"/>
        <w:ind w:firstLine="720"/>
        <w:rPr>
          <w:rFonts w:cs="Times New Roman"/>
          <w:color w:val="000000" w:themeColor="text1"/>
        </w:rPr>
      </w:pPr>
      <w:r w:rsidRPr="00ED3848">
        <w:rPr>
          <w:rFonts w:cs="Times New Roman"/>
        </w:rPr>
        <w:t xml:space="preserve">Mapping political </w:t>
      </w:r>
      <w:proofErr w:type="spellStart"/>
      <w:r w:rsidRPr="00ED3848">
        <w:rPr>
          <w:rFonts w:cs="Times New Roman"/>
        </w:rPr>
        <w:t>behaviour</w:t>
      </w:r>
      <w:proofErr w:type="spellEnd"/>
      <w:r w:rsidRPr="00ED3848">
        <w:rPr>
          <w:rFonts w:cs="Times New Roman"/>
        </w:rPr>
        <w:t xml:space="preserve"> over the course of a day therefore allows us to grasp the substance of eighteenth-century politics. It brings the daily life of men alongside that of women, and in so doing it also reveals how the varied components of contemporary political culture - </w:t>
      </w:r>
      <w:r w:rsidRPr="00ED3848">
        <w:rPr>
          <w:rFonts w:cs="Times New Roman"/>
          <w:color w:val="000000" w:themeColor="text1"/>
        </w:rPr>
        <w:t xml:space="preserve">Lords and Commons, parliament and court, formal and social politics - hung together and interacted. These core components have often been prized apart and selectively appraised by the methodologies of political history.  By writing politics from the ground up, and with that ground being the ordinary daily routines of the ruling political elite, our collaborative project aims to reunite those elements. This is not simply an attempt to recover the ways in which women and their social networks participated in politics (although we are sympathetic to and informed by that project). Rather we are seeking to explore such practices for both men and for women, to interrogate the symmetries and asymmetries of their daily political lives across the piece (as politicians currently like to say) in order to shift the paradigm of eighteenth-century politics altogether. </w:t>
      </w:r>
    </w:p>
    <w:p w14:paraId="1B0D4DC1" w14:textId="77777777" w:rsidR="00606BBD" w:rsidRPr="00ED3848" w:rsidRDefault="00606BBD" w:rsidP="00606BBD">
      <w:pPr>
        <w:spacing w:line="240" w:lineRule="auto"/>
        <w:rPr>
          <w:rFonts w:cs="Times New Roman"/>
        </w:rPr>
      </w:pPr>
    </w:p>
    <w:p w14:paraId="29A524D7" w14:textId="77777777" w:rsidR="00606BBD" w:rsidRPr="00ED3848" w:rsidRDefault="00606BBD" w:rsidP="00606BBD">
      <w:pPr>
        <w:spacing w:line="240" w:lineRule="auto"/>
        <w:rPr>
          <w:rFonts w:cs="Times New Roman"/>
          <w:b/>
        </w:rPr>
      </w:pPr>
      <w:r w:rsidRPr="00ED3848">
        <w:rPr>
          <w:rFonts w:cs="Times New Roman"/>
          <w:b/>
        </w:rPr>
        <w:t>Biographies:</w:t>
      </w:r>
    </w:p>
    <w:p w14:paraId="2114F779" w14:textId="77777777" w:rsidR="00606BBD" w:rsidRPr="00ED3848" w:rsidRDefault="00606BBD" w:rsidP="00606BBD">
      <w:pPr>
        <w:spacing w:line="240" w:lineRule="auto"/>
        <w:rPr>
          <w:rFonts w:cs="Times New Roman"/>
        </w:rPr>
      </w:pPr>
      <w:r w:rsidRPr="00ED3848">
        <w:rPr>
          <w:rFonts w:cs="Times New Roman"/>
        </w:rPr>
        <w:t xml:space="preserve">Amanda Vickery is professor of early modern history at Queen Mary University of London and the prize-winning author of </w:t>
      </w:r>
      <w:r w:rsidRPr="00ED3848">
        <w:rPr>
          <w:rFonts w:cs="Times New Roman"/>
          <w:i/>
        </w:rPr>
        <w:t>The Gentleman’s Daughter</w:t>
      </w:r>
      <w:r w:rsidRPr="00ED3848">
        <w:rPr>
          <w:rFonts w:cs="Times New Roman"/>
        </w:rPr>
        <w:t xml:space="preserve"> (Yale University press, 1998) and </w:t>
      </w:r>
      <w:r w:rsidRPr="00ED3848">
        <w:rPr>
          <w:rFonts w:cs="Times New Roman"/>
          <w:i/>
        </w:rPr>
        <w:t xml:space="preserve">Behind Closed Doors: At Home in Georgian England </w:t>
      </w:r>
      <w:r w:rsidRPr="00ED3848">
        <w:rPr>
          <w:rFonts w:cs="Times New Roman"/>
        </w:rPr>
        <w:t>(Yale University Press, 2009).</w:t>
      </w:r>
    </w:p>
    <w:p w14:paraId="3C66A736" w14:textId="77777777" w:rsidR="00606BBD" w:rsidRPr="00ED3848" w:rsidRDefault="00606BBD" w:rsidP="00606BBD">
      <w:pPr>
        <w:spacing w:line="240" w:lineRule="auto"/>
        <w:rPr>
          <w:rFonts w:cs="Times New Roman"/>
        </w:rPr>
      </w:pPr>
    </w:p>
    <w:p w14:paraId="49299CAE" w14:textId="77777777" w:rsidR="00606BBD" w:rsidRPr="00ED3848" w:rsidRDefault="00606BBD" w:rsidP="00606BBD">
      <w:pPr>
        <w:spacing w:line="240" w:lineRule="auto"/>
        <w:rPr>
          <w:rFonts w:cs="Times New Roman"/>
        </w:rPr>
      </w:pPr>
      <w:r w:rsidRPr="00ED3848">
        <w:rPr>
          <w:rFonts w:cs="Times New Roman"/>
        </w:rPr>
        <w:lastRenderedPageBreak/>
        <w:t xml:space="preserve">Hannah </w:t>
      </w:r>
      <w:proofErr w:type="spellStart"/>
      <w:r w:rsidRPr="00ED3848">
        <w:rPr>
          <w:rFonts w:cs="Times New Roman"/>
        </w:rPr>
        <w:t>Greig</w:t>
      </w:r>
      <w:proofErr w:type="spellEnd"/>
      <w:r w:rsidRPr="00ED3848">
        <w:rPr>
          <w:rFonts w:cs="Times New Roman"/>
        </w:rPr>
        <w:t xml:space="preserve"> is senior lecturer in early modern history at the University of York and a member of York’s Centre for Eighteenth Century Studies. She is the author of </w:t>
      </w:r>
      <w:r w:rsidRPr="00ED3848">
        <w:rPr>
          <w:rFonts w:cs="Times New Roman"/>
          <w:i/>
        </w:rPr>
        <w:t xml:space="preserve">The Beau Monde: Fashionable Society in Georgian London </w:t>
      </w:r>
      <w:r w:rsidRPr="00ED3848">
        <w:rPr>
          <w:rFonts w:cs="Times New Roman"/>
        </w:rPr>
        <w:t xml:space="preserve">(Oxford University Press, 2013). </w:t>
      </w:r>
    </w:p>
    <w:p w14:paraId="62EA6836" w14:textId="77777777" w:rsidR="00606BBD" w:rsidRDefault="00606BBD" w:rsidP="00606BBD">
      <w:pPr>
        <w:spacing w:line="240" w:lineRule="auto"/>
        <w:rPr>
          <w:rFonts w:cs="Times New Roman"/>
        </w:rPr>
      </w:pPr>
    </w:p>
    <w:p w14:paraId="473CEEE1" w14:textId="77777777" w:rsidR="00606BBD" w:rsidRPr="00ED3848" w:rsidRDefault="00606BBD" w:rsidP="00606BBD">
      <w:pPr>
        <w:spacing w:line="240" w:lineRule="auto"/>
        <w:rPr>
          <w:rFonts w:cs="Times New Roman"/>
        </w:rPr>
      </w:pPr>
      <w:r w:rsidRPr="00ED3848">
        <w:rPr>
          <w:rFonts w:cs="Times New Roman"/>
        </w:rPr>
        <w:t xml:space="preserve">Chloe </w:t>
      </w:r>
      <w:proofErr w:type="spellStart"/>
      <w:r w:rsidRPr="00ED3848">
        <w:rPr>
          <w:rFonts w:cs="Times New Roman"/>
        </w:rPr>
        <w:t>Wigston</w:t>
      </w:r>
      <w:proofErr w:type="spellEnd"/>
      <w:r w:rsidRPr="00ED3848">
        <w:rPr>
          <w:rFonts w:cs="Times New Roman"/>
        </w:rPr>
        <w:t xml:space="preserve"> Smith</w:t>
      </w:r>
      <w:r>
        <w:rPr>
          <w:rFonts w:cs="Times New Roman"/>
        </w:rPr>
        <w:t xml:space="preserve"> (</w:t>
      </w:r>
      <w:r w:rsidRPr="00ED3848">
        <w:rPr>
          <w:rFonts w:cs="Times New Roman"/>
        </w:rPr>
        <w:t>University of York</w:t>
      </w:r>
      <w:r>
        <w:rPr>
          <w:rFonts w:cs="Times New Roman"/>
        </w:rPr>
        <w:t>)</w:t>
      </w:r>
    </w:p>
    <w:p w14:paraId="07A50A5A" w14:textId="77777777" w:rsidR="00606BBD" w:rsidRPr="003323E9" w:rsidRDefault="00606BBD" w:rsidP="00606BBD">
      <w:pPr>
        <w:spacing w:line="240" w:lineRule="auto"/>
        <w:rPr>
          <w:rFonts w:cs="Times New Roman"/>
          <w:b/>
        </w:rPr>
      </w:pPr>
      <w:r w:rsidRPr="003323E9">
        <w:rPr>
          <w:rFonts w:cs="Times New Roman"/>
          <w:b/>
        </w:rPr>
        <w:t>“The Haberdasher’s Plot: The Romance of Small Trade in Frances Burney’s Fiction”</w:t>
      </w:r>
    </w:p>
    <w:p w14:paraId="74CCD9A5" w14:textId="77777777" w:rsidR="003323E9" w:rsidRPr="003323E9" w:rsidRDefault="003323E9" w:rsidP="003323E9">
      <w:pPr>
        <w:spacing w:before="100" w:beforeAutospacing="1" w:after="100" w:afterAutospacing="1" w:line="240" w:lineRule="auto"/>
        <w:rPr>
          <w:rFonts w:eastAsia="Times New Roman" w:cs="Times New Roman"/>
          <w:lang w:val="en-GB" w:eastAsia="en-GB"/>
        </w:rPr>
      </w:pPr>
      <w:bookmarkStart w:id="0" w:name="_GoBack"/>
      <w:bookmarkEnd w:id="0"/>
      <w:r w:rsidRPr="003323E9">
        <w:rPr>
          <w:rFonts w:eastAsia="Times New Roman" w:cs="Times New Roman"/>
          <w:lang w:val="en-GB" w:eastAsia="en-GB"/>
        </w:rPr>
        <w:t xml:space="preserve">Frances Burney’s novels present alarming views of commerce and fashion, and their complicity in forcing heroines to take on social and monetary debts. Shops are spaces in which heroines are stalked, mistaken for sex workers and thieves, and experience temporary madness. This paper investigates how shop-keeping, as opposed to shopping, links modest retail spaces to economic self-sufficiency for women in Cecilia (1782) and The Wanderer (1814). Burney’s haberdasheries constitute feminized spaces that promote the personal and economic rewards of female business partnerships. I argue also that the “haberdasher’s plot” interrupts both the gendered economy of debt that plagues Burney’s heroines and creates a narrative and commercial alternative to the marriage plot. Together Burney’s novels demonstrate the financial and individual rewards of modest retail spaces, even if the romance of small trade provides her heroines with only temporary shelter from the inescapable risks of the marketplace. </w:t>
      </w:r>
    </w:p>
    <w:p w14:paraId="71C6742B" w14:textId="77777777" w:rsidR="003323E9" w:rsidRPr="003323E9" w:rsidRDefault="003323E9" w:rsidP="003323E9">
      <w:pPr>
        <w:spacing w:before="100" w:beforeAutospacing="1" w:after="100" w:afterAutospacing="1" w:line="240" w:lineRule="auto"/>
        <w:rPr>
          <w:rFonts w:eastAsia="Times New Roman" w:cs="Times New Roman"/>
          <w:lang w:val="en-GB" w:eastAsia="en-GB"/>
        </w:rPr>
      </w:pPr>
      <w:r w:rsidRPr="003323E9">
        <w:rPr>
          <w:rFonts w:eastAsia="Times New Roman" w:cs="Times New Roman"/>
          <w:lang w:val="en-GB" w:eastAsia="en-GB"/>
        </w:rPr>
        <w:t xml:space="preserve">Short Biography: </w:t>
      </w:r>
    </w:p>
    <w:p w14:paraId="65637EBE" w14:textId="77777777" w:rsidR="003323E9" w:rsidRPr="003323E9" w:rsidRDefault="003323E9" w:rsidP="003323E9">
      <w:pPr>
        <w:spacing w:before="100" w:beforeAutospacing="1" w:after="100" w:afterAutospacing="1" w:line="240" w:lineRule="auto"/>
        <w:rPr>
          <w:rFonts w:eastAsia="Times New Roman" w:cs="Times New Roman"/>
          <w:lang w:val="en-GB" w:eastAsia="en-GB"/>
        </w:rPr>
      </w:pPr>
      <w:r w:rsidRPr="003323E9">
        <w:rPr>
          <w:rFonts w:eastAsia="Times New Roman" w:cs="Times New Roman"/>
          <w:lang w:val="en-GB" w:eastAsia="en-GB"/>
        </w:rPr>
        <w:t xml:space="preserve">Chloe </w:t>
      </w:r>
      <w:proofErr w:type="spellStart"/>
      <w:r w:rsidRPr="003323E9">
        <w:rPr>
          <w:rFonts w:eastAsia="Times New Roman" w:cs="Times New Roman"/>
          <w:lang w:val="en-GB" w:eastAsia="en-GB"/>
        </w:rPr>
        <w:t>Wigston</w:t>
      </w:r>
      <w:proofErr w:type="spellEnd"/>
      <w:r w:rsidRPr="003323E9">
        <w:rPr>
          <w:rFonts w:eastAsia="Times New Roman" w:cs="Times New Roman"/>
          <w:lang w:val="en-GB" w:eastAsia="en-GB"/>
        </w:rPr>
        <w:t xml:space="preserve"> Smith is Lecturer in Eighteenth-Century Literature at the University of York. She is the author of Women, Work, and Clothes in the Eighteenth-Century Novel (Cambridge 2013; paperback 2016), as well as of articles and essays on material culture, costume, female servants, trade cards, and object narratives. Her current book project examines material culture and marriage in the eighteenth-century Atlantic world; a portion of it appeared in 2016 in the Journal for Eighteenth-Century Studies. </w:t>
      </w:r>
    </w:p>
    <w:p w14:paraId="72D516F3" w14:textId="77777777" w:rsidR="00606BBD" w:rsidRDefault="00606BBD" w:rsidP="00606BBD">
      <w:pPr>
        <w:spacing w:line="240" w:lineRule="auto"/>
        <w:rPr>
          <w:rFonts w:cs="Times New Roman"/>
        </w:rPr>
      </w:pPr>
    </w:p>
    <w:p w14:paraId="73DE4D94" w14:textId="77777777" w:rsidR="00606BBD" w:rsidRDefault="00606BBD" w:rsidP="00606BBD">
      <w:pPr>
        <w:spacing w:line="240" w:lineRule="auto"/>
        <w:rPr>
          <w:rFonts w:cs="Times New Roman"/>
        </w:rPr>
      </w:pPr>
    </w:p>
    <w:p w14:paraId="389DE5C7" w14:textId="77777777" w:rsidR="00606BBD" w:rsidRPr="00993E21" w:rsidRDefault="00606BBD" w:rsidP="00606BBD">
      <w:pPr>
        <w:widowControl w:val="0"/>
        <w:autoSpaceDE w:val="0"/>
        <w:autoSpaceDN w:val="0"/>
        <w:adjustRightInd w:val="0"/>
        <w:spacing w:line="240" w:lineRule="auto"/>
        <w:ind w:left="720" w:hanging="720"/>
        <w:rPr>
          <w:rFonts w:cs="Times New Roman"/>
        </w:rPr>
      </w:pPr>
      <w:r w:rsidRPr="00993E21">
        <w:rPr>
          <w:rFonts w:cs="Times New Roman"/>
          <w:color w:val="000000"/>
        </w:rPr>
        <w:t xml:space="preserve">Karen Wade (UC Dublin) </w:t>
      </w:r>
    </w:p>
    <w:p w14:paraId="1C84C515" w14:textId="77777777" w:rsidR="00606BBD" w:rsidRDefault="00606BBD" w:rsidP="00606BBD">
      <w:pPr>
        <w:widowControl w:val="0"/>
        <w:autoSpaceDE w:val="0"/>
        <w:autoSpaceDN w:val="0"/>
        <w:adjustRightInd w:val="0"/>
        <w:spacing w:line="240" w:lineRule="auto"/>
        <w:rPr>
          <w:rFonts w:ascii="Calibri" w:hAnsi="Calibri" w:cs="Calibri"/>
          <w:b/>
          <w:bCs/>
          <w:color w:val="14A0C2"/>
          <w:sz w:val="32"/>
          <w:szCs w:val="32"/>
        </w:rPr>
      </w:pPr>
    </w:p>
    <w:p w14:paraId="2C897C8A" w14:textId="77777777" w:rsidR="00606BBD" w:rsidRPr="00993E21" w:rsidRDefault="00606BBD" w:rsidP="00606BBD">
      <w:pPr>
        <w:widowControl w:val="0"/>
        <w:autoSpaceDE w:val="0"/>
        <w:autoSpaceDN w:val="0"/>
        <w:adjustRightInd w:val="0"/>
        <w:spacing w:line="240" w:lineRule="auto"/>
        <w:rPr>
          <w:rFonts w:cs="Times New Roman"/>
          <w:color w:val="0D0D0D" w:themeColor="text1" w:themeTint="F2"/>
        </w:rPr>
      </w:pPr>
      <w:r w:rsidRPr="00993E21">
        <w:rPr>
          <w:rFonts w:cs="Times New Roman"/>
          <w:b/>
          <w:bCs/>
          <w:color w:val="0D0D0D" w:themeColor="text1" w:themeTint="F2"/>
        </w:rPr>
        <w:t>A flirt's progress: scandal and social networks in early 19</w:t>
      </w:r>
      <w:r w:rsidRPr="00993E21">
        <w:rPr>
          <w:rFonts w:cs="Times New Roman"/>
          <w:b/>
          <w:bCs/>
          <w:color w:val="0D0D0D" w:themeColor="text1" w:themeTint="F2"/>
          <w:vertAlign w:val="superscript"/>
        </w:rPr>
        <w:t>th</w:t>
      </w:r>
      <w:r w:rsidRPr="00993E21">
        <w:rPr>
          <w:rFonts w:cs="Times New Roman"/>
          <w:b/>
          <w:bCs/>
          <w:color w:val="0D0D0D" w:themeColor="text1" w:themeTint="F2"/>
        </w:rPr>
        <w:t>-century novels</w:t>
      </w:r>
    </w:p>
    <w:p w14:paraId="317B7FAB" w14:textId="77777777" w:rsidR="00606BBD" w:rsidRPr="00993E21" w:rsidRDefault="00606BBD" w:rsidP="00606BBD">
      <w:pPr>
        <w:widowControl w:val="0"/>
        <w:autoSpaceDE w:val="0"/>
        <w:autoSpaceDN w:val="0"/>
        <w:adjustRightInd w:val="0"/>
        <w:spacing w:line="240" w:lineRule="auto"/>
        <w:rPr>
          <w:rFonts w:cs="Times New Roman"/>
          <w:color w:val="0D0D0D" w:themeColor="text1" w:themeTint="F2"/>
        </w:rPr>
      </w:pPr>
    </w:p>
    <w:p w14:paraId="69DD8C2D" w14:textId="77777777" w:rsidR="00606BBD" w:rsidRPr="00993E21" w:rsidRDefault="00606BBD" w:rsidP="00606BBD">
      <w:pPr>
        <w:widowControl w:val="0"/>
        <w:autoSpaceDE w:val="0"/>
        <w:autoSpaceDN w:val="0"/>
        <w:adjustRightInd w:val="0"/>
        <w:spacing w:line="240" w:lineRule="auto"/>
        <w:ind w:firstLine="720"/>
        <w:rPr>
          <w:rFonts w:cs="Times New Roman"/>
          <w:color w:val="0D0D0D" w:themeColor="text1" w:themeTint="F2"/>
        </w:rPr>
      </w:pPr>
      <w:r w:rsidRPr="00993E21">
        <w:rPr>
          <w:rFonts w:cs="Times New Roman"/>
          <w:color w:val="0D0D0D" w:themeColor="text1" w:themeTint="F2"/>
        </w:rPr>
        <w:t>This paper makes use of data gathered from the social network analysis of a collection of 19</w:t>
      </w:r>
      <w:r w:rsidRPr="00993E21">
        <w:rPr>
          <w:rFonts w:cs="Times New Roman"/>
          <w:color w:val="0D0D0D" w:themeColor="text1" w:themeTint="F2"/>
          <w:vertAlign w:val="superscript"/>
        </w:rPr>
        <w:t xml:space="preserve">th </w:t>
      </w:r>
      <w:r w:rsidRPr="00993E21">
        <w:rPr>
          <w:rFonts w:cs="Times New Roman"/>
          <w:color w:val="0D0D0D" w:themeColor="text1" w:themeTint="F2"/>
        </w:rPr>
        <w:t>and early 20</w:t>
      </w:r>
      <w:r w:rsidRPr="00993E21">
        <w:rPr>
          <w:rFonts w:cs="Times New Roman"/>
          <w:color w:val="0D0D0D" w:themeColor="text1" w:themeTint="F2"/>
          <w:vertAlign w:val="superscript"/>
        </w:rPr>
        <w:t>th</w:t>
      </w:r>
      <w:r w:rsidRPr="00993E21">
        <w:rPr>
          <w:rFonts w:cs="Times New Roman"/>
          <w:color w:val="0D0D0D" w:themeColor="text1" w:themeTint="F2"/>
        </w:rPr>
        <w:t xml:space="preserve">-century novels, including </w:t>
      </w:r>
      <w:r w:rsidRPr="00993E21">
        <w:rPr>
          <w:rFonts w:cs="Times New Roman"/>
          <w:i/>
          <w:iCs/>
          <w:color w:val="0D0D0D" w:themeColor="text1" w:themeTint="F2"/>
        </w:rPr>
        <w:t>Pride and Prejudice</w:t>
      </w:r>
      <w:r w:rsidRPr="00993E21">
        <w:rPr>
          <w:rFonts w:cs="Times New Roman"/>
          <w:color w:val="0D0D0D" w:themeColor="text1" w:themeTint="F2"/>
        </w:rPr>
        <w:t xml:space="preserve"> and a number of Jane Austen's other works, in order to gain insight into the Operation of 'women's sociality' in the societies depicted in these novels. In order to illuminate the relationship between sociality, scandal and narrative drive, the paper will focus on the social networks of Lydia Bennett from Pride and Prejudice.</w:t>
      </w:r>
    </w:p>
    <w:p w14:paraId="73577801" w14:textId="77777777" w:rsidR="00606BBD" w:rsidRPr="00993E21" w:rsidRDefault="00606BBD" w:rsidP="00606BBD">
      <w:pPr>
        <w:widowControl w:val="0"/>
        <w:autoSpaceDE w:val="0"/>
        <w:autoSpaceDN w:val="0"/>
        <w:adjustRightInd w:val="0"/>
        <w:spacing w:line="240" w:lineRule="auto"/>
        <w:ind w:firstLine="720"/>
        <w:rPr>
          <w:rFonts w:cs="Times New Roman"/>
          <w:color w:val="0D0D0D" w:themeColor="text1" w:themeTint="F2"/>
        </w:rPr>
      </w:pPr>
      <w:r w:rsidRPr="00993E21">
        <w:rPr>
          <w:rFonts w:cs="Times New Roman"/>
          <w:color w:val="0D0D0D" w:themeColor="text1" w:themeTint="F2"/>
        </w:rPr>
        <w:t xml:space="preserve">Sixteen-year-old Lydia, the youngest of her five sisters, is an important catalyst for narrative action, yet her presence and actions in the novel - in particular, her elopement with Wickham - are typically considered important primarily because of their effects on Elizabeth and Darcy's relationship.  However, when examined in the context of </w:t>
      </w:r>
      <w:r w:rsidRPr="00993E21">
        <w:rPr>
          <w:rFonts w:cs="Times New Roman"/>
          <w:color w:val="0D0D0D" w:themeColor="text1" w:themeTint="F2"/>
        </w:rPr>
        <w:lastRenderedPageBreak/>
        <w:t xml:space="preserve">social network analysis, Lydia's </w:t>
      </w:r>
      <w:proofErr w:type="spellStart"/>
      <w:r w:rsidRPr="00993E21">
        <w:rPr>
          <w:rFonts w:cs="Times New Roman"/>
          <w:color w:val="0D0D0D" w:themeColor="text1" w:themeTint="F2"/>
        </w:rPr>
        <w:t>characterisation</w:t>
      </w:r>
      <w:proofErr w:type="spellEnd"/>
      <w:r w:rsidRPr="00993E21">
        <w:rPr>
          <w:rFonts w:cs="Times New Roman"/>
          <w:color w:val="0D0D0D" w:themeColor="text1" w:themeTint="F2"/>
        </w:rPr>
        <w:t xml:space="preserve"> and forms of participation in the novel - her ebullient </w:t>
      </w:r>
      <w:proofErr w:type="spellStart"/>
      <w:r w:rsidRPr="00993E21">
        <w:rPr>
          <w:rFonts w:cs="Times New Roman"/>
          <w:color w:val="0D0D0D" w:themeColor="text1" w:themeTint="F2"/>
        </w:rPr>
        <w:t>demeanour</w:t>
      </w:r>
      <w:proofErr w:type="spellEnd"/>
      <w:r w:rsidRPr="00993E21">
        <w:rPr>
          <w:rFonts w:cs="Times New Roman"/>
          <w:color w:val="0D0D0D" w:themeColor="text1" w:themeTint="F2"/>
        </w:rPr>
        <w:t>, her scandalous decisions and her disquietingly varied connections - are not only interesting in their own right, but also provide insights into the construction and workings of the society in </w:t>
      </w:r>
      <w:r w:rsidRPr="00993E21">
        <w:rPr>
          <w:rFonts w:cs="Times New Roman"/>
          <w:i/>
          <w:iCs/>
          <w:color w:val="0D0D0D" w:themeColor="text1" w:themeTint="F2"/>
        </w:rPr>
        <w:t>Pride and Prejudice</w:t>
      </w:r>
      <w:r w:rsidRPr="00993E21">
        <w:rPr>
          <w:rFonts w:cs="Times New Roman"/>
          <w:color w:val="0D0D0D" w:themeColor="text1" w:themeTint="F2"/>
        </w:rPr>
        <w:t>.  As Elizabeth despairingly (and correctly) argues to their father, Lydia's "unguarded and imprudent manner" has consequences that ripple out from beyond her own immediate social sphere.</w:t>
      </w:r>
    </w:p>
    <w:p w14:paraId="7DA3C083" w14:textId="77777777" w:rsidR="00606BBD" w:rsidRPr="00993E21" w:rsidRDefault="00606BBD" w:rsidP="00606BBD">
      <w:pPr>
        <w:widowControl w:val="0"/>
        <w:autoSpaceDE w:val="0"/>
        <w:autoSpaceDN w:val="0"/>
        <w:adjustRightInd w:val="0"/>
        <w:spacing w:line="240" w:lineRule="auto"/>
        <w:ind w:firstLine="720"/>
        <w:rPr>
          <w:rFonts w:cs="Times New Roman"/>
          <w:color w:val="0D0D0D" w:themeColor="text1" w:themeTint="F2"/>
        </w:rPr>
      </w:pPr>
      <w:r w:rsidRPr="00993E21">
        <w:rPr>
          <w:rFonts w:cs="Times New Roman"/>
          <w:color w:val="0D0D0D" w:themeColor="text1" w:themeTint="F2"/>
        </w:rPr>
        <w:t xml:space="preserve">Our social network analysis facilitates the examination of Lydia Bennet's specific set of immediate social connections - her </w:t>
      </w:r>
      <w:r w:rsidRPr="00993E21">
        <w:rPr>
          <w:rFonts w:cs="Times New Roman"/>
          <w:i/>
          <w:iCs/>
          <w:color w:val="0D0D0D" w:themeColor="text1" w:themeTint="F2"/>
        </w:rPr>
        <w:t>ego-network</w:t>
      </w:r>
      <w:r w:rsidRPr="00993E21">
        <w:rPr>
          <w:rFonts w:cs="Times New Roman"/>
          <w:color w:val="0D0D0D" w:themeColor="text1" w:themeTint="F2"/>
        </w:rPr>
        <w:t xml:space="preserve"> - and how this personal network develops over time.  Her activities, as her sister Elizabeth points out, do not occur in a vacuum; as well as causing outward ripples, they are influenced, prompted, discussed and censured by the other characters in the novel, who comprise the close-knit and gossipy community of "four-and-twenty families" in the </w:t>
      </w:r>
      <w:proofErr w:type="spellStart"/>
      <w:r w:rsidRPr="00993E21">
        <w:rPr>
          <w:rFonts w:cs="Times New Roman"/>
          <w:color w:val="0D0D0D" w:themeColor="text1" w:themeTint="F2"/>
        </w:rPr>
        <w:t>neighbourhood</w:t>
      </w:r>
      <w:proofErr w:type="spellEnd"/>
      <w:r w:rsidRPr="00993E21">
        <w:rPr>
          <w:rFonts w:cs="Times New Roman"/>
          <w:color w:val="0D0D0D" w:themeColor="text1" w:themeTint="F2"/>
        </w:rPr>
        <w:t>, as well as by the larger but largely unseen working-class community that supports them.</w:t>
      </w:r>
    </w:p>
    <w:p w14:paraId="0E1D4F10" w14:textId="77777777" w:rsidR="00606BBD" w:rsidRPr="00993E21" w:rsidRDefault="00606BBD" w:rsidP="00606BBD">
      <w:pPr>
        <w:spacing w:line="240" w:lineRule="auto"/>
        <w:ind w:firstLine="720"/>
        <w:rPr>
          <w:rFonts w:cs="Times New Roman"/>
          <w:color w:val="0D0D0D" w:themeColor="text1" w:themeTint="F2"/>
        </w:rPr>
      </w:pPr>
      <w:r w:rsidRPr="00993E21">
        <w:rPr>
          <w:rFonts w:cs="Times New Roman"/>
          <w:color w:val="0D0D0D" w:themeColor="text1" w:themeTint="F2"/>
        </w:rPr>
        <w:t xml:space="preserve">In this paper, we track the course of Lydia's social progress throughout the novel, and how her role impacts upon both major and minor players in the narrative.  We also assess the extent to which her network of connections resembles those of some of her close contemporaries, including her sisters Mary and Kitty Bennet - whose familial circumstances are very similar but whose trajectories through the novel are very different - and her antithesis Georgiana Darcy, for whom the reverse could be said to be true.  By including as large a cast of characters as possible, and incorporating demographic information on these characters, our network analyses provide an unprecedented view of the social context of </w:t>
      </w:r>
      <w:r w:rsidRPr="00993E21">
        <w:rPr>
          <w:rFonts w:cs="Times New Roman"/>
          <w:i/>
          <w:iCs/>
          <w:color w:val="0D0D0D" w:themeColor="text1" w:themeTint="F2"/>
        </w:rPr>
        <w:t>Pride and Prejudice</w:t>
      </w:r>
      <w:r w:rsidRPr="00993E21">
        <w:rPr>
          <w:rFonts w:cs="Times New Roman"/>
          <w:color w:val="0D0D0D" w:themeColor="text1" w:themeTint="F2"/>
        </w:rPr>
        <w:t>, and allow for the exploration of issues such as the nature of interactions between men and women in the novel, the construction of concepts of propriety and virtue (or the lack thereof), and the impact of gender, class and age upon social interactions and narrative development in late 18</w:t>
      </w:r>
      <w:r w:rsidRPr="00993E21">
        <w:rPr>
          <w:rFonts w:cs="Times New Roman"/>
          <w:color w:val="0D0D0D" w:themeColor="text1" w:themeTint="F2"/>
          <w:vertAlign w:val="superscript"/>
        </w:rPr>
        <w:t>th</w:t>
      </w:r>
      <w:r w:rsidRPr="00993E21">
        <w:rPr>
          <w:rFonts w:cs="Times New Roman"/>
          <w:color w:val="0D0D0D" w:themeColor="text1" w:themeTint="F2"/>
        </w:rPr>
        <w:t>-century rural English society.</w:t>
      </w:r>
    </w:p>
    <w:p w14:paraId="156EDAD4" w14:textId="77777777" w:rsidR="00606BBD" w:rsidRPr="00993E21" w:rsidRDefault="00606BBD" w:rsidP="00606BBD">
      <w:pPr>
        <w:spacing w:line="240" w:lineRule="auto"/>
        <w:rPr>
          <w:rFonts w:cs="Times New Roman"/>
          <w:color w:val="0D0D0D" w:themeColor="text1" w:themeTint="F2"/>
        </w:rPr>
      </w:pPr>
    </w:p>
    <w:p w14:paraId="58CDAB77" w14:textId="77777777" w:rsidR="00606BBD" w:rsidRPr="00993E21" w:rsidRDefault="00606BBD" w:rsidP="00606BBD">
      <w:pPr>
        <w:spacing w:line="240" w:lineRule="auto"/>
        <w:rPr>
          <w:rFonts w:cs="Times New Roman"/>
          <w:b/>
          <w:color w:val="0D0D0D" w:themeColor="text1" w:themeTint="F2"/>
        </w:rPr>
      </w:pPr>
      <w:r w:rsidRPr="00993E21">
        <w:rPr>
          <w:rFonts w:cs="Times New Roman"/>
          <w:b/>
          <w:color w:val="0D0D0D" w:themeColor="text1" w:themeTint="F2"/>
        </w:rPr>
        <w:t>Bio</w:t>
      </w:r>
    </w:p>
    <w:p w14:paraId="6537D3C3" w14:textId="77777777" w:rsidR="00606BBD" w:rsidRDefault="00606BBD" w:rsidP="00606BBD">
      <w:pPr>
        <w:spacing w:line="240" w:lineRule="auto"/>
        <w:rPr>
          <w:rFonts w:cs="Times New Roman"/>
          <w:color w:val="0D0D0D" w:themeColor="text1" w:themeTint="F2"/>
        </w:rPr>
      </w:pPr>
      <w:proofErr w:type="spellStart"/>
      <w:r w:rsidRPr="00993E21">
        <w:rPr>
          <w:rFonts w:cs="Times New Roman"/>
          <w:color w:val="0D0D0D" w:themeColor="text1" w:themeTint="F2"/>
        </w:rPr>
        <w:t>Dr</w:t>
      </w:r>
      <w:proofErr w:type="spellEnd"/>
      <w:r w:rsidRPr="00993E21">
        <w:rPr>
          <w:rFonts w:cs="Times New Roman"/>
          <w:color w:val="0D0D0D" w:themeColor="text1" w:themeTint="F2"/>
        </w:rPr>
        <w:t xml:space="preserve"> Karen Wade is a postdoctoral research fellow at the UCD Humanities Institute’s Nation, Genre and Gender project.  Since the completion of her PhD thesis on the subject of Irish online social networks and Irish national culture, her work has focused upon the integration of technological methodologies with more traditional literary and cultural studies.  Her work in digital humanities has included contributing to the Humanities Institute's Changing Empathies: Social Networks and the Novel project, as well as being involved with the inception and design of the UCD English Department's Digital Platform for Contemporary Irish Literature.  In addition to digital humanities methodologies, her research interests include new media, gender studies, 19th-century literature and publishing cultures, and autobiography.</w:t>
      </w:r>
    </w:p>
    <w:p w14:paraId="325316C9" w14:textId="77777777" w:rsidR="00606BBD" w:rsidRDefault="00606BBD" w:rsidP="00606BBD">
      <w:pPr>
        <w:spacing w:line="240" w:lineRule="auto"/>
        <w:rPr>
          <w:rFonts w:cs="Times New Roman"/>
        </w:rPr>
      </w:pPr>
    </w:p>
    <w:p w14:paraId="2D2CB2A2" w14:textId="77777777" w:rsidR="00606BBD" w:rsidRDefault="00606BBD" w:rsidP="00606BBD">
      <w:pPr>
        <w:spacing w:line="240" w:lineRule="auto"/>
        <w:rPr>
          <w:rFonts w:cs="Times New Roman"/>
        </w:rPr>
      </w:pPr>
      <w:r>
        <w:rPr>
          <w:rFonts w:cs="Times New Roman"/>
        </w:rPr>
        <w:t>G</w:t>
      </w:r>
      <w:r w:rsidRPr="00ED3848">
        <w:rPr>
          <w:rFonts w:cs="Times New Roman"/>
        </w:rPr>
        <w:t xml:space="preserve">eorgia </w:t>
      </w:r>
      <w:proofErr w:type="spellStart"/>
      <w:r w:rsidRPr="00ED3848">
        <w:rPr>
          <w:rFonts w:cs="Times New Roman"/>
        </w:rPr>
        <w:t>Hase</w:t>
      </w:r>
      <w:r>
        <w:rPr>
          <w:rFonts w:cs="Times New Roman"/>
        </w:rPr>
        <w:t>ldine</w:t>
      </w:r>
      <w:proofErr w:type="spellEnd"/>
      <w:r>
        <w:rPr>
          <w:rFonts w:cs="Times New Roman"/>
        </w:rPr>
        <w:t xml:space="preserve"> (Queen Mary / National Portrait Gallery)</w:t>
      </w:r>
    </w:p>
    <w:p w14:paraId="26CDBD21" w14:textId="77777777" w:rsidR="00606BBD" w:rsidRPr="003323E9" w:rsidRDefault="00606BBD" w:rsidP="00606BBD">
      <w:pPr>
        <w:tabs>
          <w:tab w:val="left" w:pos="567"/>
        </w:tabs>
        <w:spacing w:line="240" w:lineRule="auto"/>
        <w:rPr>
          <w:rFonts w:cs="Times New Roman"/>
          <w:b/>
        </w:rPr>
      </w:pPr>
      <w:r w:rsidRPr="003323E9">
        <w:rPr>
          <w:rFonts w:cs="Times New Roman"/>
          <w:b/>
        </w:rPr>
        <w:t>“Portraits of Radical Women”</w:t>
      </w:r>
    </w:p>
    <w:p w14:paraId="3DDD7162" w14:textId="77777777" w:rsidR="00606BBD" w:rsidRDefault="00606BBD" w:rsidP="00606BBD">
      <w:pPr>
        <w:tabs>
          <w:tab w:val="left" w:pos="567"/>
        </w:tabs>
        <w:spacing w:line="240" w:lineRule="auto"/>
        <w:rPr>
          <w:rFonts w:cs="Times New Roman"/>
        </w:rPr>
      </w:pPr>
    </w:p>
    <w:p w14:paraId="735380A2" w14:textId="77777777" w:rsidR="00606BBD" w:rsidRPr="00ED3848" w:rsidRDefault="00606BBD" w:rsidP="00606BBD">
      <w:pPr>
        <w:tabs>
          <w:tab w:val="left" w:pos="567"/>
        </w:tabs>
        <w:spacing w:line="240" w:lineRule="auto"/>
        <w:rPr>
          <w:rFonts w:cs="Times New Roman"/>
        </w:rPr>
      </w:pPr>
      <w:r w:rsidRPr="00ED3848">
        <w:rPr>
          <w:rFonts w:cs="Times New Roman"/>
        </w:rPr>
        <w:t xml:space="preserve">This paper will explore how women involved in British radical politics were portrayed from 1789 to 1819 and think about the ways their images were circulated, consumed and displayed. It will reflect on the differences in portraits of politically active women according to class, profession and geographical location in both positive and hostile </w:t>
      </w:r>
      <w:r w:rsidRPr="00ED3848">
        <w:rPr>
          <w:rFonts w:cs="Times New Roman"/>
        </w:rPr>
        <w:lastRenderedPageBreak/>
        <w:t xml:space="preserve">portrayals. This will be </w:t>
      </w:r>
      <w:proofErr w:type="spellStart"/>
      <w:r w:rsidRPr="00ED3848">
        <w:rPr>
          <w:rFonts w:cs="Times New Roman"/>
        </w:rPr>
        <w:t>contextualised</w:t>
      </w:r>
      <w:proofErr w:type="spellEnd"/>
      <w:r w:rsidRPr="00ED3848">
        <w:rPr>
          <w:rFonts w:cs="Times New Roman"/>
        </w:rPr>
        <w:t xml:space="preserve"> by looking at how portraits of reformers of both genders were used to communicate their politically radical aims. Two brief examples indicate the scope of the topic.</w:t>
      </w:r>
    </w:p>
    <w:p w14:paraId="657AC45B" w14:textId="77777777" w:rsidR="00606BBD" w:rsidRPr="00ED3848" w:rsidRDefault="00606BBD" w:rsidP="00606BBD">
      <w:pPr>
        <w:tabs>
          <w:tab w:val="left" w:pos="567"/>
        </w:tabs>
        <w:spacing w:line="240" w:lineRule="auto"/>
        <w:rPr>
          <w:rFonts w:cs="Times New Roman"/>
        </w:rPr>
      </w:pPr>
      <w:r w:rsidRPr="00ED3848">
        <w:rPr>
          <w:rFonts w:cs="Times New Roman"/>
        </w:rPr>
        <w:tab/>
        <w:t xml:space="preserve">Polite women radicals of the 1790s such as Anna </w:t>
      </w:r>
      <w:proofErr w:type="spellStart"/>
      <w:r w:rsidRPr="00ED3848">
        <w:rPr>
          <w:rFonts w:cs="Times New Roman"/>
        </w:rPr>
        <w:t>Laetitia</w:t>
      </w:r>
      <w:proofErr w:type="spellEnd"/>
      <w:r w:rsidRPr="00ED3848">
        <w:rPr>
          <w:rFonts w:cs="Times New Roman"/>
        </w:rPr>
        <w:t xml:space="preserve"> </w:t>
      </w:r>
      <w:proofErr w:type="spellStart"/>
      <w:r w:rsidRPr="00ED3848">
        <w:rPr>
          <w:rFonts w:cs="Times New Roman"/>
        </w:rPr>
        <w:t>Barbauld</w:t>
      </w:r>
      <w:proofErr w:type="spellEnd"/>
      <w:r w:rsidRPr="00ED3848">
        <w:rPr>
          <w:rFonts w:cs="Times New Roman"/>
        </w:rPr>
        <w:t xml:space="preserve">, Mary Wollstonecraft and Charlotte Smith were portrayed as literary ladies – their attire and gesture akin to their counterrevolutionary adversaries – rather than as political types. Their portraits participated in the development of a middling mode of representation in the late eighteenth and early nineteenth century which rejected élite portrait tropes. The bourgeois portrait </w:t>
      </w:r>
      <w:proofErr w:type="spellStart"/>
      <w:r w:rsidRPr="00ED3848">
        <w:rPr>
          <w:rFonts w:cs="Times New Roman"/>
        </w:rPr>
        <w:t>utilised</w:t>
      </w:r>
      <w:proofErr w:type="spellEnd"/>
      <w:r w:rsidRPr="00ED3848">
        <w:rPr>
          <w:rFonts w:cs="Times New Roman"/>
        </w:rPr>
        <w:t xml:space="preserve"> detailed depictions of the physiognomy of the sitter as a mechanism to relate the ‘truth’ of the sitter’s personality to the viewer. In this way, portraits were tools of communication; the sitters features increasingly seen to be legible of their values and ideals. By aligning their modes of representation with the burgeoning middling portrait style </w:t>
      </w:r>
      <w:r w:rsidRPr="00ED3848">
        <w:rPr>
          <w:rFonts w:eastAsia="Arial Unicode MS" w:cs="Times New Roman"/>
        </w:rPr>
        <w:t xml:space="preserve">women radicals sort to project unadorned modestly, a certain homeliness and </w:t>
      </w:r>
      <w:proofErr w:type="spellStart"/>
      <w:r w:rsidRPr="00ED3848">
        <w:rPr>
          <w:rFonts w:eastAsia="Arial Unicode MS" w:cs="Times New Roman"/>
        </w:rPr>
        <w:t>candour</w:t>
      </w:r>
      <w:proofErr w:type="spellEnd"/>
      <w:r w:rsidRPr="00ED3848">
        <w:rPr>
          <w:rFonts w:eastAsia="Arial Unicode MS" w:cs="Times New Roman"/>
        </w:rPr>
        <w:t>. The polite representations of the 1790s female radicals fits into the wider radical project to represent itself as a viable political alternative rather than as a revolutionary force. The inclusion of women in group portraits ‘</w:t>
      </w:r>
      <w:proofErr w:type="spellStart"/>
      <w:r w:rsidRPr="00ED3848">
        <w:rPr>
          <w:rFonts w:eastAsia="Arial Unicode MS" w:cs="Times New Roman"/>
        </w:rPr>
        <w:t>civilised</w:t>
      </w:r>
      <w:proofErr w:type="spellEnd"/>
      <w:r w:rsidRPr="00ED3848">
        <w:rPr>
          <w:rFonts w:eastAsia="Arial Unicode MS" w:cs="Times New Roman"/>
        </w:rPr>
        <w:t xml:space="preserve">’ depictions of radical sociability, as in Richard Newton’s </w:t>
      </w:r>
      <w:r w:rsidRPr="00ED3848">
        <w:rPr>
          <w:rFonts w:cs="Times New Roman"/>
          <w:i/>
        </w:rPr>
        <w:t xml:space="preserve">Promenade in the State Side of </w:t>
      </w:r>
      <w:proofErr w:type="spellStart"/>
      <w:r w:rsidRPr="00ED3848">
        <w:rPr>
          <w:rFonts w:cs="Times New Roman"/>
          <w:i/>
        </w:rPr>
        <w:t>Newgate</w:t>
      </w:r>
      <w:proofErr w:type="spellEnd"/>
      <w:r w:rsidRPr="00ED3848">
        <w:rPr>
          <w:rFonts w:eastAsia="Arial Unicode MS" w:cs="Times New Roman"/>
        </w:rPr>
        <w:t xml:space="preserve">. </w:t>
      </w:r>
    </w:p>
    <w:p w14:paraId="31CBBA7D" w14:textId="77777777" w:rsidR="00606BBD" w:rsidRPr="00ED3848" w:rsidRDefault="00606BBD" w:rsidP="00606BBD">
      <w:pPr>
        <w:spacing w:line="240" w:lineRule="auto"/>
        <w:ind w:firstLine="720"/>
        <w:rPr>
          <w:rFonts w:eastAsia="Arial Unicode MS" w:cs="Times New Roman"/>
        </w:rPr>
      </w:pPr>
      <w:r w:rsidRPr="00ED3848">
        <w:rPr>
          <w:rFonts w:cs="Times New Roman"/>
        </w:rPr>
        <w:t xml:space="preserve">Tensions in how to represent women activists campaigning for reform was shown succinctly in the shifting portrayals of women by George Cruickshank around the gathering at St. Peter’s Field in 1819. From July women’s groups were formed to support the campaigns for a reform in parliament. Cruickshank crudely </w:t>
      </w:r>
      <w:proofErr w:type="spellStart"/>
      <w:r w:rsidRPr="00ED3848">
        <w:rPr>
          <w:rFonts w:cs="Times New Roman"/>
        </w:rPr>
        <w:t>satirised</w:t>
      </w:r>
      <w:proofErr w:type="spellEnd"/>
      <w:r w:rsidRPr="00ED3848">
        <w:rPr>
          <w:rFonts w:cs="Times New Roman"/>
        </w:rPr>
        <w:t xml:space="preserve"> these groups in </w:t>
      </w:r>
      <w:r w:rsidRPr="00ED3848">
        <w:rPr>
          <w:rFonts w:eastAsia="Arial Unicode MS" w:cs="Times New Roman"/>
          <w:i/>
        </w:rPr>
        <w:t>The Belle-alliance, or the female reformers of Blackburn!!!</w:t>
      </w:r>
      <w:r w:rsidRPr="00ED3848">
        <w:rPr>
          <w:rFonts w:eastAsia="Arial Unicode MS" w:cs="Times New Roman"/>
        </w:rPr>
        <w:t xml:space="preserve"> The working-class female reformers are burlesqued; their hyper-</w:t>
      </w:r>
      <w:proofErr w:type="spellStart"/>
      <w:r w:rsidRPr="00ED3848">
        <w:rPr>
          <w:rFonts w:eastAsia="Arial Unicode MS" w:cs="Times New Roman"/>
        </w:rPr>
        <w:t>sexualised</w:t>
      </w:r>
      <w:proofErr w:type="spellEnd"/>
      <w:r w:rsidRPr="00ED3848">
        <w:rPr>
          <w:rFonts w:eastAsia="Arial Unicode MS" w:cs="Times New Roman"/>
        </w:rPr>
        <w:t xml:space="preserve"> bodies render their politics revolting. Their danger to society is underlined by the next generation of Jacobins they are breeding, shown by the dagger-wielding baby waved in the air. In contrast, after the </w:t>
      </w:r>
      <w:proofErr w:type="spellStart"/>
      <w:r w:rsidRPr="00ED3848">
        <w:rPr>
          <w:rFonts w:eastAsia="Arial Unicode MS" w:cs="Times New Roman"/>
        </w:rPr>
        <w:t>Peterloo</w:t>
      </w:r>
      <w:proofErr w:type="spellEnd"/>
      <w:r w:rsidRPr="00ED3848">
        <w:rPr>
          <w:rFonts w:eastAsia="Arial Unicode MS" w:cs="Times New Roman"/>
        </w:rPr>
        <w:t xml:space="preserve"> massacre, Cruickshank </w:t>
      </w:r>
      <w:proofErr w:type="spellStart"/>
      <w:r w:rsidRPr="00ED3848">
        <w:rPr>
          <w:rFonts w:eastAsia="Arial Unicode MS" w:cs="Times New Roman"/>
        </w:rPr>
        <w:t>remodelled</w:t>
      </w:r>
      <w:proofErr w:type="spellEnd"/>
      <w:r w:rsidRPr="00ED3848">
        <w:rPr>
          <w:rFonts w:eastAsia="Arial Unicode MS" w:cs="Times New Roman"/>
        </w:rPr>
        <w:t xml:space="preserve"> the female reformer to be the focus of sympathy. The central figure of </w:t>
      </w:r>
      <w:r w:rsidRPr="00ED3848">
        <w:rPr>
          <w:rFonts w:eastAsia="Arial Unicode MS" w:cs="Times New Roman"/>
          <w:i/>
        </w:rPr>
        <w:t>Massacre at St Peter's or "Britons strike home"!!!</w:t>
      </w:r>
      <w:r w:rsidRPr="00ED3848">
        <w:rPr>
          <w:rFonts w:eastAsia="Arial Unicode MS" w:cs="Times New Roman"/>
        </w:rPr>
        <w:t xml:space="preserve"> </w:t>
      </w:r>
      <w:proofErr w:type="gramStart"/>
      <w:r w:rsidRPr="00ED3848">
        <w:rPr>
          <w:rFonts w:eastAsia="Arial Unicode MS" w:cs="Times New Roman"/>
        </w:rPr>
        <w:t>is</w:t>
      </w:r>
      <w:proofErr w:type="gramEnd"/>
      <w:r w:rsidRPr="00ED3848">
        <w:rPr>
          <w:rFonts w:eastAsia="Arial Unicode MS" w:cs="Times New Roman"/>
        </w:rPr>
        <w:t xml:space="preserve"> a woman kneeling at the feet of the yeoman cavalry with her baby in her arms. Both Cruickshank negative and positive images of female reformers </w:t>
      </w:r>
      <w:proofErr w:type="spellStart"/>
      <w:r w:rsidRPr="00ED3848">
        <w:rPr>
          <w:rFonts w:eastAsia="Arial Unicode MS" w:cs="Times New Roman"/>
        </w:rPr>
        <w:t>sexualise</w:t>
      </w:r>
      <w:proofErr w:type="spellEnd"/>
      <w:r w:rsidRPr="00ED3848">
        <w:rPr>
          <w:rFonts w:eastAsia="Arial Unicode MS" w:cs="Times New Roman"/>
        </w:rPr>
        <w:t xml:space="preserve"> their bodies and emphasis their roles as mothers to represent their politics.</w:t>
      </w:r>
    </w:p>
    <w:p w14:paraId="6FBE28AC" w14:textId="77777777" w:rsidR="00606BBD" w:rsidRPr="00ED3848" w:rsidRDefault="00606BBD" w:rsidP="00606BBD">
      <w:pPr>
        <w:spacing w:line="240" w:lineRule="auto"/>
        <w:ind w:firstLine="720"/>
        <w:rPr>
          <w:rFonts w:eastAsia="Arial Unicode MS" w:cs="Times New Roman"/>
        </w:rPr>
      </w:pPr>
      <w:r w:rsidRPr="00ED3848">
        <w:rPr>
          <w:rFonts w:eastAsia="Arial Unicode MS" w:cs="Times New Roman"/>
        </w:rPr>
        <w:t xml:space="preserve">As the two above examples demonstrate, there was no established mode of representing women who participated in radical politics. Women’s bodies, gestures and clothing were used to either demonstrate good morals in a bid to make their views accessible and </w:t>
      </w:r>
      <w:proofErr w:type="spellStart"/>
      <w:r w:rsidRPr="00ED3848">
        <w:rPr>
          <w:rFonts w:eastAsia="Arial Unicode MS" w:cs="Times New Roman"/>
        </w:rPr>
        <w:t>civilised</w:t>
      </w:r>
      <w:proofErr w:type="spellEnd"/>
      <w:r w:rsidRPr="00ED3848">
        <w:rPr>
          <w:rFonts w:eastAsia="Arial Unicode MS" w:cs="Times New Roman"/>
        </w:rPr>
        <w:t>; or, were caricatured to associate their political beliefs with sexual depravity. Looking at portraits of women radicals illuminates the tensions surrounding their public participation in demands for reform.</w:t>
      </w:r>
    </w:p>
    <w:p w14:paraId="6D2B3176" w14:textId="77777777" w:rsidR="00606BBD" w:rsidRDefault="00606BBD" w:rsidP="00606BBD">
      <w:pPr>
        <w:spacing w:line="240" w:lineRule="auto"/>
        <w:rPr>
          <w:rFonts w:cs="Times New Roman"/>
          <w:b/>
        </w:rPr>
      </w:pPr>
    </w:p>
    <w:p w14:paraId="2D157A1F" w14:textId="77777777" w:rsidR="00606BBD" w:rsidRDefault="00606BBD" w:rsidP="00606BBD">
      <w:pPr>
        <w:spacing w:line="240" w:lineRule="auto"/>
        <w:rPr>
          <w:rFonts w:cs="Times New Roman"/>
          <w:b/>
        </w:rPr>
      </w:pPr>
    </w:p>
    <w:p w14:paraId="2BFAD3A6" w14:textId="77777777" w:rsidR="00606BBD" w:rsidRPr="00ED3848" w:rsidRDefault="00606BBD" w:rsidP="00606BBD">
      <w:pPr>
        <w:spacing w:line="240" w:lineRule="auto"/>
        <w:rPr>
          <w:rFonts w:cs="Times New Roman"/>
          <w:b/>
        </w:rPr>
      </w:pPr>
      <w:r w:rsidRPr="00ED3848">
        <w:rPr>
          <w:rFonts w:cs="Times New Roman"/>
          <w:b/>
        </w:rPr>
        <w:t>Biography</w:t>
      </w:r>
    </w:p>
    <w:p w14:paraId="50965FB8" w14:textId="77777777" w:rsidR="00606BBD" w:rsidRPr="00ED3848" w:rsidRDefault="00606BBD" w:rsidP="00606BBD">
      <w:pPr>
        <w:spacing w:line="240" w:lineRule="auto"/>
        <w:rPr>
          <w:rStyle w:val="Emphasis"/>
          <w:rFonts w:cs="Times New Roman"/>
          <w:lang w:val="en"/>
        </w:rPr>
      </w:pPr>
      <w:r w:rsidRPr="00ED3848">
        <w:rPr>
          <w:rFonts w:cs="Times New Roman"/>
        </w:rPr>
        <w:t xml:space="preserve">I am in the first year of my </w:t>
      </w:r>
      <w:r w:rsidRPr="00ED3848">
        <w:rPr>
          <w:rFonts w:cs="Times New Roman"/>
          <w:lang w:val="en"/>
        </w:rPr>
        <w:t>Collaborative Doctoral Project working with the National Portrait Gallery and Queen Mary University, London on a thesis entitled “</w:t>
      </w:r>
      <w:r w:rsidRPr="00ED3848">
        <w:rPr>
          <w:rStyle w:val="Emphasis"/>
          <w:rFonts w:cs="Times New Roman"/>
          <w:lang w:val="en"/>
        </w:rPr>
        <w:t xml:space="preserve">Radical Portraiture 1789-1819”. I proposed the topic and worked closely with my supervisors Prof. John </w:t>
      </w:r>
      <w:proofErr w:type="spellStart"/>
      <w:r w:rsidRPr="00ED3848">
        <w:rPr>
          <w:rStyle w:val="Emphasis"/>
          <w:rFonts w:cs="Times New Roman"/>
          <w:lang w:val="en"/>
        </w:rPr>
        <w:t>Barrell</w:t>
      </w:r>
      <w:proofErr w:type="spellEnd"/>
      <w:r w:rsidRPr="00ED3848">
        <w:rPr>
          <w:rStyle w:val="Emphasis"/>
          <w:rFonts w:cs="Times New Roman"/>
          <w:lang w:val="en"/>
        </w:rPr>
        <w:t xml:space="preserve">, Prof. Barbara Taylor and Dr. Lucy </w:t>
      </w:r>
      <w:proofErr w:type="spellStart"/>
      <w:r w:rsidRPr="00ED3848">
        <w:rPr>
          <w:rStyle w:val="Emphasis"/>
          <w:rFonts w:cs="Times New Roman"/>
          <w:lang w:val="en"/>
        </w:rPr>
        <w:t>Peltz</w:t>
      </w:r>
      <w:proofErr w:type="spellEnd"/>
      <w:r w:rsidRPr="00ED3848">
        <w:rPr>
          <w:rStyle w:val="Emphasis"/>
          <w:rFonts w:cs="Times New Roman"/>
          <w:lang w:val="en"/>
        </w:rPr>
        <w:t xml:space="preserve"> to secure AHRC funding. Previous to this, I studied for a BA in History at the University of Cambridge and a Masters in 18</w:t>
      </w:r>
      <w:r w:rsidRPr="00ED3848">
        <w:rPr>
          <w:rStyle w:val="Emphasis"/>
          <w:rFonts w:cs="Times New Roman"/>
          <w:vertAlign w:val="superscript"/>
          <w:lang w:val="en"/>
        </w:rPr>
        <w:t>th</w:t>
      </w:r>
      <w:r w:rsidRPr="00ED3848">
        <w:rPr>
          <w:rStyle w:val="Emphasis"/>
          <w:rFonts w:cs="Times New Roman"/>
          <w:lang w:val="en"/>
        </w:rPr>
        <w:t xml:space="preserve"> Century Studies at King’s College, London. I undertook the MA whilst </w:t>
      </w:r>
      <w:r w:rsidRPr="00ED3848">
        <w:rPr>
          <w:rStyle w:val="Emphasis"/>
          <w:rFonts w:cs="Times New Roman"/>
          <w:lang w:val="en"/>
        </w:rPr>
        <w:lastRenderedPageBreak/>
        <w:t>working full-time as the National Portrait Gallery’s Events Manger, balancing my work with the Gallery with my studies.</w:t>
      </w:r>
    </w:p>
    <w:p w14:paraId="15E32CDE" w14:textId="77777777" w:rsidR="00606BBD" w:rsidRDefault="00606BBD" w:rsidP="00606BBD">
      <w:pPr>
        <w:spacing w:line="240" w:lineRule="auto"/>
        <w:rPr>
          <w:rFonts w:cs="Times New Roman"/>
        </w:rPr>
      </w:pPr>
    </w:p>
    <w:p w14:paraId="7092C646" w14:textId="77777777" w:rsidR="00606BBD" w:rsidRPr="00ED3848" w:rsidRDefault="00606BBD" w:rsidP="00606BBD">
      <w:pPr>
        <w:spacing w:line="240" w:lineRule="auto"/>
        <w:rPr>
          <w:rFonts w:cs="Times New Roman"/>
        </w:rPr>
      </w:pPr>
      <w:r w:rsidRPr="00ED3848">
        <w:rPr>
          <w:rFonts w:cs="Times New Roman"/>
        </w:rPr>
        <w:t>Natalie Hanley-Smith</w:t>
      </w:r>
      <w:r>
        <w:rPr>
          <w:rFonts w:cs="Times New Roman"/>
        </w:rPr>
        <w:t xml:space="preserve"> (Warwick)</w:t>
      </w:r>
    </w:p>
    <w:p w14:paraId="49CD627E" w14:textId="77777777" w:rsidR="00606BBD" w:rsidRPr="003323E9" w:rsidRDefault="00606BBD" w:rsidP="00606BBD">
      <w:pPr>
        <w:spacing w:line="240" w:lineRule="auto"/>
        <w:rPr>
          <w:rFonts w:cs="Times New Roman"/>
          <w:b/>
        </w:rPr>
      </w:pPr>
      <w:r w:rsidRPr="003323E9">
        <w:rPr>
          <w:rFonts w:cs="Times New Roman"/>
          <w:b/>
        </w:rPr>
        <w:t>“Policing Elite Expectations of Marriage and Propriety in the Devonshire Ménage-à-Trois, c.1783-1806”</w:t>
      </w:r>
    </w:p>
    <w:p w14:paraId="67484760" w14:textId="77777777" w:rsidR="00606BBD" w:rsidRPr="00ED3848" w:rsidRDefault="00606BBD" w:rsidP="00606BBD">
      <w:pPr>
        <w:spacing w:line="240" w:lineRule="auto"/>
        <w:rPr>
          <w:rFonts w:cs="Times New Roman"/>
        </w:rPr>
      </w:pPr>
    </w:p>
    <w:p w14:paraId="5AE71247" w14:textId="77777777" w:rsidR="00606BBD" w:rsidRDefault="00606BBD" w:rsidP="00606BBD">
      <w:pPr>
        <w:spacing w:line="240" w:lineRule="auto"/>
        <w:jc w:val="both"/>
        <w:rPr>
          <w:rFonts w:cs="Times New Roman"/>
        </w:rPr>
      </w:pPr>
      <w:r w:rsidRPr="00ED3848">
        <w:rPr>
          <w:rFonts w:cs="Times New Roman"/>
        </w:rPr>
        <w:t xml:space="preserve">‘The Duke… [could] not help thinking it a most extraordinary circumstance, [that] when a man &amp; his wife both agreed in loving &amp; living with a person, [that] you should be persuaded to imagine there was cause of complaint.’ So wrote the Duchess of Devonshire to her mother, Lady Spencer, in September 1790. The Duchess was of course referring to her unconventional domestic arrangement: Lady Elizabeth Foster, the Duchess’s best friend, who also happened to be her husband’s mistress, had been living with the couple for almost seven years. Whilst the Duke and Duchess believed that their living arrangements had helped the trio to maintain an aura of respectability, the Duchess’s mother contended that they had become the subject of salacious gossip. Lady Spencer tried to emotionally blackmail her daughter, refused to visit the family, and demanded that she choose between her mother and Lady Elizabeth. She even went so far as to place a spy in the Duchess’s household. Despite her determination to restore her daughter’s household to normality, Lady Spencer refused outright to discuss the matter with the Duke, even though her daughter implored her to on more than one occasion. Using correspondence from the archives at Chatsworth House, this paper will examine how women tried to police the </w:t>
      </w:r>
      <w:proofErr w:type="spellStart"/>
      <w:r w:rsidRPr="00ED3848">
        <w:rPr>
          <w:rFonts w:cs="Times New Roman"/>
        </w:rPr>
        <w:t>behaviour</w:t>
      </w:r>
      <w:proofErr w:type="spellEnd"/>
      <w:r w:rsidRPr="00ED3848">
        <w:rPr>
          <w:rFonts w:cs="Times New Roman"/>
        </w:rPr>
        <w:t xml:space="preserve"> of other women in an aristocratic family. I will argue that women evoked language based on contemporary expectations of marriage, familial responsibility, and friendship, in attempts to coerce others into maintaining the appearance of respectability. This analysis will include not only the interaction between mother and daughter regarding the ménage-à-trois, but will also consider the Duchess’s own attempts to police Lady Elizabeth’s conduct when they were apart; any stains on Lady Elizabeth’s character could reflect badly on the whole ménage. The “immoral” </w:t>
      </w:r>
      <w:proofErr w:type="spellStart"/>
      <w:r w:rsidRPr="00ED3848">
        <w:rPr>
          <w:rFonts w:cs="Times New Roman"/>
        </w:rPr>
        <w:t>behaviour</w:t>
      </w:r>
      <w:proofErr w:type="spellEnd"/>
      <w:r w:rsidRPr="00ED3848">
        <w:rPr>
          <w:rFonts w:cs="Times New Roman"/>
        </w:rPr>
        <w:t xml:space="preserve"> of the aristocracy came under attack in the turbulent political culture of the late eighteenth century. Some scholars have suggested that members of the aristocracy could, and did, still behave as outrageously as they pleased. Conversely, others have questioned this assumption, instead suggesting that sexual reputation and public image were very important. This paper will concur with the second argument, as although they were from the very upper echelons of society, extremely wealthy, and wielded significant political power, in private the Duke, Duchess, and other relatives were extremely concerned about how the ménage-à-trois might compromise the family’s reputation. </w:t>
      </w:r>
    </w:p>
    <w:p w14:paraId="6DB516EA" w14:textId="77777777" w:rsidR="00606BBD" w:rsidRPr="00ED3848" w:rsidRDefault="00606BBD" w:rsidP="00606BBD">
      <w:pPr>
        <w:spacing w:line="240" w:lineRule="auto"/>
        <w:rPr>
          <w:rFonts w:cs="Times New Roman"/>
        </w:rPr>
      </w:pPr>
    </w:p>
    <w:p w14:paraId="54243093" w14:textId="77777777" w:rsidR="00606BBD" w:rsidRDefault="00606BBD" w:rsidP="00606BBD">
      <w:pPr>
        <w:spacing w:line="240" w:lineRule="auto"/>
        <w:rPr>
          <w:rFonts w:cs="Times New Roman"/>
        </w:rPr>
      </w:pPr>
    </w:p>
    <w:p w14:paraId="3E5D2E0A" w14:textId="77777777" w:rsidR="00606BBD" w:rsidRDefault="00606BBD" w:rsidP="00606BBD">
      <w:pPr>
        <w:spacing w:line="240" w:lineRule="auto"/>
        <w:rPr>
          <w:rFonts w:cs="Times New Roman"/>
        </w:rPr>
      </w:pPr>
      <w:r>
        <w:rPr>
          <w:rFonts w:cs="Times New Roman"/>
        </w:rPr>
        <w:t>FRIDAY</w:t>
      </w:r>
    </w:p>
    <w:p w14:paraId="21630C65" w14:textId="77777777" w:rsidR="00606BBD" w:rsidRPr="00ED3848" w:rsidRDefault="00606BBD" w:rsidP="00606BBD">
      <w:pPr>
        <w:widowControl w:val="0"/>
        <w:autoSpaceDE w:val="0"/>
        <w:autoSpaceDN w:val="0"/>
        <w:adjustRightInd w:val="0"/>
        <w:spacing w:after="240" w:line="240" w:lineRule="auto"/>
        <w:rPr>
          <w:rFonts w:cs="Times New Roman"/>
        </w:rPr>
      </w:pPr>
      <w:r w:rsidRPr="00ED3848">
        <w:rPr>
          <w:rFonts w:cs="Times New Roman"/>
        </w:rPr>
        <w:t>Margie Housley</w:t>
      </w:r>
      <w:r>
        <w:rPr>
          <w:rFonts w:cs="Times New Roman"/>
        </w:rPr>
        <w:t xml:space="preserve"> (Notre Dame)</w:t>
      </w:r>
    </w:p>
    <w:p w14:paraId="6FDF3FCD" w14:textId="77777777" w:rsidR="00606BBD" w:rsidRPr="003323E9" w:rsidRDefault="00606BBD" w:rsidP="00606BBD">
      <w:pPr>
        <w:widowControl w:val="0"/>
        <w:autoSpaceDE w:val="0"/>
        <w:autoSpaceDN w:val="0"/>
        <w:adjustRightInd w:val="0"/>
        <w:spacing w:after="240" w:line="240" w:lineRule="auto"/>
        <w:rPr>
          <w:rFonts w:cs="Times New Roman"/>
          <w:b/>
        </w:rPr>
      </w:pPr>
      <w:r w:rsidRPr="003323E9">
        <w:rPr>
          <w:rFonts w:cs="Times New Roman"/>
          <w:b/>
        </w:rPr>
        <w:t xml:space="preserve">“Heart without Sentiment”: De-Gendering the Sublime in Mary Wollstonecraft’s </w:t>
      </w:r>
      <w:r w:rsidRPr="003323E9">
        <w:rPr>
          <w:rFonts w:cs="Times New Roman"/>
          <w:b/>
          <w:i/>
          <w:iCs/>
        </w:rPr>
        <w:t xml:space="preserve">Letters Written </w:t>
      </w:r>
      <w:proofErr w:type="gramStart"/>
      <w:r w:rsidRPr="003323E9">
        <w:rPr>
          <w:rFonts w:cs="Times New Roman"/>
          <w:b/>
          <w:i/>
          <w:iCs/>
        </w:rPr>
        <w:t>During</w:t>
      </w:r>
      <w:proofErr w:type="gramEnd"/>
      <w:r w:rsidRPr="003323E9">
        <w:rPr>
          <w:rFonts w:cs="Times New Roman"/>
          <w:b/>
          <w:i/>
          <w:iCs/>
        </w:rPr>
        <w:t xml:space="preserve"> a Short Residence in Sweden, Norway, and Denmark </w:t>
      </w:r>
    </w:p>
    <w:p w14:paraId="629F95C1" w14:textId="77777777" w:rsidR="00606BBD" w:rsidRPr="00ED3848" w:rsidRDefault="00606BBD" w:rsidP="00606BBD">
      <w:pPr>
        <w:widowControl w:val="0"/>
        <w:autoSpaceDE w:val="0"/>
        <w:autoSpaceDN w:val="0"/>
        <w:adjustRightInd w:val="0"/>
        <w:spacing w:after="240" w:line="240" w:lineRule="auto"/>
        <w:rPr>
          <w:rFonts w:cs="Times New Roman"/>
        </w:rPr>
      </w:pPr>
      <w:r w:rsidRPr="00ED3848">
        <w:rPr>
          <w:rFonts w:cs="Times New Roman"/>
        </w:rPr>
        <w:t xml:space="preserve">“This is not the first time I have remarked heart without sentiment: they are distinct. The former depends on the rectitude of the feelings, on truth of sympathy ... The latter has a </w:t>
      </w:r>
      <w:r w:rsidRPr="00ED3848">
        <w:rPr>
          <w:rFonts w:cs="Times New Roman"/>
        </w:rPr>
        <w:lastRenderedPageBreak/>
        <w:t>higher source; call it imagination, genius, or what you will, it is something very different” (Letter X).</w:t>
      </w:r>
      <w:r w:rsidRPr="00ED3848">
        <w:rPr>
          <w:rFonts w:cs="Times New Roman"/>
          <w:position w:val="13"/>
        </w:rPr>
        <w:t xml:space="preserve">1 </w:t>
      </w:r>
      <w:r w:rsidRPr="00ED3848">
        <w:rPr>
          <w:rFonts w:cs="Times New Roman"/>
        </w:rPr>
        <w:t xml:space="preserve">Mary Wollstonecraft’s </w:t>
      </w:r>
      <w:r w:rsidRPr="00ED3848">
        <w:rPr>
          <w:rFonts w:cs="Times New Roman"/>
          <w:i/>
          <w:iCs/>
        </w:rPr>
        <w:t xml:space="preserve">Letters Written During a Short Residence in Sweden, Norway, and Denmark </w:t>
      </w:r>
      <w:r w:rsidRPr="00ED3848">
        <w:rPr>
          <w:rFonts w:cs="Times New Roman"/>
          <w:color w:val="1A1A1A"/>
        </w:rPr>
        <w:t xml:space="preserve">(1796) </w:t>
      </w:r>
      <w:r w:rsidRPr="00ED3848">
        <w:rPr>
          <w:rFonts w:cs="Times New Roman"/>
        </w:rPr>
        <w:t>are sometimes viewed as a failure of both the travel-writing genre and Wollstonecraft’s middle-class cultural beliefs.</w:t>
      </w:r>
      <w:r w:rsidRPr="00ED3848">
        <w:rPr>
          <w:rFonts w:cs="Times New Roman"/>
          <w:position w:val="13"/>
        </w:rPr>
        <w:t xml:space="preserve">2 </w:t>
      </w:r>
      <w:r w:rsidRPr="00ED3848">
        <w:rPr>
          <w:rFonts w:cs="Times New Roman"/>
          <w:color w:val="1A1A1A"/>
        </w:rPr>
        <w:t xml:space="preserve">However, </w:t>
      </w:r>
      <w:r w:rsidRPr="00ED3848">
        <w:rPr>
          <w:rFonts w:cs="Times New Roman"/>
        </w:rPr>
        <w:t xml:space="preserve">writing in a different genre from her earlier political polemics, Wollstonecraft uses the </w:t>
      </w:r>
      <w:r w:rsidRPr="00ED3848">
        <w:rPr>
          <w:rFonts w:cs="Times New Roman"/>
          <w:i/>
          <w:iCs/>
        </w:rPr>
        <w:t xml:space="preserve">Letters </w:t>
      </w:r>
      <w:r w:rsidRPr="00ED3848">
        <w:rPr>
          <w:rFonts w:cs="Times New Roman"/>
        </w:rPr>
        <w:t xml:space="preserve">to refine her radical philosophies. In particular, she uses affective responses—to nature, to the people she encounters in Scandinavia, to her separation from her infant daughter, to her fraught relationship with former lover Gilbert Imlay—as a rhetorical tool through which she develops her ideas, structures the </w:t>
      </w:r>
      <w:r w:rsidRPr="00ED3848">
        <w:rPr>
          <w:rFonts w:cs="Times New Roman"/>
          <w:i/>
          <w:iCs/>
        </w:rPr>
        <w:t>Letters</w:t>
      </w:r>
      <w:r w:rsidRPr="00ED3848">
        <w:rPr>
          <w:rFonts w:cs="Times New Roman"/>
        </w:rPr>
        <w:t xml:space="preserve">, and accesses the sublime. </w:t>
      </w:r>
    </w:p>
    <w:p w14:paraId="1F40F7BD" w14:textId="77777777" w:rsidR="00606BBD" w:rsidRPr="00ED3848" w:rsidRDefault="00606BBD" w:rsidP="00606BBD">
      <w:pPr>
        <w:widowControl w:val="0"/>
        <w:autoSpaceDE w:val="0"/>
        <w:autoSpaceDN w:val="0"/>
        <w:adjustRightInd w:val="0"/>
        <w:spacing w:after="240" w:line="240" w:lineRule="auto"/>
        <w:rPr>
          <w:rFonts w:cs="Times New Roman"/>
        </w:rPr>
      </w:pPr>
      <w:r w:rsidRPr="00ED3848">
        <w:rPr>
          <w:rFonts w:cs="Times New Roman"/>
        </w:rPr>
        <w:t xml:space="preserve">Wollstonecraft uses sentiment to destabilize the dichotomy between the “masculine” sublime and the “feminine” sentimentality set up by Edmund Burke and other Romantic and pre- Romantic writers. The </w:t>
      </w:r>
      <w:r w:rsidRPr="00ED3848">
        <w:rPr>
          <w:rFonts w:cs="Times New Roman"/>
          <w:i/>
          <w:iCs/>
        </w:rPr>
        <w:t xml:space="preserve">Letters </w:t>
      </w:r>
      <w:r w:rsidRPr="00ED3848">
        <w:rPr>
          <w:rFonts w:cs="Times New Roman"/>
        </w:rPr>
        <w:t xml:space="preserve">recreate Wollstonecraft’s affective responses in the reader by systematically defining her experiences through what I call a “rhetoric of sentiment.” By experiencing the “masculine” sublime </w:t>
      </w:r>
      <w:r w:rsidRPr="00ED3848">
        <w:rPr>
          <w:rFonts w:cs="Times New Roman"/>
          <w:i/>
          <w:iCs/>
        </w:rPr>
        <w:t xml:space="preserve">through </w:t>
      </w:r>
      <w:r w:rsidRPr="00ED3848">
        <w:rPr>
          <w:rFonts w:cs="Times New Roman"/>
        </w:rPr>
        <w:t xml:space="preserve">“feminine” sentiment, Wollstonecraft undermines the misogynistic approaches of Burke, Rousseau, and other political philosophers. Her intentional sentimentality becomes a new way to experience the sublime, subverting the </w:t>
      </w:r>
      <w:proofErr w:type="spellStart"/>
      <w:r w:rsidRPr="00ED3848">
        <w:rPr>
          <w:rFonts w:cs="Times New Roman"/>
        </w:rPr>
        <w:t>essentialized</w:t>
      </w:r>
      <w:proofErr w:type="spellEnd"/>
      <w:r w:rsidRPr="00ED3848">
        <w:rPr>
          <w:rFonts w:cs="Times New Roman"/>
        </w:rPr>
        <w:t xml:space="preserve"> gender expectations of Romantic and pre-Romantic writing, and through that subversion, furthering her larger political project. </w:t>
      </w:r>
    </w:p>
    <w:p w14:paraId="1A6CD359" w14:textId="77777777" w:rsidR="00606BBD" w:rsidRPr="00032579" w:rsidRDefault="00606BBD" w:rsidP="00606BBD">
      <w:pPr>
        <w:widowControl w:val="0"/>
        <w:autoSpaceDE w:val="0"/>
        <w:autoSpaceDN w:val="0"/>
        <w:adjustRightInd w:val="0"/>
        <w:spacing w:after="240" w:line="240" w:lineRule="auto"/>
        <w:rPr>
          <w:rFonts w:cs="Times New Roman"/>
          <w:b/>
        </w:rPr>
      </w:pPr>
      <w:r w:rsidRPr="00032579">
        <w:rPr>
          <w:rFonts w:cs="Times New Roman"/>
          <w:b/>
        </w:rPr>
        <w:t>Bio</w:t>
      </w:r>
    </w:p>
    <w:p w14:paraId="5BF4ADF6" w14:textId="77777777" w:rsidR="00606BBD" w:rsidRDefault="00606BBD" w:rsidP="00606BBD">
      <w:pPr>
        <w:widowControl w:val="0"/>
        <w:autoSpaceDE w:val="0"/>
        <w:autoSpaceDN w:val="0"/>
        <w:adjustRightInd w:val="0"/>
        <w:spacing w:after="240" w:line="240" w:lineRule="auto"/>
        <w:rPr>
          <w:rFonts w:cs="Times New Roman"/>
        </w:rPr>
      </w:pPr>
      <w:r w:rsidRPr="00ED3848">
        <w:rPr>
          <w:rFonts w:cs="Times New Roman"/>
        </w:rPr>
        <w:t xml:space="preserve">Margie Housley is a third-year PhD Candidate in English at the University </w:t>
      </w:r>
      <w:proofErr w:type="gramStart"/>
      <w:r w:rsidRPr="00ED3848">
        <w:rPr>
          <w:rFonts w:cs="Times New Roman"/>
        </w:rPr>
        <w:t>of</w:t>
      </w:r>
      <w:proofErr w:type="gramEnd"/>
      <w:r w:rsidRPr="00ED3848">
        <w:rPr>
          <w:rFonts w:cs="Times New Roman"/>
        </w:rPr>
        <w:t xml:space="preserve"> Notre Dame, completing concurrent graduate minors in Irish Studies and Gender Studies. Her primary research focuses on vernacular literatures of the early medieval North Seas, in particular the intersection of gender and affect. In addition, she is particularly interested in constructions of space &amp; enclosure, dreams &amp; visions, and sexuality. She is currently beginning her dissertation, tentatively titled “Sexual Feelings: Emotional </w:t>
      </w:r>
      <w:proofErr w:type="spellStart"/>
      <w:r w:rsidRPr="00ED3848">
        <w:rPr>
          <w:rFonts w:cs="Times New Roman"/>
        </w:rPr>
        <w:t>Erotics</w:t>
      </w:r>
      <w:proofErr w:type="spellEnd"/>
      <w:r w:rsidRPr="00ED3848">
        <w:rPr>
          <w:rFonts w:cs="Times New Roman"/>
        </w:rPr>
        <w:t xml:space="preserve"> in Early Medieval Britain, Ireland, and Scandinavia.” </w:t>
      </w:r>
    </w:p>
    <w:p w14:paraId="378CFD3E" w14:textId="77777777" w:rsidR="00F8097C" w:rsidRDefault="00F8097C" w:rsidP="00606BBD">
      <w:pPr>
        <w:widowControl w:val="0"/>
        <w:autoSpaceDE w:val="0"/>
        <w:autoSpaceDN w:val="0"/>
        <w:adjustRightInd w:val="0"/>
        <w:spacing w:after="240" w:line="240" w:lineRule="auto"/>
        <w:rPr>
          <w:rFonts w:cs="Times New Roman"/>
        </w:rPr>
      </w:pPr>
    </w:p>
    <w:p w14:paraId="58627C8A" w14:textId="77777777" w:rsidR="00F8097C" w:rsidRDefault="00F8097C" w:rsidP="00F8097C">
      <w:pPr>
        <w:spacing w:line="276" w:lineRule="auto"/>
        <w:rPr>
          <w:smallCaps/>
        </w:rPr>
      </w:pPr>
    </w:p>
    <w:p w14:paraId="75F312F3" w14:textId="1300FE53" w:rsidR="00F8097C" w:rsidRPr="003323E9" w:rsidRDefault="00F8097C" w:rsidP="00F8097C">
      <w:pPr>
        <w:spacing w:line="276" w:lineRule="auto"/>
        <w:rPr>
          <w:b/>
        </w:rPr>
      </w:pPr>
      <w:r>
        <w:rPr>
          <w:smallCaps/>
        </w:rPr>
        <w:t xml:space="preserve">Ian Newman: </w:t>
      </w:r>
      <w:r w:rsidRPr="00F8097C">
        <w:rPr>
          <w:smallCaps/>
        </w:rPr>
        <w:t xml:space="preserve"> </w:t>
      </w:r>
      <w:r w:rsidRPr="003323E9">
        <w:rPr>
          <w:b/>
          <w:smallCaps/>
        </w:rPr>
        <w:t>Alehouse Women</w:t>
      </w:r>
    </w:p>
    <w:p w14:paraId="092ADF34" w14:textId="77777777" w:rsidR="00F8097C" w:rsidRDefault="00F8097C" w:rsidP="00F8097C">
      <w:pPr>
        <w:spacing w:line="276" w:lineRule="auto"/>
      </w:pPr>
      <w:r>
        <w:t xml:space="preserve">This paper explores women’s presence in alehouses in the 1790s in order to consider how much the gendered nature of sociability contributed to women’s exclusion from political debate. I have in mind two contrasting views of alehouse women: the first is Judith Bennett’s account of </w:t>
      </w:r>
      <w:proofErr w:type="spellStart"/>
      <w:proofErr w:type="gramStart"/>
      <w:r>
        <w:t>brewsters</w:t>
      </w:r>
      <w:proofErr w:type="spellEnd"/>
      <w:proofErr w:type="gramEnd"/>
      <w:r>
        <w:t xml:space="preserve"> in the early modern period, which describes how most alehouses were run by women, with brewing considered a domestic task, an offshoot of bread making, and one of the few ways that single women could gain economic independence. The second is Catherine Hall’s account of women’s systematic exclusion from political debate in the early nineteenth century. “The fact that the location of...many of the clubs [in which politics were discussed] was in the tavern,” Hall argues</w:t>
      </w:r>
      <w:proofErr w:type="gramStart"/>
      <w:r>
        <w:t>,  “</w:t>
      </w:r>
      <w:proofErr w:type="gramEnd"/>
      <w:r>
        <w:t xml:space="preserve">clarifies one reason for women’s exclusion from them. Pubs were increasingly being defined as </w:t>
      </w:r>
      <w:r>
        <w:lastRenderedPageBreak/>
        <w:t>inappropriate settings for women who wished to maintain their gentility in the late eighteenth and early nineteenth centuries.”</w:t>
      </w:r>
    </w:p>
    <w:p w14:paraId="4CC18929" w14:textId="77777777" w:rsidR="00F8097C" w:rsidRDefault="00F8097C" w:rsidP="00F8097C">
      <w:pPr>
        <w:spacing w:line="276" w:lineRule="auto"/>
      </w:pPr>
      <w:r>
        <w:tab/>
        <w:t>By focusing on women’s presence in alehouses in the 1790s I hope to shed some light on this transition. Contrasting evidence from Patrick Colquhoun’s and Hannah More will be measured against documents from the Old Bailey Papers, and the papers of the London Corresponding Society. Together these sources suggest that women had much greater presence in alehouses than we often imagine, and that they were frequently involved in political debates in the years following the French Revolution. But they also suggest that women’s ability to participate in alehouse politics was compromised by the need for political societies to portray themselves as “respectable” at a time when loyalists spent much energy forging a connection between political reform and moral depravity.</w:t>
      </w:r>
    </w:p>
    <w:p w14:paraId="37B7B75F" w14:textId="77777777" w:rsidR="00F8097C" w:rsidRDefault="00F8097C" w:rsidP="00F8097C">
      <w:pPr>
        <w:spacing w:line="276" w:lineRule="auto"/>
      </w:pPr>
    </w:p>
    <w:p w14:paraId="7458FBD0" w14:textId="77777777" w:rsidR="00606BBD" w:rsidRDefault="00606BBD" w:rsidP="00606BBD">
      <w:pPr>
        <w:spacing w:line="240" w:lineRule="auto"/>
        <w:rPr>
          <w:rFonts w:cs="Times New Roman"/>
        </w:rPr>
      </w:pPr>
    </w:p>
    <w:p w14:paraId="14C1469D" w14:textId="77777777" w:rsidR="00606BBD" w:rsidRPr="00ED3848" w:rsidRDefault="00606BBD" w:rsidP="00606BBD">
      <w:pPr>
        <w:spacing w:line="240" w:lineRule="auto"/>
        <w:rPr>
          <w:rFonts w:cs="Times New Roman"/>
        </w:rPr>
      </w:pPr>
      <w:r w:rsidRPr="00ED3848">
        <w:rPr>
          <w:rFonts w:cs="Times New Roman"/>
        </w:rPr>
        <w:t>Emma Major</w:t>
      </w:r>
      <w:r>
        <w:rPr>
          <w:rFonts w:cs="Times New Roman"/>
        </w:rPr>
        <w:t xml:space="preserve"> (York)</w:t>
      </w:r>
    </w:p>
    <w:p w14:paraId="55BEA5D0" w14:textId="77777777" w:rsidR="00606BBD" w:rsidRPr="003323E9" w:rsidRDefault="00606BBD" w:rsidP="00606BBD">
      <w:pPr>
        <w:spacing w:line="240" w:lineRule="auto"/>
        <w:rPr>
          <w:rFonts w:cs="Times New Roman"/>
          <w:b/>
        </w:rPr>
      </w:pPr>
      <w:r w:rsidRPr="003323E9">
        <w:rPr>
          <w:rFonts w:cs="Times New Roman"/>
          <w:b/>
        </w:rPr>
        <w:t xml:space="preserve">Propriety and Genre: </w:t>
      </w:r>
      <w:proofErr w:type="spellStart"/>
      <w:r w:rsidRPr="003323E9">
        <w:rPr>
          <w:rFonts w:cs="Times New Roman"/>
          <w:b/>
        </w:rPr>
        <w:t>Barbauld’s</w:t>
      </w:r>
      <w:proofErr w:type="spellEnd"/>
      <w:r w:rsidRPr="003323E9">
        <w:rPr>
          <w:rFonts w:cs="Times New Roman"/>
          <w:b/>
        </w:rPr>
        <w:t xml:space="preserve"> Sermons</w:t>
      </w:r>
    </w:p>
    <w:p w14:paraId="0DEBFFEC" w14:textId="77777777" w:rsidR="00606BBD" w:rsidRPr="003323E9" w:rsidRDefault="00606BBD" w:rsidP="00606BBD">
      <w:pPr>
        <w:autoSpaceDE w:val="0"/>
        <w:autoSpaceDN w:val="0"/>
        <w:adjustRightInd w:val="0"/>
        <w:spacing w:line="240" w:lineRule="auto"/>
        <w:rPr>
          <w:rFonts w:cs="Times New Roman"/>
          <w:b/>
        </w:rPr>
      </w:pPr>
    </w:p>
    <w:p w14:paraId="31C5AEAB" w14:textId="77777777" w:rsidR="00606BBD" w:rsidRPr="00ED3848" w:rsidRDefault="00606BBD" w:rsidP="00606BBD">
      <w:pPr>
        <w:autoSpaceDE w:val="0"/>
        <w:autoSpaceDN w:val="0"/>
        <w:adjustRightInd w:val="0"/>
        <w:spacing w:line="240" w:lineRule="auto"/>
        <w:rPr>
          <w:rFonts w:cs="Times New Roman"/>
        </w:rPr>
      </w:pPr>
      <w:r w:rsidRPr="00ED3848">
        <w:rPr>
          <w:rFonts w:cs="Times New Roman"/>
        </w:rPr>
        <w:t xml:space="preserve">In the 1790s, in the wake of the French Revolution, there was an intriguing but little-discussed rise in women of various denominations writing and publishing sermons, usually anonymously. In this paper I’ll focus on those by the Dissenting writer Anna </w:t>
      </w:r>
      <w:proofErr w:type="spellStart"/>
      <w:r w:rsidRPr="00ED3848">
        <w:rPr>
          <w:rFonts w:cs="Times New Roman"/>
        </w:rPr>
        <w:t>Laetitia</w:t>
      </w:r>
      <w:proofErr w:type="spellEnd"/>
      <w:r w:rsidRPr="00ED3848">
        <w:rPr>
          <w:rFonts w:cs="Times New Roman"/>
        </w:rPr>
        <w:t xml:space="preserve"> </w:t>
      </w:r>
      <w:proofErr w:type="spellStart"/>
      <w:r w:rsidRPr="00ED3848">
        <w:rPr>
          <w:rFonts w:cs="Times New Roman"/>
        </w:rPr>
        <w:t>Barbauld</w:t>
      </w:r>
      <w:proofErr w:type="spellEnd"/>
      <w:r w:rsidRPr="00ED3848">
        <w:rPr>
          <w:rFonts w:cs="Times New Roman"/>
        </w:rPr>
        <w:t xml:space="preserve"> (née </w:t>
      </w:r>
      <w:proofErr w:type="spellStart"/>
      <w:r w:rsidRPr="00ED3848">
        <w:rPr>
          <w:rFonts w:cs="Times New Roman"/>
        </w:rPr>
        <w:t>Aikin</w:t>
      </w:r>
      <w:proofErr w:type="spellEnd"/>
      <w:r w:rsidRPr="00ED3848">
        <w:rPr>
          <w:rFonts w:cs="Times New Roman"/>
        </w:rPr>
        <w:t xml:space="preserve">). Born into an educated Presbyterian family, she wrote across many genres and achieved early fame with her 1773 Poems. </w:t>
      </w:r>
      <w:proofErr w:type="spellStart"/>
      <w:r w:rsidRPr="00ED3848">
        <w:rPr>
          <w:rFonts w:cs="Times New Roman"/>
        </w:rPr>
        <w:t>Barbauld</w:t>
      </w:r>
      <w:proofErr w:type="spellEnd"/>
      <w:r w:rsidRPr="00ED3848">
        <w:rPr>
          <w:rFonts w:cs="Times New Roman"/>
        </w:rPr>
        <w:t xml:space="preserve"> published under her own maiden and married names, but also anonymously, according to the genre and historical moment. In this paper I’ll discuss her anonymous Civic Sermons (1792) and Sins of Government, Sins of the Nation (1793), in which she uses the sermon form innovatively and effectively to encourage her ‘Brethren’ to read themselves into narratives of nation and government. </w:t>
      </w:r>
    </w:p>
    <w:p w14:paraId="07CA96DD" w14:textId="77777777" w:rsidR="00606BBD" w:rsidRPr="00ED3848" w:rsidRDefault="00606BBD" w:rsidP="00606BBD">
      <w:pPr>
        <w:autoSpaceDE w:val="0"/>
        <w:autoSpaceDN w:val="0"/>
        <w:adjustRightInd w:val="0"/>
        <w:spacing w:line="240" w:lineRule="auto"/>
        <w:rPr>
          <w:rFonts w:cs="Times New Roman"/>
        </w:rPr>
      </w:pPr>
    </w:p>
    <w:p w14:paraId="020A4D5E" w14:textId="77777777" w:rsidR="00606BBD" w:rsidRPr="00ED3848" w:rsidRDefault="00606BBD" w:rsidP="00606BBD">
      <w:pPr>
        <w:autoSpaceDE w:val="0"/>
        <w:autoSpaceDN w:val="0"/>
        <w:adjustRightInd w:val="0"/>
        <w:spacing w:line="240" w:lineRule="auto"/>
        <w:rPr>
          <w:rFonts w:cs="Times New Roman"/>
        </w:rPr>
      </w:pPr>
      <w:proofErr w:type="spellStart"/>
      <w:r w:rsidRPr="00ED3848">
        <w:rPr>
          <w:rFonts w:cs="Times New Roman"/>
        </w:rPr>
        <w:t>Barbauld’s</w:t>
      </w:r>
      <w:proofErr w:type="spellEnd"/>
      <w:r w:rsidRPr="00ED3848">
        <w:rPr>
          <w:rFonts w:cs="Times New Roman"/>
        </w:rPr>
        <w:t xml:space="preserve"> anonymity was adopted at a time when she was a famous poet - the young Samuel Taylor Coleridge walked 40 miles to meet her - and was an established figure in literary circles. I’m interested in exploring ways in which the anonymity she adopted for these publications functioned socially and publicly as a gesture of propriety licensing her venture into a very masculine genre. The print form allowed her to preach anonymously where she could not, as a woman, take the pulpit in her own church. </w:t>
      </w:r>
      <w:proofErr w:type="spellStart"/>
      <w:r w:rsidRPr="00ED3848">
        <w:rPr>
          <w:rFonts w:cs="Times New Roman"/>
        </w:rPr>
        <w:t>Barbauld’s</w:t>
      </w:r>
      <w:proofErr w:type="spellEnd"/>
      <w:r w:rsidRPr="00ED3848">
        <w:rPr>
          <w:rFonts w:cs="Times New Roman"/>
        </w:rPr>
        <w:t xml:space="preserve"> choice of anonymity for her political intervention was strategic, and her wariness validated: the criticism she received for daring publicly to comment on political events under her own name in her magnificent prophetic poem Eighteen Hundred and Eleven was so vicious she stopped publishing poetry and retreated into editing. Her sermonic writings form an exciting, daring appropriation of a genre that asserts the importance of all citizens to the national community.</w:t>
      </w:r>
    </w:p>
    <w:p w14:paraId="6046C1A6" w14:textId="77777777" w:rsidR="00606BBD" w:rsidRPr="00ED3848" w:rsidRDefault="00606BBD" w:rsidP="00606BBD">
      <w:pPr>
        <w:autoSpaceDE w:val="0"/>
        <w:autoSpaceDN w:val="0"/>
        <w:adjustRightInd w:val="0"/>
        <w:spacing w:line="240" w:lineRule="auto"/>
        <w:rPr>
          <w:rFonts w:cs="Times New Roman"/>
        </w:rPr>
      </w:pPr>
    </w:p>
    <w:p w14:paraId="3EAD9FF6" w14:textId="77777777" w:rsidR="00606BBD" w:rsidRPr="00EF729B" w:rsidRDefault="00606BBD" w:rsidP="00606BBD">
      <w:pPr>
        <w:spacing w:line="240" w:lineRule="auto"/>
        <w:rPr>
          <w:rFonts w:cs="Times New Roman"/>
          <w:b/>
        </w:rPr>
      </w:pPr>
      <w:r w:rsidRPr="00EF729B">
        <w:rPr>
          <w:rFonts w:cs="Times New Roman"/>
          <w:b/>
        </w:rPr>
        <w:t>Bio</w:t>
      </w:r>
    </w:p>
    <w:p w14:paraId="25DE6B99" w14:textId="77777777" w:rsidR="00606BBD" w:rsidRPr="00ED3848" w:rsidRDefault="00606BBD" w:rsidP="00606BBD">
      <w:pPr>
        <w:spacing w:line="240" w:lineRule="auto"/>
        <w:rPr>
          <w:rFonts w:cs="Times New Roman"/>
        </w:rPr>
      </w:pPr>
      <w:r w:rsidRPr="00ED3848">
        <w:rPr>
          <w:rFonts w:cs="Times New Roman"/>
        </w:rPr>
        <w:t xml:space="preserve">Emma Major is a Senior Lecturer at the Centre for Eighteenth-Century Studies and Department of English and Related Literature at the University of York. She is author of Madam Britannia: Women, Church and Nation 1712-1812 (Oxford UP, 2011), and is </w:t>
      </w:r>
      <w:r w:rsidRPr="00ED3848">
        <w:rPr>
          <w:rFonts w:cs="Times New Roman"/>
        </w:rPr>
        <w:lastRenderedPageBreak/>
        <w:t>currently working on a project on religion and citizenship 1789-1829, for which she was awarded a 2016 British Academy Mid-Career Fellowship.</w:t>
      </w:r>
    </w:p>
    <w:p w14:paraId="158CEF19" w14:textId="77777777" w:rsidR="00606BBD" w:rsidRDefault="00606BBD" w:rsidP="00606BBD">
      <w:pPr>
        <w:spacing w:line="240" w:lineRule="auto"/>
        <w:rPr>
          <w:rFonts w:cs="Times New Roman"/>
        </w:rPr>
      </w:pPr>
    </w:p>
    <w:p w14:paraId="55ACC61E" w14:textId="77777777" w:rsidR="00606BBD" w:rsidRDefault="00606BBD" w:rsidP="00606BBD">
      <w:pPr>
        <w:spacing w:line="240" w:lineRule="auto"/>
        <w:rPr>
          <w:rFonts w:cs="Times New Roman"/>
        </w:rPr>
      </w:pPr>
    </w:p>
    <w:p w14:paraId="4B96BB0D" w14:textId="77777777" w:rsidR="00606BBD" w:rsidRDefault="00606BBD" w:rsidP="00606BBD">
      <w:pPr>
        <w:spacing w:line="240" w:lineRule="auto"/>
        <w:rPr>
          <w:rFonts w:cs="Times New Roman"/>
        </w:rPr>
      </w:pPr>
    </w:p>
    <w:p w14:paraId="4A652A0D" w14:textId="28FBE76F" w:rsidR="00690A8E" w:rsidRDefault="00F92A8D" w:rsidP="00606BBD">
      <w:pPr>
        <w:spacing w:line="240" w:lineRule="auto"/>
        <w:rPr>
          <w:rFonts w:cs="Times New Roman"/>
        </w:rPr>
      </w:pPr>
      <w:r w:rsidRPr="00ED3848">
        <w:rPr>
          <w:rFonts w:cs="Times New Roman"/>
        </w:rPr>
        <w:t>Julie Watt</w:t>
      </w:r>
      <w:r w:rsidR="00690A8E">
        <w:rPr>
          <w:rFonts w:cs="Times New Roman"/>
        </w:rPr>
        <w:t xml:space="preserve"> (Independent)</w:t>
      </w:r>
      <w:r w:rsidRPr="00ED3848">
        <w:rPr>
          <w:rFonts w:cs="Times New Roman"/>
        </w:rPr>
        <w:t xml:space="preserve">: </w:t>
      </w:r>
    </w:p>
    <w:p w14:paraId="09CDA670" w14:textId="260B105D" w:rsidR="00F92A8D" w:rsidRPr="003323E9" w:rsidRDefault="00F92A8D" w:rsidP="00ED3848">
      <w:pPr>
        <w:spacing w:line="240" w:lineRule="auto"/>
        <w:rPr>
          <w:rFonts w:cs="Times New Roman"/>
          <w:b/>
        </w:rPr>
      </w:pPr>
      <w:r w:rsidRPr="003323E9">
        <w:rPr>
          <w:rFonts w:cs="Times New Roman"/>
          <w:b/>
        </w:rPr>
        <w:t>The Scottish Austen</w:t>
      </w:r>
    </w:p>
    <w:p w14:paraId="38445BC1" w14:textId="77777777" w:rsidR="00F92A8D" w:rsidRPr="00ED3848" w:rsidRDefault="00F92A8D" w:rsidP="00ED3848">
      <w:pPr>
        <w:spacing w:line="240" w:lineRule="auto"/>
        <w:rPr>
          <w:rFonts w:cs="Times New Roman"/>
        </w:rPr>
      </w:pPr>
    </w:p>
    <w:p w14:paraId="3180CC1D" w14:textId="77777777" w:rsidR="00F92A8D" w:rsidRPr="00ED3848" w:rsidRDefault="00F92A8D" w:rsidP="00ED3848">
      <w:pPr>
        <w:spacing w:line="240" w:lineRule="auto"/>
        <w:rPr>
          <w:rFonts w:cs="Times New Roman"/>
        </w:rPr>
      </w:pPr>
      <w:r w:rsidRPr="00ED3848">
        <w:rPr>
          <w:rFonts w:cs="Times New Roman"/>
        </w:rPr>
        <w:t xml:space="preserve">Susan </w:t>
      </w:r>
      <w:proofErr w:type="spellStart"/>
      <w:r w:rsidRPr="00ED3848">
        <w:rPr>
          <w:rFonts w:cs="Times New Roman"/>
        </w:rPr>
        <w:t>Edmonstone</w:t>
      </w:r>
      <w:proofErr w:type="spellEnd"/>
      <w:r w:rsidRPr="00ED3848">
        <w:rPr>
          <w:rFonts w:cs="Times New Roman"/>
        </w:rPr>
        <w:t xml:space="preserve"> Ferrier, known as ‘the Scottish Austen’, wrote novels concerned with women’s place in society. She wrote anonymously, not simply because it was not, at the time, acceptable for women to be writing under their own identities, especially in the despised form of the novel, but mainly because her characters were very </w:t>
      </w:r>
      <w:proofErr w:type="spellStart"/>
      <w:r w:rsidRPr="00ED3848">
        <w:rPr>
          <w:rFonts w:cs="Times New Roman"/>
        </w:rPr>
        <w:t>recognisable</w:t>
      </w:r>
      <w:proofErr w:type="spellEnd"/>
      <w:r w:rsidRPr="00ED3848">
        <w:rPr>
          <w:rFonts w:cs="Times New Roman"/>
        </w:rPr>
        <w:t>, satirical depictions of real people in the Scottish society in which she lived.</w:t>
      </w:r>
    </w:p>
    <w:p w14:paraId="35233593" w14:textId="77777777" w:rsidR="00F92A8D" w:rsidRPr="00ED3848" w:rsidRDefault="00F92A8D" w:rsidP="00ED3848">
      <w:pPr>
        <w:spacing w:line="240" w:lineRule="auto"/>
        <w:rPr>
          <w:rFonts w:cs="Times New Roman"/>
        </w:rPr>
      </w:pPr>
    </w:p>
    <w:p w14:paraId="22CB155B" w14:textId="77777777" w:rsidR="00F92A8D" w:rsidRPr="00ED3848" w:rsidRDefault="00F92A8D" w:rsidP="00ED3848">
      <w:pPr>
        <w:spacing w:line="240" w:lineRule="auto"/>
        <w:rPr>
          <w:rFonts w:cs="Times New Roman"/>
        </w:rPr>
      </w:pPr>
      <w:r w:rsidRPr="00ED3848">
        <w:rPr>
          <w:rFonts w:cs="Times New Roman"/>
        </w:rPr>
        <w:t xml:space="preserve">In contrast to this silencing of authorship, Ferrier’s novels are unblushingly concerned with women’s place in the society of her time – and her female characters are in the forefront of all the stories, though the lives of a wide social spectrum of men are also described in detail. All of her novels are concerned with the contemporary marriage market which she treats with much irony, comedy and satire. Her novels were extremely popular at the time and Ferrier’s friend, Sir Walter Scott, acknowledged that she was far better at describing women’s place in society than he was. Unlike Austen, Ferrier included in her repertoire of characters working women, as well as those more socially privileged. And she also shows us (rather than tells us) the differences in society to be found in different parts of Britain - London, Edinburgh and the Highlands – and in urban and rural settings, as well as the differences in the ages of the characters, their relationships with men, and their social standing. However, later publishers, eager to cash in on her popularity, forced her to </w:t>
      </w:r>
      <w:proofErr w:type="spellStart"/>
      <w:r w:rsidRPr="00ED3848">
        <w:rPr>
          <w:rFonts w:cs="Times New Roman"/>
        </w:rPr>
        <w:t>evangelise</w:t>
      </w:r>
      <w:proofErr w:type="spellEnd"/>
      <w:r w:rsidRPr="00ED3848">
        <w:rPr>
          <w:rFonts w:cs="Times New Roman"/>
        </w:rPr>
        <w:t xml:space="preserve"> and </w:t>
      </w:r>
      <w:proofErr w:type="spellStart"/>
      <w:r w:rsidRPr="00ED3848">
        <w:rPr>
          <w:rFonts w:cs="Times New Roman"/>
        </w:rPr>
        <w:t>anglicise</w:t>
      </w:r>
      <w:proofErr w:type="spellEnd"/>
      <w:r w:rsidRPr="00ED3848">
        <w:rPr>
          <w:rFonts w:cs="Times New Roman"/>
        </w:rPr>
        <w:t xml:space="preserve"> her work which deprived it of much of its comedy, flattened it, and thus it never became part of the literary canon, to which it should be restored.</w:t>
      </w:r>
    </w:p>
    <w:p w14:paraId="71C5D711" w14:textId="77777777" w:rsidR="00F53C5F" w:rsidRPr="00ED3848" w:rsidRDefault="00F53C5F" w:rsidP="00ED3848">
      <w:pPr>
        <w:spacing w:line="240" w:lineRule="auto"/>
        <w:rPr>
          <w:rFonts w:cs="Times New Roman"/>
        </w:rPr>
      </w:pPr>
      <w:r w:rsidRPr="00ED3848">
        <w:rPr>
          <w:rFonts w:cs="Times New Roman"/>
        </w:rPr>
        <w:t>https://independent.academia.edu/JulieWatt</w:t>
      </w:r>
    </w:p>
    <w:p w14:paraId="4DD8AA13" w14:textId="77777777" w:rsidR="00F92A8D" w:rsidRPr="00ED3848" w:rsidRDefault="00F92A8D" w:rsidP="00ED3848">
      <w:pPr>
        <w:spacing w:line="240" w:lineRule="auto"/>
        <w:rPr>
          <w:rFonts w:cs="Times New Roman"/>
        </w:rPr>
      </w:pPr>
    </w:p>
    <w:p w14:paraId="28297A30" w14:textId="77777777" w:rsidR="00F8097C" w:rsidRDefault="00F8097C" w:rsidP="00F8097C">
      <w:pPr>
        <w:spacing w:line="276" w:lineRule="auto"/>
        <w:rPr>
          <w:smallCaps/>
        </w:rPr>
      </w:pPr>
    </w:p>
    <w:p w14:paraId="5A415A94" w14:textId="77777777" w:rsidR="00F8097C" w:rsidRDefault="00F8097C" w:rsidP="00F8097C">
      <w:pPr>
        <w:spacing w:line="276" w:lineRule="auto"/>
        <w:rPr>
          <w:smallCaps/>
        </w:rPr>
      </w:pPr>
    </w:p>
    <w:p w14:paraId="7CD50554" w14:textId="3E9A54DA" w:rsidR="00F8097C" w:rsidRPr="003323E9" w:rsidRDefault="00F8097C" w:rsidP="00F8097C">
      <w:pPr>
        <w:spacing w:line="276" w:lineRule="auto"/>
        <w:rPr>
          <w:b/>
          <w:smallCaps/>
        </w:rPr>
      </w:pPr>
      <w:r>
        <w:rPr>
          <w:smallCaps/>
        </w:rPr>
        <w:t xml:space="preserve">Jon </w:t>
      </w:r>
      <w:proofErr w:type="spellStart"/>
      <w:r>
        <w:rPr>
          <w:smallCaps/>
        </w:rPr>
        <w:t>Mee</w:t>
      </w:r>
      <w:proofErr w:type="spellEnd"/>
      <w:r>
        <w:rPr>
          <w:smallCaps/>
        </w:rPr>
        <w:t xml:space="preserve">: </w:t>
      </w:r>
      <w:r>
        <w:rPr>
          <w:lang w:val="en-GB"/>
        </w:rPr>
        <w:t xml:space="preserve"> ‘S</w:t>
      </w:r>
      <w:r w:rsidRPr="008A4FB8">
        <w:rPr>
          <w:lang w:val="en-GB"/>
        </w:rPr>
        <w:t>ome mode less revolting to their delicacy</w:t>
      </w:r>
      <w:r>
        <w:rPr>
          <w:lang w:val="en-GB"/>
        </w:rPr>
        <w:t xml:space="preserve">’: </w:t>
      </w:r>
      <w:r w:rsidRPr="002268C2">
        <w:rPr>
          <w:smallCaps/>
        </w:rPr>
        <w:t xml:space="preserve"> </w:t>
      </w:r>
      <w:r w:rsidRPr="003323E9">
        <w:rPr>
          <w:b/>
          <w:smallCaps/>
        </w:rPr>
        <w:t xml:space="preserve">Women and Intellectual Sociality in the </w:t>
      </w:r>
      <w:proofErr w:type="spellStart"/>
      <w:r w:rsidRPr="003323E9">
        <w:rPr>
          <w:b/>
          <w:smallCaps/>
        </w:rPr>
        <w:t>Transpennine</w:t>
      </w:r>
      <w:proofErr w:type="spellEnd"/>
      <w:r w:rsidRPr="003323E9">
        <w:rPr>
          <w:b/>
          <w:smallCaps/>
        </w:rPr>
        <w:t xml:space="preserve"> Enlightenment</w:t>
      </w:r>
    </w:p>
    <w:p w14:paraId="444A9CC3" w14:textId="77777777" w:rsidR="00F8097C" w:rsidRDefault="00F8097C" w:rsidP="00F8097C">
      <w:pPr>
        <w:spacing w:line="276" w:lineRule="auto"/>
      </w:pPr>
    </w:p>
    <w:p w14:paraId="7D6CCE7C" w14:textId="77777777" w:rsidR="00F8097C" w:rsidRDefault="00F8097C" w:rsidP="00F8097C">
      <w:pPr>
        <w:spacing w:line="276" w:lineRule="auto"/>
      </w:pPr>
      <w:r>
        <w:t xml:space="preserve">This paper explores women’s presence in the literary and philosophical societies of the </w:t>
      </w:r>
      <w:proofErr w:type="spellStart"/>
      <w:r>
        <w:t>transpennine</w:t>
      </w:r>
      <w:proofErr w:type="spellEnd"/>
      <w:r>
        <w:t xml:space="preserve"> enlightenment to think about questions of the limits imposed on women’s participation in the intellectual sociality of the period. The Manchester Literary and Philosophical Society founded in 1781 announced its commitment to progress conjointly in ‘physics and the belles.’ One of the earliest papers given at the society – Thomas Henry’s </w:t>
      </w:r>
      <w:r w:rsidRPr="008A4FB8">
        <w:rPr>
          <w:color w:val="1D1D1D"/>
        </w:rPr>
        <w:t>‘On the Advantages of Literature and Philosophy in General’</w:t>
      </w:r>
      <w:r>
        <w:rPr>
          <w:color w:val="1D1D1D"/>
        </w:rPr>
        <w:t xml:space="preserve"> – drew attention to the advantages of</w:t>
      </w:r>
      <w:r w:rsidRPr="008A4FB8">
        <w:rPr>
          <w:color w:val="1D1D1D"/>
        </w:rPr>
        <w:t xml:space="preserve"> </w:t>
      </w:r>
      <w:r>
        <w:rPr>
          <w:color w:val="1D1D1D"/>
        </w:rPr>
        <w:t>‘</w:t>
      </w:r>
      <w:r w:rsidRPr="008A4FB8">
        <w:rPr>
          <w:color w:val="1D1D1D"/>
        </w:rPr>
        <w:t xml:space="preserve">sweet converse with the fair sex. A Montague, a Carter, a </w:t>
      </w:r>
      <w:proofErr w:type="spellStart"/>
      <w:r w:rsidRPr="008A4FB8">
        <w:rPr>
          <w:color w:val="1D1D1D"/>
        </w:rPr>
        <w:t>Barbauld</w:t>
      </w:r>
      <w:proofErr w:type="spellEnd"/>
      <w:r w:rsidRPr="008A4FB8">
        <w:rPr>
          <w:color w:val="1D1D1D"/>
        </w:rPr>
        <w:t>, and a Seward, justly demand his notice</w:t>
      </w:r>
      <w:r>
        <w:rPr>
          <w:color w:val="1D1D1D"/>
        </w:rPr>
        <w:t>.</w:t>
      </w:r>
      <w:r w:rsidRPr="008A4FB8">
        <w:rPr>
          <w:color w:val="1D1D1D"/>
        </w:rPr>
        <w:t>’</w:t>
      </w:r>
      <w:r>
        <w:rPr>
          <w:color w:val="1D1D1D"/>
        </w:rPr>
        <w:t xml:space="preserve"> Arianne </w:t>
      </w:r>
      <w:proofErr w:type="spellStart"/>
      <w:r>
        <w:rPr>
          <w:color w:val="1D1D1D"/>
        </w:rPr>
        <w:t>Chernock</w:t>
      </w:r>
      <w:proofErr w:type="spellEnd"/>
      <w:r>
        <w:rPr>
          <w:color w:val="1D1D1D"/>
        </w:rPr>
        <w:t xml:space="preserve"> has recently drawn attention to the progressive views on women’s education in circles such as these, but in practice </w:t>
      </w:r>
      <w:r>
        <w:rPr>
          <w:color w:val="1D1D1D"/>
        </w:rPr>
        <w:lastRenderedPageBreak/>
        <w:t xml:space="preserve">the ‘conversation’ imagined in Henry’s paper seems to have been reading women writers rather than engaging with them in the meetings and other forms of intellectual exchanges that were the primary modes of the society. In the Literary and Philosophical Society of Newcastle-upon-Tyne, founded in 1793, women participated, but only on particular terms, despite the special role played by Anna </w:t>
      </w:r>
      <w:proofErr w:type="spellStart"/>
      <w:r>
        <w:rPr>
          <w:color w:val="1D1D1D"/>
        </w:rPr>
        <w:t>Laetitia</w:t>
      </w:r>
      <w:proofErr w:type="spellEnd"/>
      <w:r>
        <w:rPr>
          <w:color w:val="1D1D1D"/>
        </w:rPr>
        <w:t xml:space="preserve"> </w:t>
      </w:r>
      <w:proofErr w:type="spellStart"/>
      <w:r>
        <w:rPr>
          <w:color w:val="1D1D1D"/>
        </w:rPr>
        <w:t>Barbauld</w:t>
      </w:r>
      <w:proofErr w:type="spellEnd"/>
      <w:r>
        <w:rPr>
          <w:color w:val="1D1D1D"/>
        </w:rPr>
        <w:t xml:space="preserve"> throughout the life of William Turner, founder of the society. These terms issues turned, to some extent at least, on the comportment of female bodies </w:t>
      </w:r>
      <w:proofErr w:type="spellStart"/>
      <w:r>
        <w:rPr>
          <w:color w:val="1D1D1D"/>
        </w:rPr>
        <w:t>n</w:t>
      </w:r>
      <w:proofErr w:type="spellEnd"/>
      <w:r>
        <w:rPr>
          <w:color w:val="1D1D1D"/>
        </w:rPr>
        <w:t xml:space="preserve"> space, that is, whether they were to be actively involved in the collision of mind with mind or consigned to more passive and possibly relations to the ideas of intellectual improvement explored in these societies.</w:t>
      </w:r>
    </w:p>
    <w:p w14:paraId="0C018155" w14:textId="77777777" w:rsidR="00F92A8D" w:rsidRPr="00ED3848" w:rsidRDefault="00F92A8D" w:rsidP="00ED3848">
      <w:pPr>
        <w:spacing w:line="240" w:lineRule="auto"/>
        <w:rPr>
          <w:rFonts w:cs="Times New Roman"/>
        </w:rPr>
      </w:pPr>
    </w:p>
    <w:p w14:paraId="30CB58F8" w14:textId="5890988A" w:rsidR="00F92A8D" w:rsidRPr="00ED3848" w:rsidRDefault="00F92A8D" w:rsidP="00ED3848">
      <w:pPr>
        <w:spacing w:line="240" w:lineRule="auto"/>
        <w:rPr>
          <w:rFonts w:cs="Times New Roman"/>
        </w:rPr>
      </w:pPr>
    </w:p>
    <w:p w14:paraId="3E38DC5F" w14:textId="77777777" w:rsidR="00606BBD" w:rsidRDefault="00606BBD" w:rsidP="00ED3848">
      <w:pPr>
        <w:spacing w:line="240" w:lineRule="auto"/>
        <w:rPr>
          <w:rFonts w:cs="Times New Roman"/>
        </w:rPr>
      </w:pPr>
    </w:p>
    <w:p w14:paraId="49CE3097" w14:textId="7023E0F0" w:rsidR="00F53C5F" w:rsidRPr="00ED3848" w:rsidRDefault="00F53C5F" w:rsidP="00ED3848">
      <w:pPr>
        <w:spacing w:line="240" w:lineRule="auto"/>
        <w:rPr>
          <w:rFonts w:cs="Times New Roman"/>
        </w:rPr>
      </w:pPr>
    </w:p>
    <w:p w14:paraId="09320CC9" w14:textId="25C3F9F0" w:rsidR="00C03B23" w:rsidRPr="00C03B23" w:rsidRDefault="00C03B23" w:rsidP="00C03B23">
      <w:pPr>
        <w:spacing w:line="240" w:lineRule="auto"/>
        <w:rPr>
          <w:rFonts w:cs="Times New Roman"/>
          <w:b/>
        </w:rPr>
      </w:pPr>
      <w:r w:rsidRPr="00C03B23">
        <w:rPr>
          <w:rFonts w:cs="Times New Roman"/>
        </w:rPr>
        <w:t xml:space="preserve">Amy </w:t>
      </w:r>
      <w:proofErr w:type="spellStart"/>
      <w:r w:rsidRPr="00C03B23">
        <w:rPr>
          <w:rFonts w:cs="Times New Roman"/>
        </w:rPr>
        <w:t>Milka</w:t>
      </w:r>
      <w:proofErr w:type="spellEnd"/>
      <w:r w:rsidRPr="00C03B23">
        <w:rPr>
          <w:rFonts w:cs="Times New Roman"/>
        </w:rPr>
        <w:t xml:space="preserve"> </w:t>
      </w:r>
      <w:r w:rsidR="00894191">
        <w:rPr>
          <w:rFonts w:cs="Times New Roman"/>
        </w:rPr>
        <w:t>(</w:t>
      </w:r>
      <w:r w:rsidRPr="00C03B23">
        <w:rPr>
          <w:rFonts w:cs="Times New Roman"/>
        </w:rPr>
        <w:t>University of Adelaide</w:t>
      </w:r>
      <w:r w:rsidR="00894191">
        <w:rPr>
          <w:rFonts w:cs="Times New Roman"/>
        </w:rPr>
        <w:t>)</w:t>
      </w:r>
    </w:p>
    <w:p w14:paraId="5F8B1262" w14:textId="77777777" w:rsidR="00F53C5F" w:rsidRPr="003323E9" w:rsidRDefault="00F53C5F" w:rsidP="00894191">
      <w:pPr>
        <w:spacing w:line="240" w:lineRule="auto"/>
        <w:rPr>
          <w:rFonts w:cs="Times New Roman"/>
          <w:b/>
        </w:rPr>
      </w:pPr>
      <w:r w:rsidRPr="003323E9">
        <w:rPr>
          <w:rFonts w:cs="Times New Roman"/>
          <w:b/>
        </w:rPr>
        <w:t>Petticoats on Trial: Evidence and Gender in the Eighteenth-Century Criminal Courtroom</w:t>
      </w:r>
    </w:p>
    <w:p w14:paraId="754D30CF" w14:textId="77777777" w:rsidR="00F53C5F" w:rsidRPr="00ED3848" w:rsidRDefault="00F53C5F" w:rsidP="00ED3848">
      <w:pPr>
        <w:spacing w:line="240" w:lineRule="auto"/>
        <w:rPr>
          <w:rFonts w:cs="Times New Roman"/>
        </w:rPr>
      </w:pPr>
    </w:p>
    <w:p w14:paraId="2D567507" w14:textId="77777777" w:rsidR="00F53C5F" w:rsidRPr="00ED3848" w:rsidRDefault="00F53C5F" w:rsidP="00ED3848">
      <w:pPr>
        <w:spacing w:line="240" w:lineRule="auto"/>
        <w:rPr>
          <w:rFonts w:cs="Times New Roman"/>
        </w:rPr>
      </w:pPr>
      <w:r w:rsidRPr="00ED3848">
        <w:rPr>
          <w:rFonts w:cs="Times New Roman"/>
        </w:rPr>
        <w:t xml:space="preserve">This paper considers the petticoat, a garment which could be perceived as under- or outer-wear depending on styles of dress.   Petticoats appeared frequently in the eighteenth-century criminal courtroom on an inventory of stolen items, or as evidence of violent crime, although it is not always clear whether they were produced in court.  I argue that the use of petticoats or other intimate garments as evidence in criminal trials created a fraught situation for female litigants, witnesses and observers.  Representations of petticoats in Old Bailey proceedings and in print and visual culture reveal the difficulties facing female defendants or victims of crime in the eighteenth century.  Displaying such intimate apparel in public in many ways reflected the experience of women in the </w:t>
      </w:r>
      <w:proofErr w:type="spellStart"/>
      <w:r w:rsidRPr="00ED3848">
        <w:rPr>
          <w:rFonts w:cs="Times New Roman"/>
        </w:rPr>
        <w:t>masculinised</w:t>
      </w:r>
      <w:proofErr w:type="spellEnd"/>
      <w:r w:rsidRPr="00ED3848">
        <w:rPr>
          <w:rFonts w:cs="Times New Roman"/>
        </w:rPr>
        <w:t xml:space="preserve"> sphere of the courtroom.  This created opportunities for satire and salacious </w:t>
      </w:r>
      <w:proofErr w:type="spellStart"/>
      <w:r w:rsidRPr="00ED3848">
        <w:rPr>
          <w:rFonts w:cs="Times New Roman"/>
        </w:rPr>
        <w:t>humour</w:t>
      </w:r>
      <w:proofErr w:type="spellEnd"/>
      <w:r w:rsidRPr="00ED3848">
        <w:rPr>
          <w:rFonts w:cs="Times New Roman"/>
        </w:rPr>
        <w:t xml:space="preserve">, as well as unsolicited commentary on the female body.  </w:t>
      </w:r>
    </w:p>
    <w:p w14:paraId="68D462E2" w14:textId="77777777" w:rsidR="00F53C5F" w:rsidRPr="00ED3848" w:rsidRDefault="00F53C5F" w:rsidP="00ED3848">
      <w:pPr>
        <w:spacing w:line="240" w:lineRule="auto"/>
        <w:rPr>
          <w:rFonts w:cs="Times New Roman"/>
        </w:rPr>
      </w:pPr>
      <w:r w:rsidRPr="00ED3848">
        <w:rPr>
          <w:rFonts w:cs="Times New Roman"/>
        </w:rPr>
        <w:t>By examining trial reports and fictional accounts of petticoats in the courtroom, this paper unpicks the relationship between wearer, garment, and society, and reveal the complex emotions provoked by the display and discussion of intimate apparel in the courtroom space. I consider representations of the petticoat in periodical culture, moving on to address how the intimate relationship between clothing and identity impacted on victims of crime.  I explain how the value of clothing not only motivated crime in the eighteenth century, but dictated the way that it was prosecuted.  Petticoats used as evidence by the victims of crime, as well as the defendants whose clothing incriminated them, show how the treatment of such intimate clothing drew upon contemporary assumptions about modesty, the female body, and sexuality.  I suggest that as an item of clothing worn by all women during this period, the petticoat connects the experiences of women across classes.  The article brings together recent work on courtroom performance, female criminality, and material culture.  Throughout, I argue that women seeking justice in the eighteenth century (plaintiffs, defendants, and witnesses) risked feeling literally, or figuratively, exposed.</w:t>
      </w:r>
    </w:p>
    <w:p w14:paraId="36E27409" w14:textId="77777777" w:rsidR="00F53C5F" w:rsidRPr="00ED3848" w:rsidRDefault="00F53C5F" w:rsidP="00ED3848">
      <w:pPr>
        <w:spacing w:line="240" w:lineRule="auto"/>
        <w:rPr>
          <w:rFonts w:cs="Times New Roman"/>
        </w:rPr>
      </w:pPr>
    </w:p>
    <w:p w14:paraId="288A4162" w14:textId="77777777" w:rsidR="00F53C5F" w:rsidRPr="00ED3848" w:rsidRDefault="00F53C5F" w:rsidP="00ED3848">
      <w:pPr>
        <w:spacing w:line="240" w:lineRule="auto"/>
        <w:rPr>
          <w:rFonts w:cs="Times New Roman"/>
          <w:b/>
        </w:rPr>
      </w:pPr>
      <w:r w:rsidRPr="00ED3848">
        <w:rPr>
          <w:rFonts w:cs="Times New Roman"/>
          <w:b/>
        </w:rPr>
        <w:t>Bio</w:t>
      </w:r>
    </w:p>
    <w:p w14:paraId="5AFB0459" w14:textId="77777777" w:rsidR="00F92A8D" w:rsidRPr="00ED3848" w:rsidRDefault="00F53C5F" w:rsidP="00ED3848">
      <w:pPr>
        <w:spacing w:line="240" w:lineRule="auto"/>
        <w:rPr>
          <w:rFonts w:cs="Times New Roman"/>
        </w:rPr>
      </w:pPr>
      <w:r w:rsidRPr="00ED3848">
        <w:rPr>
          <w:rFonts w:cs="Times New Roman"/>
        </w:rPr>
        <w:lastRenderedPageBreak/>
        <w:t xml:space="preserve">I am a postdoctoral fellow at the ARC Centre for the History of Emotions, based at the University of Adelaide.  This paper is an offshoot of my current project, which considers emotions in the criminal courtroom in the eighteenth century.   The eighteenth century saw dramatic changes in the way that criminal law was managed, enacted, and represented.  For example, the introduction of lawyers into criminal trials from the 1730s significantly altered the dynamics of trial practice.  The role of emotions in this transformation has received little attention, in part due to the assumption that criminal justice </w:t>
      </w:r>
      <w:proofErr w:type="spellStart"/>
      <w:r w:rsidRPr="00ED3848">
        <w:rPr>
          <w:rFonts w:cs="Times New Roman"/>
        </w:rPr>
        <w:t>prioritises</w:t>
      </w:r>
      <w:proofErr w:type="spellEnd"/>
      <w:r w:rsidRPr="00ED3848">
        <w:rPr>
          <w:rFonts w:cs="Times New Roman"/>
        </w:rPr>
        <w:t xml:space="preserve"> ‘truth’ and ‘facts’ in order to reach a verdict.  However, emotions played a crucial role in determining guilt or innocence, and in the way that criminal justice was perceived by society at large.  My project considers the importance of narrative in changing attitudes to the law, suggesting that storytelling to provoke emotion was at the heart of the criminal trial.  </w:t>
      </w:r>
    </w:p>
    <w:p w14:paraId="78D715E3" w14:textId="77777777" w:rsidR="00606BBD" w:rsidRDefault="00606BBD" w:rsidP="00606BBD">
      <w:pPr>
        <w:spacing w:line="240" w:lineRule="auto"/>
        <w:rPr>
          <w:rFonts w:cs="Times New Roman"/>
        </w:rPr>
      </w:pPr>
    </w:p>
    <w:p w14:paraId="6E6FA4C4" w14:textId="77777777" w:rsidR="00606BBD" w:rsidRDefault="00606BBD" w:rsidP="00606BBD">
      <w:pPr>
        <w:spacing w:line="240" w:lineRule="auto"/>
        <w:rPr>
          <w:rFonts w:cs="Times New Roman"/>
        </w:rPr>
      </w:pPr>
    </w:p>
    <w:p w14:paraId="084B2664" w14:textId="4C10E46B" w:rsidR="00254AA8" w:rsidRPr="00ED3848" w:rsidRDefault="00254AA8" w:rsidP="00ED3848">
      <w:pPr>
        <w:spacing w:line="240" w:lineRule="auto"/>
        <w:rPr>
          <w:rStyle w:val="Emphasis"/>
          <w:rFonts w:cs="Times New Roman"/>
          <w:lang w:val="en"/>
        </w:rPr>
      </w:pPr>
    </w:p>
    <w:p w14:paraId="0BEE1E6F" w14:textId="77777777" w:rsidR="00606BBD" w:rsidRDefault="00606BBD" w:rsidP="00606BBD">
      <w:pPr>
        <w:pStyle w:val="NormalWeb"/>
      </w:pPr>
      <w:proofErr w:type="spellStart"/>
      <w:r>
        <w:t>Dosia</w:t>
      </w:r>
      <w:proofErr w:type="spellEnd"/>
      <w:r>
        <w:t xml:space="preserve"> </w:t>
      </w:r>
      <w:proofErr w:type="spellStart"/>
      <w:r>
        <w:t>Reichardt</w:t>
      </w:r>
      <w:proofErr w:type="spellEnd"/>
      <w:r>
        <w:t>: ‘</w:t>
      </w:r>
      <w:r w:rsidRPr="003323E9">
        <w:rPr>
          <w:b/>
        </w:rPr>
        <w:t>Such Delightful Apples’: Austen’s female philanthropy</w:t>
      </w:r>
      <w:r>
        <w:t xml:space="preserve">. </w:t>
      </w:r>
    </w:p>
    <w:p w14:paraId="49123834" w14:textId="77777777" w:rsidR="00606BBD" w:rsidRDefault="00606BBD" w:rsidP="00606BBD">
      <w:pPr>
        <w:pStyle w:val="NormalWeb"/>
      </w:pPr>
      <w:r>
        <w:t xml:space="preserve">Throughout Austen’s </w:t>
      </w:r>
      <w:proofErr w:type="spellStart"/>
      <w:r>
        <w:t>oevre</w:t>
      </w:r>
      <w:proofErr w:type="spellEnd"/>
      <w:r>
        <w:t xml:space="preserve">, but most especially visible in Emma and in </w:t>
      </w:r>
      <w:proofErr w:type="spellStart"/>
      <w:r>
        <w:t>Sanditon</w:t>
      </w:r>
      <w:proofErr w:type="spellEnd"/>
      <w:r>
        <w:t xml:space="preserve">, issues of charity and benevolence and their particular relationship with women’s private and public roles are observed and explored. Activities such as visiting the poor or making clothes for them ( noted in passing in Persuasion and Mansfield Park ) had been promoted as a suitable activity for genteel women which as well as providing direct aid would foster social harmony. At the same time philanthropy was becoming a potential sphere of independent labour for women with ambition, but one which could not only cause friction between classes but defeminise and </w:t>
      </w:r>
      <w:proofErr w:type="spellStart"/>
      <w:r>
        <w:t>undomesticate</w:t>
      </w:r>
      <w:proofErr w:type="spellEnd"/>
      <w:r>
        <w:t xml:space="preserve"> women. This is evident in comparing Emma’s timid efforts at ‘improving’ Harriet with the boisterous activities of the Parker sisters in </w:t>
      </w:r>
      <w:proofErr w:type="spellStart"/>
      <w:r>
        <w:t>Sanditon</w:t>
      </w:r>
      <w:proofErr w:type="spellEnd"/>
      <w:r>
        <w:t xml:space="preserve">. In the completed novels, acts of charity fall within the sphere of Christian duty linked to a tradition of aristocratic paternalism: in Austen’s final fragment, however, charity by subscription appears. Mr Parker’s optimistic economic theory – </w:t>
      </w:r>
      <w:proofErr w:type="gramStart"/>
      <w:r>
        <w:t>that</w:t>
      </w:r>
      <w:proofErr w:type="gramEnd"/>
      <w:r>
        <w:t xml:space="preserve"> prosperity will trickle down the social ladder is invalidated. Not only are the needy too numerous for the few potential benefactors, but it is clear that talk ( Mr Parker’s speciality) will be the only activity as the burden of both raising funds and actually contributing is passed from person to person. The chief actor in the merry-go-round of benevolence is Diana Parker who whilst busy, does not contribute anything herself but instead plans to extract funds from Lady Denham The Parker sisters suffer from a surfeit of leisure and a lack of direction for their energies, while the novel hints at real needs in a much wider sphere: a, ‘charitable repository in Burton on Trent’ and ‘the family of the poor man who was hung last assizes at York’. This paper will explore Austen’s awareness of the wider participation of women in the public sphere and their potential for encroaching on paternalistic localised benevolence. </w:t>
      </w:r>
    </w:p>
    <w:p w14:paraId="5B02FF5A" w14:textId="77777777" w:rsidR="00606BBD" w:rsidRDefault="00606BBD" w:rsidP="00606BBD">
      <w:pPr>
        <w:pStyle w:val="NormalWeb"/>
      </w:pPr>
      <w:proofErr w:type="spellStart"/>
      <w:r>
        <w:t>Dosha</w:t>
      </w:r>
      <w:proofErr w:type="spellEnd"/>
      <w:r>
        <w:t xml:space="preserve"> </w:t>
      </w:r>
      <w:proofErr w:type="spellStart"/>
      <w:r>
        <w:t>Reichardt</w:t>
      </w:r>
      <w:proofErr w:type="spellEnd"/>
      <w:r>
        <w:t xml:space="preserve"> </w:t>
      </w:r>
    </w:p>
    <w:p w14:paraId="1D0AFF15" w14:textId="77777777" w:rsidR="00606BBD" w:rsidRDefault="00606BBD" w:rsidP="00606BBD">
      <w:pPr>
        <w:pStyle w:val="NormalWeb"/>
      </w:pPr>
      <w:r>
        <w:t xml:space="preserve">James Cook University </w:t>
      </w:r>
    </w:p>
    <w:p w14:paraId="49E884DF" w14:textId="77777777" w:rsidR="00606BBD" w:rsidRDefault="00606BBD" w:rsidP="00606BBD">
      <w:pPr>
        <w:pStyle w:val="NormalWeb"/>
      </w:pPr>
      <w:r>
        <w:lastRenderedPageBreak/>
        <w:t xml:space="preserve">Cairns </w:t>
      </w:r>
    </w:p>
    <w:p w14:paraId="783E3A59" w14:textId="77777777" w:rsidR="00606BBD" w:rsidRDefault="00606BBD" w:rsidP="00606BBD">
      <w:pPr>
        <w:pStyle w:val="NormalWeb"/>
      </w:pPr>
      <w:r>
        <w:t xml:space="preserve">Dosia.reichardt@jcu.edu.au </w:t>
      </w:r>
    </w:p>
    <w:p w14:paraId="06515249" w14:textId="77777777" w:rsidR="00606BBD" w:rsidRPr="00993E21" w:rsidRDefault="00606BBD" w:rsidP="00606BBD">
      <w:pPr>
        <w:spacing w:line="240" w:lineRule="auto"/>
        <w:rPr>
          <w:rFonts w:cs="Times New Roman"/>
          <w:color w:val="0D0D0D" w:themeColor="text1" w:themeTint="F2"/>
        </w:rPr>
      </w:pPr>
    </w:p>
    <w:p w14:paraId="7D5A719C" w14:textId="447B4D9B" w:rsidR="00ED3848" w:rsidRPr="00ED3848" w:rsidRDefault="00ED3848" w:rsidP="00ED3848">
      <w:pPr>
        <w:spacing w:line="240" w:lineRule="auto"/>
        <w:rPr>
          <w:rFonts w:cs="Times New Roman"/>
        </w:rPr>
      </w:pPr>
      <w:r w:rsidRPr="00ED3848">
        <w:rPr>
          <w:rFonts w:cs="Times New Roman"/>
        </w:rPr>
        <w:br w:type="page"/>
      </w:r>
    </w:p>
    <w:p w14:paraId="2A4280AE" w14:textId="36D6646D" w:rsidR="00ED3848" w:rsidRPr="00ED3848" w:rsidRDefault="00EF729B" w:rsidP="00ED3848">
      <w:pPr>
        <w:widowControl w:val="0"/>
        <w:autoSpaceDE w:val="0"/>
        <w:autoSpaceDN w:val="0"/>
        <w:adjustRightInd w:val="0"/>
        <w:spacing w:after="240" w:line="240" w:lineRule="auto"/>
        <w:rPr>
          <w:rFonts w:cs="Times New Roman"/>
        </w:rPr>
      </w:pPr>
      <w:r w:rsidRPr="00ED3848">
        <w:rPr>
          <w:rFonts w:cs="Times New Roman"/>
        </w:rPr>
        <w:lastRenderedPageBreak/>
        <w:t>Michelle O’Connell</w:t>
      </w:r>
      <w:r>
        <w:rPr>
          <w:rFonts w:cs="Times New Roman"/>
        </w:rPr>
        <w:t xml:space="preserve"> (UC Dublin)</w:t>
      </w:r>
      <w:r>
        <w:rPr>
          <w:rFonts w:cs="Times New Roman"/>
        </w:rPr>
        <w:br/>
        <w:t>“</w:t>
      </w:r>
      <w:r w:rsidR="00ED3848" w:rsidRPr="00ED3848">
        <w:rPr>
          <w:rFonts w:cs="Times New Roman"/>
        </w:rPr>
        <w:t>You Can Keep Your Flowers: Graveside Decorum and the Poetes</w:t>
      </w:r>
      <w:r>
        <w:rPr>
          <w:rFonts w:cs="Times New Roman"/>
        </w:rPr>
        <w:t>s”</w:t>
      </w:r>
    </w:p>
    <w:p w14:paraId="544F5F43" w14:textId="77777777" w:rsidR="00ED3848" w:rsidRPr="00ED3848" w:rsidRDefault="00ED3848" w:rsidP="00ED3848">
      <w:pPr>
        <w:widowControl w:val="0"/>
        <w:autoSpaceDE w:val="0"/>
        <w:autoSpaceDN w:val="0"/>
        <w:adjustRightInd w:val="0"/>
        <w:spacing w:after="240" w:line="240" w:lineRule="auto"/>
        <w:rPr>
          <w:rFonts w:cs="Times New Roman"/>
        </w:rPr>
      </w:pPr>
      <w:r w:rsidRPr="00ED3848">
        <w:rPr>
          <w:rFonts w:cs="Times New Roman"/>
        </w:rPr>
        <w:t xml:space="preserve">This paper examines the ways in which Elizabeth Barrett Browning’s ‘Felicia Hemans,’ written in response to Letitia Elizabeth Landon’s ‘Stanzas on the Death of </w:t>
      </w:r>
      <w:proofErr w:type="spellStart"/>
      <w:r w:rsidRPr="00ED3848">
        <w:rPr>
          <w:rFonts w:cs="Times New Roman"/>
        </w:rPr>
        <w:t>Mrs</w:t>
      </w:r>
      <w:proofErr w:type="spellEnd"/>
      <w:r w:rsidRPr="00ED3848">
        <w:rPr>
          <w:rFonts w:cs="Times New Roman"/>
        </w:rPr>
        <w:t xml:space="preserve"> Hemans,’ objects to Landon’s poetic </w:t>
      </w:r>
      <w:proofErr w:type="spellStart"/>
      <w:r w:rsidRPr="00ED3848">
        <w:rPr>
          <w:rFonts w:cs="Times New Roman"/>
        </w:rPr>
        <w:t>behaviour</w:t>
      </w:r>
      <w:proofErr w:type="spellEnd"/>
      <w:r w:rsidRPr="00ED3848">
        <w:rPr>
          <w:rFonts w:cs="Times New Roman"/>
        </w:rPr>
        <w:t xml:space="preserve"> as unbefitting the role of the woman poet (though perhaps not the ‘poetess’). I argue that it is a rebuke aimed at Landon’s practice and identity as a poet, paradoxically objecting to her rather conventional poem as an embarrassing and indecorous performance as a poet, despite its perfectly proper performance of femininity. Hemans, it is commonly agreed, excelled at presenting a decorous, conventional model of femininity both as poet and as woman, while Landon’s poetic identity strayed far from this ideal, trailing </w:t>
      </w:r>
      <w:proofErr w:type="spellStart"/>
      <w:r w:rsidRPr="00ED3848">
        <w:rPr>
          <w:rFonts w:cs="Times New Roman"/>
        </w:rPr>
        <w:t>rumours</w:t>
      </w:r>
      <w:proofErr w:type="spellEnd"/>
      <w:r w:rsidRPr="00ED3848">
        <w:rPr>
          <w:rFonts w:cs="Times New Roman"/>
        </w:rPr>
        <w:t xml:space="preserve"> of sexual impropriety in her wake. Nonetheless, Landon’s poem seems, at first look, to aspire to the pattern of Hemans’s own elegies, in which, Paul Westover postulates, Hemans attempted her own ‘self-</w:t>
      </w:r>
      <w:proofErr w:type="spellStart"/>
      <w:r w:rsidRPr="00ED3848">
        <w:rPr>
          <w:rFonts w:cs="Times New Roman"/>
        </w:rPr>
        <w:t>canonisation</w:t>
      </w:r>
      <w:proofErr w:type="spellEnd"/>
      <w:r w:rsidRPr="00ED3848">
        <w:rPr>
          <w:rFonts w:cs="Times New Roman"/>
        </w:rPr>
        <w:t>’ by identifying with the ‘potent and the saintly dead.’ However, this self-</w:t>
      </w:r>
      <w:proofErr w:type="spellStart"/>
      <w:r w:rsidRPr="00ED3848">
        <w:rPr>
          <w:rFonts w:cs="Times New Roman"/>
        </w:rPr>
        <w:t>canonisation</w:t>
      </w:r>
      <w:proofErr w:type="spellEnd"/>
      <w:r w:rsidRPr="00ED3848">
        <w:rPr>
          <w:rFonts w:cs="Times New Roman"/>
        </w:rPr>
        <w:t xml:space="preserve"> is based on a self-interested commodification of sensibility, which, as Angela Leighton remarks ‘accrues certain strongly prescriptive, gender- specific values of sincerity and purity.’ Drawing on recent reconsiderations of the importance of Della </w:t>
      </w:r>
      <w:proofErr w:type="spellStart"/>
      <w:r w:rsidRPr="00ED3848">
        <w:rPr>
          <w:rFonts w:cs="Times New Roman"/>
        </w:rPr>
        <w:t>Cruscan</w:t>
      </w:r>
      <w:proofErr w:type="spellEnd"/>
      <w:r w:rsidRPr="00ED3848">
        <w:rPr>
          <w:rFonts w:cs="Times New Roman"/>
        </w:rPr>
        <w:t xml:space="preserve"> sensibility to our understanding of Romanticism, this paper will explore how Barrett Browning’s objection to Landon’s lack of poetic decorum is based on a rejection of that commodified display of feeling, particularly when presented as essentially feminine, though in itself a commercial choice and a style which limits and stymies the ambition of a woman poet. This paper will further explore the ways in which the self-fashioning of the woman poet negotiates the complexities of the legacy of the ‘poetess’ and the conventions of feminine </w:t>
      </w:r>
      <w:proofErr w:type="spellStart"/>
      <w:r w:rsidRPr="00ED3848">
        <w:rPr>
          <w:rFonts w:cs="Times New Roman"/>
        </w:rPr>
        <w:t>behaviour</w:t>
      </w:r>
      <w:proofErr w:type="spellEnd"/>
      <w:r w:rsidRPr="00ED3848">
        <w:rPr>
          <w:rFonts w:cs="Times New Roman"/>
        </w:rPr>
        <w:t xml:space="preserve"> which shaped that inheritance. </w:t>
      </w:r>
    </w:p>
    <w:p w14:paraId="59D7744D" w14:textId="39958B7C" w:rsidR="00EF729B" w:rsidRPr="00EF729B" w:rsidRDefault="00EF729B" w:rsidP="00ED3848">
      <w:pPr>
        <w:widowControl w:val="0"/>
        <w:autoSpaceDE w:val="0"/>
        <w:autoSpaceDN w:val="0"/>
        <w:adjustRightInd w:val="0"/>
        <w:spacing w:after="240" w:line="240" w:lineRule="auto"/>
        <w:rPr>
          <w:rFonts w:cs="Times New Roman"/>
          <w:b/>
        </w:rPr>
      </w:pPr>
      <w:r w:rsidRPr="00EF729B">
        <w:rPr>
          <w:rFonts w:cs="Times New Roman"/>
          <w:b/>
        </w:rPr>
        <w:t>Bio</w:t>
      </w:r>
    </w:p>
    <w:p w14:paraId="04067532" w14:textId="77777777" w:rsidR="00ED3848" w:rsidRPr="00ED3848" w:rsidRDefault="00ED3848" w:rsidP="00ED3848">
      <w:pPr>
        <w:widowControl w:val="0"/>
        <w:autoSpaceDE w:val="0"/>
        <w:autoSpaceDN w:val="0"/>
        <w:adjustRightInd w:val="0"/>
        <w:spacing w:after="240" w:line="240" w:lineRule="auto"/>
        <w:rPr>
          <w:rFonts w:cs="Times New Roman"/>
        </w:rPr>
      </w:pPr>
      <w:r w:rsidRPr="00ED3848">
        <w:rPr>
          <w:rFonts w:cs="Times New Roman"/>
        </w:rPr>
        <w:t xml:space="preserve">Michelle O’Connell is a lecturer in Romantic literature at University College Dublin. She has published on women’s poetry and fiction of the Romantic period. This paper forms part of a longer study (in progress), which focuses on inter-generational relationships and intertextual correspondences in Romantic-era women’s poetry. </w:t>
      </w:r>
    </w:p>
    <w:p w14:paraId="495CF95E" w14:textId="77777777" w:rsidR="00F53C5F" w:rsidRPr="00ED3848" w:rsidRDefault="00F53C5F" w:rsidP="00ED3848">
      <w:pPr>
        <w:spacing w:line="240" w:lineRule="auto"/>
        <w:rPr>
          <w:rFonts w:cs="Times New Roman"/>
        </w:rPr>
      </w:pPr>
    </w:p>
    <w:p w14:paraId="128358AD" w14:textId="77777777" w:rsidR="00ED3848" w:rsidRPr="00ED3848" w:rsidRDefault="00ED3848" w:rsidP="00ED3848">
      <w:pPr>
        <w:spacing w:line="240" w:lineRule="auto"/>
        <w:rPr>
          <w:rFonts w:cs="Times New Roman"/>
        </w:rPr>
      </w:pPr>
      <w:r w:rsidRPr="00ED3848">
        <w:rPr>
          <w:rFonts w:cs="Times New Roman"/>
        </w:rPr>
        <w:br w:type="page"/>
      </w:r>
    </w:p>
    <w:p w14:paraId="57E5BCB4" w14:textId="77777777" w:rsidR="001E1C42" w:rsidRDefault="001E1C42" w:rsidP="00993E21">
      <w:pPr>
        <w:spacing w:line="240" w:lineRule="auto"/>
        <w:rPr>
          <w:rFonts w:cs="Times New Roman"/>
          <w:color w:val="0D0D0D" w:themeColor="text1" w:themeTint="F2"/>
        </w:rPr>
      </w:pPr>
    </w:p>
    <w:sectPr w:rsidR="001E1C42" w:rsidSect="0055125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2A8D"/>
    <w:rsid w:val="000168DC"/>
    <w:rsid w:val="00032579"/>
    <w:rsid w:val="00155169"/>
    <w:rsid w:val="001E1C42"/>
    <w:rsid w:val="00254AA8"/>
    <w:rsid w:val="002D54AE"/>
    <w:rsid w:val="003323E9"/>
    <w:rsid w:val="003727D4"/>
    <w:rsid w:val="00543629"/>
    <w:rsid w:val="0055125B"/>
    <w:rsid w:val="00606BBD"/>
    <w:rsid w:val="00690A8E"/>
    <w:rsid w:val="006D3F48"/>
    <w:rsid w:val="006F777F"/>
    <w:rsid w:val="00732C60"/>
    <w:rsid w:val="007D7EE2"/>
    <w:rsid w:val="00863154"/>
    <w:rsid w:val="00894191"/>
    <w:rsid w:val="008A3BD6"/>
    <w:rsid w:val="009018E8"/>
    <w:rsid w:val="00944AC5"/>
    <w:rsid w:val="00993E21"/>
    <w:rsid w:val="009B5B4A"/>
    <w:rsid w:val="009B5BC8"/>
    <w:rsid w:val="00A31EC4"/>
    <w:rsid w:val="00AF1DCA"/>
    <w:rsid w:val="00C03B23"/>
    <w:rsid w:val="00C33342"/>
    <w:rsid w:val="00DB2743"/>
    <w:rsid w:val="00ED3848"/>
    <w:rsid w:val="00EF729B"/>
    <w:rsid w:val="00F53C5F"/>
    <w:rsid w:val="00F8097C"/>
    <w:rsid w:val="00F92A8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0E2B93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18E8"/>
    <w:pPr>
      <w:spacing w:line="480" w:lineRule="auto"/>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53C5F"/>
    <w:pPr>
      <w:ind w:left="720"/>
    </w:pPr>
    <w:rPr>
      <w:rFonts w:ascii="Times New Roman" w:eastAsiaTheme="minorHAnsi" w:hAnsi="Times New Roman" w:cstheme="majorBidi"/>
    </w:rPr>
  </w:style>
  <w:style w:type="character" w:styleId="Emphasis">
    <w:name w:val="Emphasis"/>
    <w:basedOn w:val="DefaultParagraphFont"/>
    <w:uiPriority w:val="20"/>
    <w:qFormat/>
    <w:rsid w:val="00F53C5F"/>
    <w:rPr>
      <w:i/>
      <w:iCs/>
    </w:rPr>
  </w:style>
  <w:style w:type="paragraph" w:styleId="BalloonText">
    <w:name w:val="Balloon Text"/>
    <w:basedOn w:val="Normal"/>
    <w:link w:val="BalloonTextChar"/>
    <w:uiPriority w:val="99"/>
    <w:semiHidden/>
    <w:unhideWhenUsed/>
    <w:rsid w:val="00ED3848"/>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D3848"/>
    <w:rPr>
      <w:rFonts w:ascii="Lucida Grande" w:hAnsi="Lucida Grande" w:cs="Lucida Grande"/>
      <w:sz w:val="18"/>
      <w:szCs w:val="18"/>
    </w:rPr>
  </w:style>
  <w:style w:type="character" w:styleId="Hyperlink">
    <w:name w:val="Hyperlink"/>
    <w:basedOn w:val="DefaultParagraphFont"/>
    <w:uiPriority w:val="99"/>
    <w:unhideWhenUsed/>
    <w:rsid w:val="00ED3848"/>
    <w:rPr>
      <w:color w:val="0000FF" w:themeColor="hyperlink"/>
      <w:u w:val="single"/>
    </w:rPr>
  </w:style>
  <w:style w:type="paragraph" w:styleId="NormalWeb">
    <w:name w:val="Normal (Web)"/>
    <w:basedOn w:val="Normal"/>
    <w:uiPriority w:val="99"/>
    <w:semiHidden/>
    <w:unhideWhenUsed/>
    <w:rsid w:val="001E1C42"/>
    <w:pPr>
      <w:spacing w:before="100" w:beforeAutospacing="1" w:after="100" w:afterAutospacing="1" w:line="240" w:lineRule="auto"/>
    </w:pPr>
    <w:rPr>
      <w:rFonts w:eastAsia="Times New Roman" w:cs="Times New Roman"/>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18E8"/>
    <w:pPr>
      <w:spacing w:line="480" w:lineRule="auto"/>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53C5F"/>
    <w:pPr>
      <w:ind w:left="720"/>
    </w:pPr>
    <w:rPr>
      <w:rFonts w:ascii="Times New Roman" w:eastAsiaTheme="minorHAnsi" w:hAnsi="Times New Roman" w:cstheme="majorBidi"/>
    </w:rPr>
  </w:style>
  <w:style w:type="character" w:styleId="Emphasis">
    <w:name w:val="Emphasis"/>
    <w:basedOn w:val="DefaultParagraphFont"/>
    <w:uiPriority w:val="20"/>
    <w:qFormat/>
    <w:rsid w:val="00F53C5F"/>
    <w:rPr>
      <w:i/>
      <w:iCs/>
    </w:rPr>
  </w:style>
  <w:style w:type="paragraph" w:styleId="BalloonText">
    <w:name w:val="Balloon Text"/>
    <w:basedOn w:val="Normal"/>
    <w:link w:val="BalloonTextChar"/>
    <w:uiPriority w:val="99"/>
    <w:semiHidden/>
    <w:unhideWhenUsed/>
    <w:rsid w:val="00ED3848"/>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D3848"/>
    <w:rPr>
      <w:rFonts w:ascii="Lucida Grande" w:hAnsi="Lucida Grande" w:cs="Lucida Grande"/>
      <w:sz w:val="18"/>
      <w:szCs w:val="18"/>
    </w:rPr>
  </w:style>
  <w:style w:type="character" w:styleId="Hyperlink">
    <w:name w:val="Hyperlink"/>
    <w:basedOn w:val="DefaultParagraphFont"/>
    <w:uiPriority w:val="99"/>
    <w:unhideWhenUsed/>
    <w:rsid w:val="00ED3848"/>
    <w:rPr>
      <w:color w:val="0000FF" w:themeColor="hyperlink"/>
      <w:u w:val="single"/>
    </w:rPr>
  </w:style>
  <w:style w:type="paragraph" w:styleId="NormalWeb">
    <w:name w:val="Normal (Web)"/>
    <w:basedOn w:val="Normal"/>
    <w:uiPriority w:val="99"/>
    <w:semiHidden/>
    <w:unhideWhenUsed/>
    <w:rsid w:val="001E1C42"/>
    <w:pPr>
      <w:spacing w:before="100" w:beforeAutospacing="1" w:after="100" w:afterAutospacing="1" w:line="240" w:lineRule="auto"/>
    </w:pPr>
    <w:rPr>
      <w:rFonts w:eastAsia="Times New Roman"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979797">
      <w:bodyDiv w:val="1"/>
      <w:marLeft w:val="0"/>
      <w:marRight w:val="0"/>
      <w:marTop w:val="0"/>
      <w:marBottom w:val="0"/>
      <w:divBdr>
        <w:top w:val="none" w:sz="0" w:space="0" w:color="auto"/>
        <w:left w:val="none" w:sz="0" w:space="0" w:color="auto"/>
        <w:bottom w:val="none" w:sz="0" w:space="0" w:color="auto"/>
        <w:right w:val="none" w:sz="0" w:space="0" w:color="auto"/>
      </w:divBdr>
    </w:div>
    <w:div w:id="1128889720">
      <w:bodyDiv w:val="1"/>
      <w:marLeft w:val="0"/>
      <w:marRight w:val="0"/>
      <w:marTop w:val="0"/>
      <w:marBottom w:val="0"/>
      <w:divBdr>
        <w:top w:val="none" w:sz="0" w:space="0" w:color="auto"/>
        <w:left w:val="none" w:sz="0" w:space="0" w:color="auto"/>
        <w:bottom w:val="none" w:sz="0" w:space="0" w:color="auto"/>
        <w:right w:val="none" w:sz="0" w:space="0" w:color="auto"/>
      </w:divBdr>
    </w:div>
    <w:div w:id="1417242683">
      <w:bodyDiv w:val="1"/>
      <w:marLeft w:val="0"/>
      <w:marRight w:val="0"/>
      <w:marTop w:val="0"/>
      <w:marBottom w:val="0"/>
      <w:divBdr>
        <w:top w:val="none" w:sz="0" w:space="0" w:color="auto"/>
        <w:left w:val="none" w:sz="0" w:space="0" w:color="auto"/>
        <w:bottom w:val="none" w:sz="0" w:space="0" w:color="auto"/>
        <w:right w:val="none" w:sz="0" w:space="0" w:color="auto"/>
      </w:divBdr>
    </w:div>
    <w:div w:id="166916570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EC19FE1A</Template>
  <TotalTime>1</TotalTime>
  <Pages>14</Pages>
  <Words>5457</Words>
  <Characters>31107</Characters>
  <Application>Microsoft Office Word</Application>
  <DocSecurity>0</DocSecurity>
  <Lines>259</Lines>
  <Paragraphs>72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 Newman</dc:creator>
  <cp:lastModifiedBy>Philp, Mark</cp:lastModifiedBy>
  <cp:revision>2</cp:revision>
  <cp:lastPrinted>2016-06-14T08:49:00Z</cp:lastPrinted>
  <dcterms:created xsi:type="dcterms:W3CDTF">2016-07-11T08:31:00Z</dcterms:created>
  <dcterms:modified xsi:type="dcterms:W3CDTF">2016-07-11T08:31:00Z</dcterms:modified>
</cp:coreProperties>
</file>