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D64AF8" w14:textId="77777777" w:rsidR="00F82AE3" w:rsidRDefault="00F82AE3">
      <w:r>
        <w:t>Essay Questions</w:t>
      </w:r>
    </w:p>
    <w:p w14:paraId="13E8A2F3" w14:textId="77777777" w:rsidR="00F82AE3" w:rsidRDefault="00F82AE3"/>
    <w:p w14:paraId="21845192" w14:textId="5C07021B" w:rsidR="00546237" w:rsidRDefault="00F82AE3">
      <w:r>
        <w:t xml:space="preserve">1. Discuss the deductions drawn from ‘human nature’ by ONE of the following writers: Rousseau, Godwin, or Malthus. 6. What was the influence of Montesquieu’s Spirit of the Laws on EITHER Rousseau’s Social Contract OR The Federalist Papers. </w:t>
      </w:r>
    </w:p>
    <w:p w14:paraId="2A9BC61C" w14:textId="5C652243" w:rsidR="00F82AE3" w:rsidRDefault="00F82AE3">
      <w:r>
        <w:t xml:space="preserve">2. What was the influence of Montesquieu’s Spirit of the Laws on EITHER Rousseau’s Social Contract OR The Federalist Papers. </w:t>
      </w:r>
    </w:p>
    <w:p w14:paraId="458C4803" w14:textId="77777777" w:rsidR="00F82AE3" w:rsidRDefault="00F82AE3">
      <w:r>
        <w:t xml:space="preserve">3. EITHER What is ‘stadial theory’, and how central does it become to the eighteenth century and its thinking about its own distinctive character? </w:t>
      </w:r>
    </w:p>
    <w:p w14:paraId="0A8935CF" w14:textId="77777777" w:rsidR="00F82AE3" w:rsidRDefault="00F82AE3">
      <w:r>
        <w:t xml:space="preserve">4. How did contemporary thinkers variously respond to the rise in the eighteenth century of a ‘consumer society’? Answer with reference to AT LEAST TWO thinkers. </w:t>
      </w:r>
    </w:p>
    <w:p w14:paraId="5936CBB0" w14:textId="77777777" w:rsidR="00F82AE3" w:rsidRDefault="00F82AE3">
      <w:r>
        <w:t xml:space="preserve">5. How can we best understand the growing centrality accorded to labour and productivity in late eighteenth and early nineteenth century writers’ depictions of the modern world? </w:t>
      </w:r>
    </w:p>
    <w:p w14:paraId="1C17CDBC" w14:textId="77777777" w:rsidR="00F82AE3" w:rsidRDefault="00F82AE3">
      <w:r>
        <w:t xml:space="preserve">6. Should virtue be understood wholly in terms of its contribution to the collective good? Answer with reference to AT LEAST TWO of: Mandeville, Montesquieu, Rousseau, Tocqueville. </w:t>
      </w:r>
    </w:p>
    <w:p w14:paraId="1A162EC0" w14:textId="77777777" w:rsidR="00F82AE3" w:rsidRDefault="00F82AE3">
      <w:r>
        <w:t xml:space="preserve">7. ‘The state of nature plays the same role for most of those who use it – but they emphasise different aspects of it and consequently draw different conclusions.’ Discuss with reference to AT LEAST TWO of: Hobbes, Locke, and Rousseau. </w:t>
      </w:r>
    </w:p>
    <w:p w14:paraId="33A683F5" w14:textId="77777777" w:rsidR="00F82AE3" w:rsidRDefault="00F82AE3">
      <w:r>
        <w:t xml:space="preserve">8. Explain the significance of AT LEAST TWO of the following concepts to the thought of Hegel: Abstract Right, Ethical Life, Civil Society, and the State. </w:t>
      </w:r>
    </w:p>
    <w:p w14:paraId="79B29152" w14:textId="07C5A3B4" w:rsidR="00F82AE3" w:rsidRDefault="00F82AE3">
      <w:r>
        <w:t xml:space="preserve">9. Compare the work being done by stadial theories in AT LEAST TWO of: Smith, Kames, Millar and Ferguson. </w:t>
      </w:r>
    </w:p>
    <w:p w14:paraId="44F4B85B" w14:textId="792CB5C6" w:rsidR="00F5139B" w:rsidRDefault="00F5139B" w:rsidP="00F5139B">
      <w:pPr>
        <w:pStyle w:val="xmsonormal"/>
        <w:shd w:val="clear" w:color="auto" w:fill="FFFFFF"/>
        <w:spacing w:before="0" w:beforeAutospacing="0" w:after="0" w:afterAutospacing="0"/>
        <w:rPr>
          <w:rFonts w:ascii="Calibri" w:hAnsi="Calibri" w:cs="Calibri"/>
          <w:color w:val="000000"/>
          <w:sz w:val="22"/>
          <w:szCs w:val="22"/>
        </w:rPr>
      </w:pPr>
      <w:r>
        <w:t xml:space="preserve">10. </w:t>
      </w:r>
      <w:r>
        <w:rPr>
          <w:rStyle w:val="xcontentpasted0"/>
          <w:color w:val="000000"/>
          <w:bdr w:val="none" w:sz="0" w:space="0" w:color="auto" w:frame="1"/>
        </w:rPr>
        <w:t>Discuss the place that institutional structure and culture play in securing the stability of the Federal government in the Federalist Papers.</w:t>
      </w:r>
    </w:p>
    <w:p w14:paraId="6F421CE8" w14:textId="77777777" w:rsidR="00F5139B" w:rsidRDefault="00F5139B"/>
    <w:p w14:paraId="72557FA1" w14:textId="2DDC15EE" w:rsidR="00F82AE3" w:rsidRDefault="00F82AE3">
      <w:r>
        <w:t>1</w:t>
      </w:r>
      <w:r w:rsidR="00F5139B">
        <w:t>1</w:t>
      </w:r>
      <w:r>
        <w:t xml:space="preserve"> ‘One legacy of the French Revolution is an increasing recognition of the fragility of order and progress.’ Discuss with reference to AT LEAST ONE of Burke, Mill, or Tocqueville 7</w:t>
      </w:r>
    </w:p>
    <w:p w14:paraId="693AB61C" w14:textId="7483312B" w:rsidR="00F82AE3" w:rsidRDefault="00F82AE3">
      <w:r>
        <w:t xml:space="preserve">11. ‘The most significant change in thinking about politics in this period is from analysing government and politics in terms of a contract between individuals to an analysis in terms of social forces in which individuals are largely insignificant?’ Discuss with reference to AT LEAST ONE of the following authors: Herder, Fichte, or Marx. </w:t>
      </w:r>
    </w:p>
    <w:p w14:paraId="20037AD0" w14:textId="77777777" w:rsidR="00F82AE3" w:rsidRDefault="00F82AE3">
      <w:r>
        <w:t xml:space="preserve">12. Do eighteenth-century critiques of the influence of ‘society’ rely on a model of natural virtue? Answer with reference to AT LEAST TWO of the writers you have studied for this paper. </w:t>
      </w:r>
    </w:p>
    <w:p w14:paraId="4C3101A0" w14:textId="77777777" w:rsidR="00F82AE3" w:rsidRDefault="00F82AE3">
      <w:r>
        <w:t xml:space="preserve">13. Which of the authors you have studied do you believe gives the most sociologically sophisticated account of social conflict and disorder in this period? </w:t>
      </w:r>
    </w:p>
    <w:p w14:paraId="1F8D8D03" w14:textId="77777777" w:rsidR="00F82AE3" w:rsidRDefault="00F82AE3">
      <w:r>
        <w:t xml:space="preserve">14 How far is it possible to distinguish issues of culture, ethnicity and race in the thinking of early nineteenth century nationalists? Answer with reference to AT LEAST ONE author you have studied. </w:t>
      </w:r>
    </w:p>
    <w:p w14:paraId="68022592" w14:textId="5D232B56" w:rsidR="00F82AE3" w:rsidRDefault="00F82AE3">
      <w:r>
        <w:lastRenderedPageBreak/>
        <w:t>15. Why do labour and the productive classes become seen as so central to social order in the late eighteenth and early nineteenth centuries? Answer with reference to AT LEAST TWO thinkers you have studied for this paper.</w:t>
      </w:r>
    </w:p>
    <w:sectPr w:rsidR="00F82AE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2AE3"/>
    <w:rsid w:val="00401DCC"/>
    <w:rsid w:val="008379C0"/>
    <w:rsid w:val="00AB55A6"/>
    <w:rsid w:val="00BD37BA"/>
    <w:rsid w:val="00EA3571"/>
    <w:rsid w:val="00F5139B"/>
    <w:rsid w:val="00F82A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7E72A"/>
  <w15:chartTrackingRefBased/>
  <w15:docId w15:val="{A1A42485-AE11-4201-B39A-262585869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F5139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contentpasted0">
    <w:name w:val="x_contentpasted0"/>
    <w:basedOn w:val="DefaultParagraphFont"/>
    <w:rsid w:val="00F513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0636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447</Words>
  <Characters>2548</Characters>
  <Application>Microsoft Office Word</Application>
  <DocSecurity>0</DocSecurity>
  <Lines>21</Lines>
  <Paragraphs>5</Paragraphs>
  <ScaleCrop>false</ScaleCrop>
  <Company/>
  <LinksUpToDate>false</LinksUpToDate>
  <CharactersWithSpaces>2990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Philp, Mark</dc:creator>
  <cp:keywords/>
  <dc:description/>
  <cp:lastModifiedBy>Mark Philp</cp:lastModifiedBy>
  <cp:revision>2</cp:revision>
  <dcterms:created xsi:type="dcterms:W3CDTF">2023-02-01T14:18:00Z</dcterms:created>
  <dcterms:modified xsi:type="dcterms:W3CDTF">2023-02-01T14:18:00Z</dcterms:modified>
</cp:coreProperties>
</file>