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BAB6BEF" w14:textId="77777777" w:rsidR="00D2609E" w:rsidRDefault="00D2609E" w:rsidP="00E15983">
      <w:pPr>
        <w:spacing w:line="480" w:lineRule="auto"/>
      </w:pPr>
      <w:bookmarkStart w:id="0" w:name="_GoBack"/>
      <w:bookmarkEnd w:id="0"/>
    </w:p>
    <w:p w14:paraId="46FA0D0B" w14:textId="390CDE27" w:rsidR="00E15983" w:rsidRPr="00D55F6D" w:rsidRDefault="00D55F6D" w:rsidP="00802C84">
      <w:pPr>
        <w:rPr>
          <w:b/>
          <w:u w:val="single"/>
        </w:rPr>
      </w:pPr>
      <w:r w:rsidRPr="00D55F6D">
        <w:rPr>
          <w:b/>
          <w:u w:val="single"/>
        </w:rPr>
        <w:t xml:space="preserve">Forms of </w:t>
      </w:r>
      <w:r w:rsidR="00802C84" w:rsidRPr="00D55F6D">
        <w:rPr>
          <w:b/>
          <w:u w:val="single"/>
        </w:rPr>
        <w:t xml:space="preserve">Causality: </w:t>
      </w:r>
    </w:p>
    <w:p w14:paraId="202C906C" w14:textId="77777777" w:rsidR="00E15983" w:rsidRDefault="00E15983" w:rsidP="00802C84"/>
    <w:p w14:paraId="5C6D4004" w14:textId="0A1FA128" w:rsidR="00E15983" w:rsidRDefault="00D2609E" w:rsidP="00802C84">
      <w:r>
        <w:t>Sub-intentional causality</w:t>
      </w:r>
      <w:r w:rsidR="00D55F6D">
        <w:t xml:space="preserve"> – </w:t>
      </w:r>
      <w:r w:rsidR="00D55F6D" w:rsidRPr="00D55F6D">
        <w:t xml:space="preserve">refers to the way in which desires and beliefs can be understood as reactions to the social environment of the individual. (not unlike in Rousseau – the sense that the intentional actions of agents can be explained in terms of psychological mechanisms like amour proper and </w:t>
      </w:r>
      <w:proofErr w:type="spellStart"/>
      <w:r w:rsidR="00D55F6D" w:rsidRPr="00D55F6D">
        <w:t>pitie</w:t>
      </w:r>
      <w:proofErr w:type="spellEnd"/>
      <w:r w:rsidR="00D55F6D" w:rsidRPr="00D55F6D">
        <w:t>.)</w:t>
      </w:r>
    </w:p>
    <w:p w14:paraId="7A763B11" w14:textId="77777777" w:rsidR="00D55F6D" w:rsidRDefault="00D55F6D" w:rsidP="00802C84"/>
    <w:p w14:paraId="59377085" w14:textId="3DB3620C" w:rsidR="00E15983" w:rsidRDefault="00D2609E" w:rsidP="00E15983">
      <w:r>
        <w:t>Intentional causality – theory of rational choice</w:t>
      </w:r>
    </w:p>
    <w:p w14:paraId="25C54512" w14:textId="77777777" w:rsidR="00D55F6D" w:rsidRDefault="00D55F6D" w:rsidP="00E15983"/>
    <w:p w14:paraId="46B36477" w14:textId="30A11ACD" w:rsidR="00D55F6D" w:rsidRDefault="00D2609E" w:rsidP="00E15983">
      <w:r>
        <w:t>S</w:t>
      </w:r>
      <w:r w:rsidR="00717BC1">
        <w:t>u</w:t>
      </w:r>
      <w:r>
        <w:t xml:space="preserve">pra-intentional causality – where we attribute agency to structures and classes and groups, cultures etc </w:t>
      </w:r>
    </w:p>
    <w:p w14:paraId="10A654B1" w14:textId="77777777" w:rsidR="00D55F6D" w:rsidRDefault="00D55F6D" w:rsidP="00E15983"/>
    <w:p w14:paraId="3723B131" w14:textId="4204419F" w:rsidR="00D2609E" w:rsidRDefault="00D2609E" w:rsidP="00E15983">
      <w:proofErr w:type="spellStart"/>
      <w:r>
        <w:t>Elster</w:t>
      </w:r>
      <w:proofErr w:type="spellEnd"/>
      <w:r>
        <w:t xml:space="preserve"> </w:t>
      </w:r>
      <w:r w:rsidR="00717BC1">
        <w:t>says that</w:t>
      </w:r>
      <w:r>
        <w:t xml:space="preserve"> Toc</w:t>
      </w:r>
      <w:r w:rsidR="00D55F6D">
        <w:t>queville</w:t>
      </w:r>
      <w:r>
        <w:t xml:space="preserve"> distinctive contributions </w:t>
      </w:r>
      <w:r w:rsidR="00717BC1">
        <w:t>are to</w:t>
      </w:r>
      <w:r>
        <w:t xml:space="preserve"> first and the third categories.  </w:t>
      </w:r>
    </w:p>
    <w:p w14:paraId="6F5169F5" w14:textId="77777777" w:rsidR="00802C84" w:rsidRDefault="00802C84" w:rsidP="00802C84">
      <w:pPr>
        <w:ind w:left="360"/>
      </w:pPr>
    </w:p>
    <w:p w14:paraId="215ACEF2" w14:textId="1A49CF8D" w:rsidR="00D2609E" w:rsidRPr="00D55F6D" w:rsidRDefault="00D2609E" w:rsidP="00D55F6D">
      <w:pPr>
        <w:rPr>
          <w:b/>
        </w:rPr>
      </w:pPr>
      <w:r w:rsidRPr="00D55F6D">
        <w:rPr>
          <w:b/>
        </w:rPr>
        <w:t xml:space="preserve">Sub-intentional causality </w:t>
      </w:r>
    </w:p>
    <w:p w14:paraId="1CAC13FD" w14:textId="77777777" w:rsidR="00D55F6D" w:rsidRDefault="00D55F6D" w:rsidP="00D55F6D"/>
    <w:p w14:paraId="3D3E957C" w14:textId="77777777" w:rsidR="00D55F6D" w:rsidRDefault="00717BC1" w:rsidP="00717BC1">
      <w:pPr>
        <w:ind w:left="360"/>
      </w:pPr>
      <w:r>
        <w:t>F</w:t>
      </w:r>
      <w:r w:rsidR="00D2609E">
        <w:t xml:space="preserve">or example, </w:t>
      </w:r>
      <w:r>
        <w:t>‘</w:t>
      </w:r>
      <w:r w:rsidR="00D2609E">
        <w:t xml:space="preserve">it is not that people in democratic societies naturally scorn freedom – in the contrary, they have an instinctive taste for it. But freedom is not the chief and continual object of their desires; it is equality for which they feel an eternal love.’ 57  </w:t>
      </w:r>
    </w:p>
    <w:p w14:paraId="16C9955A" w14:textId="77777777" w:rsidR="00D55F6D" w:rsidRDefault="00D55F6D" w:rsidP="00717BC1">
      <w:pPr>
        <w:ind w:left="360"/>
      </w:pPr>
    </w:p>
    <w:p w14:paraId="30A01C95" w14:textId="3C2B520F" w:rsidR="00717BC1" w:rsidRDefault="00D2609E" w:rsidP="00D55F6D">
      <w:pPr>
        <w:ind w:left="360"/>
      </w:pPr>
      <w:proofErr w:type="gramStart"/>
      <w:r>
        <w:t>So</w:t>
      </w:r>
      <w:proofErr w:type="gramEnd"/>
      <w:r>
        <w:t xml:space="preserve"> it’s a claim not about what the rational individual pursues but about what internal forces structure the agents preferences.  It may </w:t>
      </w:r>
      <w:r w:rsidR="00717BC1">
        <w:t>b</w:t>
      </w:r>
      <w:r>
        <w:t xml:space="preserve">e in their interests to pursue liberty, but they can’t help but want equality – inequality is so galling, and in moments of crisis the chance of attaining it so attractive, that freedom is simply sacrificed.  And it is so instinctively appealing, once equalisation of condition begins, because where there is some criterion of </w:t>
      </w:r>
      <w:proofErr w:type="gramStart"/>
      <w:r>
        <w:t>equality</w:t>
      </w:r>
      <w:proofErr w:type="gramEnd"/>
      <w:r>
        <w:t xml:space="preserve"> we cannot comfortably accept its limitation to a single sphere.</w:t>
      </w:r>
    </w:p>
    <w:p w14:paraId="64F7D37A" w14:textId="77777777" w:rsidR="00D55F6D" w:rsidRDefault="00D55F6D" w:rsidP="00D55F6D">
      <w:pPr>
        <w:ind w:left="360"/>
      </w:pPr>
    </w:p>
    <w:p w14:paraId="09755088" w14:textId="77777777" w:rsidR="00D2609E" w:rsidRDefault="00D2609E" w:rsidP="00D55F6D">
      <w:pPr>
        <w:spacing w:line="480" w:lineRule="auto"/>
      </w:pPr>
      <w:r>
        <w:t>Similar mechanisms are</w:t>
      </w:r>
    </w:p>
    <w:p w14:paraId="749F210F" w14:textId="77777777" w:rsidR="00D2609E" w:rsidRDefault="00D2609E" w:rsidP="00F86A69">
      <w:r w:rsidRPr="00717BC1">
        <w:rPr>
          <w:b/>
        </w:rPr>
        <w:t xml:space="preserve">The </w:t>
      </w:r>
      <w:proofErr w:type="spellStart"/>
      <w:r w:rsidRPr="00717BC1">
        <w:rPr>
          <w:b/>
        </w:rPr>
        <w:t>spillover</w:t>
      </w:r>
      <w:proofErr w:type="spellEnd"/>
      <w:r w:rsidRPr="00717BC1">
        <w:rPr>
          <w:b/>
        </w:rPr>
        <w:t xml:space="preserve"> effect </w:t>
      </w:r>
      <w:r>
        <w:t xml:space="preserve">– if a person follows a pattern P </w:t>
      </w:r>
      <w:r w:rsidR="00717BC1">
        <w:t>i</w:t>
      </w:r>
      <w:r>
        <w:t>n one area of his life, he will tend to follow it in other spheres ‘The American derives from his home that love of order which he carries into the affairs of state.’</w:t>
      </w:r>
      <w:r w:rsidR="00802C84">
        <w:t xml:space="preserve"> (DA 292; In Europe we often carry the ideas and habits of private life over into public life…But the Americans almost always carry the habits of public life over into their private lives.</w:t>
      </w:r>
      <w:proofErr w:type="gramStart"/>
      <w:r w:rsidR="00802C84">
        <w:t>’( DA</w:t>
      </w:r>
      <w:proofErr w:type="gramEnd"/>
      <w:r w:rsidR="00802C84">
        <w:t xml:space="preserve"> 305). Once men have become accustomed to see from afar what is likely to befall them in this world…they can hardly keep their thoughts confined within the precise limits of this life and will always be ready to break through these limits and consider what is beyond.’ (DA 549)</w:t>
      </w:r>
    </w:p>
    <w:p w14:paraId="17C42A5F" w14:textId="77777777" w:rsidR="00F86A69" w:rsidRDefault="00F86A69" w:rsidP="00F86A69"/>
    <w:p w14:paraId="5B9A43F8" w14:textId="77777777" w:rsidR="00D2609E" w:rsidRDefault="00D2609E" w:rsidP="00F86A69">
      <w:r w:rsidRPr="00717BC1">
        <w:rPr>
          <w:b/>
        </w:rPr>
        <w:t>The compensation effect</w:t>
      </w:r>
      <w:r>
        <w:t xml:space="preserve"> – if he can’t follow P in sphere X he will tend to do so in sphere Y – For my part I doubt whether man can support complete religious independence and entire political liberty at the same time.  I am led to think that if he has no faith he must obey; and if he is </w:t>
      </w:r>
      <w:proofErr w:type="gramStart"/>
      <w:r>
        <w:t>free</w:t>
      </w:r>
      <w:proofErr w:type="gramEnd"/>
      <w:r>
        <w:t xml:space="preserve"> he must believe.’ DA </w:t>
      </w:r>
      <w:proofErr w:type="gramStart"/>
      <w:r>
        <w:t>444</w:t>
      </w:r>
      <w:r w:rsidR="00802C84">
        <w:t xml:space="preserve">  Where</w:t>
      </w:r>
      <w:proofErr w:type="gramEnd"/>
      <w:r w:rsidR="00802C84">
        <w:t xml:space="preserve"> an aristocracy dominates…the poor are driven to dwell in imagination in the next world</w:t>
      </w:r>
      <w:r w:rsidR="00F86A69">
        <w:t>.’ (DA 531); The European tries to escape his sorrows at home by troubling society.’ (DA 291-2</w:t>
      </w:r>
      <w:proofErr w:type="gramStart"/>
      <w:r w:rsidR="00F86A69">
        <w:t>)  ‘</w:t>
      </w:r>
      <w:proofErr w:type="gramEnd"/>
      <w:r w:rsidR="00F86A69">
        <w:t>War, having destroyed every industry, in the end becomes itself one great industry, and every eager and ambitious desire sprung from equality is focused on it.’ (DA 657)</w:t>
      </w:r>
    </w:p>
    <w:p w14:paraId="482E698B" w14:textId="77777777" w:rsidR="00F86A69" w:rsidRDefault="00F86A69" w:rsidP="00F86A69"/>
    <w:p w14:paraId="3793DB47" w14:textId="77777777" w:rsidR="00D2609E" w:rsidRDefault="00D2609E" w:rsidP="00F86A69">
      <w:r w:rsidRPr="00717BC1">
        <w:rPr>
          <w:b/>
        </w:rPr>
        <w:lastRenderedPageBreak/>
        <w:t>The crowding-out effect</w:t>
      </w:r>
      <w:r>
        <w:t xml:space="preserve"> – if he does P in X he will not do so in Y – In times of democracy, private life is so active and agitated, so full of desires and labour, that each individual has scarcely any leisure or energy left for political life. </w:t>
      </w:r>
      <w:proofErr w:type="gramStart"/>
      <w:r>
        <w:t>671</w:t>
      </w:r>
      <w:r w:rsidR="00F86A69">
        <w:t xml:space="preserve">  There</w:t>
      </w:r>
      <w:proofErr w:type="gramEnd"/>
      <w:r w:rsidR="00F86A69">
        <w:t xml:space="preserve"> will not be much adultery in </w:t>
      </w:r>
      <w:r w:rsidR="00731269">
        <w:t>democratic societies, there sim</w:t>
      </w:r>
      <w:r w:rsidR="00F86A69">
        <w:t>ply is no time for it. (DA 598)</w:t>
      </w:r>
    </w:p>
    <w:p w14:paraId="3E500E35" w14:textId="77777777" w:rsidR="00D2609E" w:rsidRDefault="00D2609E" w:rsidP="00D2609E">
      <w:pPr>
        <w:spacing w:line="480" w:lineRule="auto"/>
        <w:ind w:left="360"/>
      </w:pPr>
    </w:p>
    <w:p w14:paraId="203DD1CF" w14:textId="77777777" w:rsidR="00D2609E" w:rsidRDefault="00D2609E" w:rsidP="00D55F6D">
      <w:r>
        <w:t xml:space="preserve">For </w:t>
      </w:r>
      <w:proofErr w:type="spellStart"/>
      <w:r>
        <w:t>Elster</w:t>
      </w:r>
      <w:proofErr w:type="spellEnd"/>
      <w:r>
        <w:t>, it is really Toc’s grasp of these psychological mechanisms that make him such an extra-ordinary social scientist – and it is these that build the bigger picture that he sketches out. Where his principal weakness lies in the very little attention he pays to the intentional account of individual agency – but that is, I think because he is writing in a long Fre</w:t>
      </w:r>
      <w:r w:rsidR="00F86A69">
        <w:t>n</w:t>
      </w:r>
      <w:r>
        <w:t>ch tradition that treats reason as a snare and delusion – from Montaigne through to Rousseau.</w:t>
      </w:r>
    </w:p>
    <w:p w14:paraId="7EA6C1C5" w14:textId="77777777" w:rsidR="00D2609E" w:rsidRDefault="00D2609E" w:rsidP="00D2609E">
      <w:pPr>
        <w:spacing w:line="480" w:lineRule="auto"/>
      </w:pPr>
    </w:p>
    <w:p w14:paraId="5E649F05" w14:textId="77777777" w:rsidR="00D2609E" w:rsidRDefault="00D2609E" w:rsidP="00717BC1">
      <w:r>
        <w:t xml:space="preserve">And that tradition brings us to the question of liberty.  French view of liberty as in part a balance between the agent’s will and his context.  The aristocrat is not free because he can do anything he wants (since he can’t) he’s free in large part because he has a sphere in which he can act that is commensurate with his hopes and ambitions and his attachments to public life – the </w:t>
      </w:r>
      <w:r w:rsidR="00F86A69">
        <w:t>principle anxiety</w:t>
      </w:r>
      <w:r>
        <w:t xml:space="preserve"> within this tradition is what Durkheim called </w:t>
      </w:r>
      <w:r w:rsidRPr="00F86A69">
        <w:rPr>
          <w:i/>
        </w:rPr>
        <w:t>anomie</w:t>
      </w:r>
      <w:r>
        <w:t xml:space="preserve"> – normlessness – a sense of disequilibrium between the internal world of the individual and the external order he inhabits – Pascal’s wager.</w:t>
      </w:r>
    </w:p>
    <w:p w14:paraId="553577C7" w14:textId="77777777" w:rsidR="00D2609E" w:rsidRDefault="00D2609E"/>
    <w:sectPr w:rsidR="00D2609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E8A13B3"/>
    <w:multiLevelType w:val="hybridMultilevel"/>
    <w:tmpl w:val="9C10BC6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609E"/>
    <w:rsid w:val="001C7421"/>
    <w:rsid w:val="003611B6"/>
    <w:rsid w:val="00717BC1"/>
    <w:rsid w:val="00731269"/>
    <w:rsid w:val="00802C84"/>
    <w:rsid w:val="00D2609E"/>
    <w:rsid w:val="00D55F6D"/>
    <w:rsid w:val="00DF5186"/>
    <w:rsid w:val="00E15983"/>
    <w:rsid w:val="00F86A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0C1132"/>
  <w15:chartTrackingRefBased/>
  <w15:docId w15:val="{CF94AE00-BE4E-45AF-8C23-1A1FC07EBD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2609E"/>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632</Words>
  <Characters>3604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Philp</dc:creator>
  <cp:keywords/>
  <dc:description/>
  <cp:lastModifiedBy>Imogen Peck</cp:lastModifiedBy>
  <cp:revision>3</cp:revision>
  <dcterms:created xsi:type="dcterms:W3CDTF">2019-03-14T16:41:00Z</dcterms:created>
  <dcterms:modified xsi:type="dcterms:W3CDTF">2019-03-14T16:44:00Z</dcterms:modified>
</cp:coreProperties>
</file>