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E6A329C" w14:textId="4A868DD1" w:rsidR="003D7DB7" w:rsidRDefault="00B952A0" w:rsidP="00650E42">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Chapter 1: </w:t>
      </w:r>
      <w:r w:rsidR="003D7DB7">
        <w:rPr>
          <w:rFonts w:ascii="Times New Roman" w:hAnsi="Times New Roman" w:cs="Times New Roman"/>
          <w:b/>
          <w:sz w:val="24"/>
          <w:szCs w:val="24"/>
        </w:rPr>
        <w:t>Appendi</w:t>
      </w:r>
      <w:r w:rsidR="00402A41">
        <w:rPr>
          <w:rFonts w:ascii="Times New Roman" w:hAnsi="Times New Roman" w:cs="Times New Roman"/>
          <w:b/>
          <w:sz w:val="24"/>
          <w:szCs w:val="24"/>
        </w:rPr>
        <w:t>x</w:t>
      </w:r>
    </w:p>
    <w:p w14:paraId="4B24893A" w14:textId="77777777" w:rsidR="009E72E0" w:rsidRDefault="009E72E0" w:rsidP="009E72E0">
      <w:pPr>
        <w:spacing w:after="0" w:line="480" w:lineRule="auto"/>
        <w:rPr>
          <w:rFonts w:ascii="Times New Roman" w:hAnsi="Times New Roman" w:cs="Times New Roman"/>
          <w:sz w:val="24"/>
          <w:szCs w:val="24"/>
        </w:rPr>
      </w:pPr>
    </w:p>
    <w:p w14:paraId="53B147F7" w14:textId="77777777" w:rsidR="00B952A0" w:rsidRDefault="00B952A0" w:rsidP="009E72E0">
      <w:pPr>
        <w:spacing w:after="0" w:line="480" w:lineRule="auto"/>
        <w:rPr>
          <w:rFonts w:ascii="Times New Roman" w:hAnsi="Times New Roman" w:cs="Times New Roman"/>
          <w:sz w:val="24"/>
          <w:szCs w:val="24"/>
        </w:rPr>
      </w:pPr>
      <w:r w:rsidRPr="00B952A0">
        <w:rPr>
          <w:rFonts w:ascii="Times New Roman" w:hAnsi="Times New Roman" w:cs="Times New Roman"/>
          <w:b/>
          <w:sz w:val="24"/>
          <w:szCs w:val="24"/>
        </w:rPr>
        <w:t>Secondary Source</w:t>
      </w:r>
      <w:r w:rsidR="009E72E0" w:rsidRPr="00B952A0">
        <w:rPr>
          <w:rFonts w:ascii="Times New Roman" w:hAnsi="Times New Roman" w:cs="Times New Roman"/>
          <w:b/>
          <w:sz w:val="24"/>
          <w:szCs w:val="24"/>
        </w:rPr>
        <w:t xml:space="preserve"> 1.1. On Luther’s</w:t>
      </w:r>
      <w:r>
        <w:rPr>
          <w:rFonts w:ascii="Times New Roman" w:hAnsi="Times New Roman" w:cs="Times New Roman"/>
          <w:b/>
          <w:sz w:val="24"/>
          <w:szCs w:val="24"/>
        </w:rPr>
        <w:t xml:space="preserve"> Apocalyptic E</w:t>
      </w:r>
      <w:r w:rsidRPr="00B952A0">
        <w:rPr>
          <w:rFonts w:ascii="Times New Roman" w:hAnsi="Times New Roman" w:cs="Times New Roman"/>
          <w:b/>
          <w:sz w:val="24"/>
          <w:szCs w:val="24"/>
        </w:rPr>
        <w:t>xpectations</w:t>
      </w:r>
      <w:r>
        <w:rPr>
          <w:rFonts w:ascii="Times New Roman" w:hAnsi="Times New Roman" w:cs="Times New Roman"/>
          <w:sz w:val="24"/>
          <w:szCs w:val="24"/>
        </w:rPr>
        <w:t>.</w:t>
      </w:r>
    </w:p>
    <w:p w14:paraId="5322BD06" w14:textId="7556573C" w:rsidR="009E72E0" w:rsidRPr="00BC15F8" w:rsidRDefault="009E72E0" w:rsidP="009E72E0">
      <w:pPr>
        <w:spacing w:after="0" w:line="480" w:lineRule="auto"/>
        <w:rPr>
          <w:rFonts w:ascii="Times New Roman" w:hAnsi="Times New Roman" w:cs="Times New Roman"/>
          <w:sz w:val="24"/>
          <w:szCs w:val="24"/>
        </w:rPr>
      </w:pPr>
      <w:r w:rsidRPr="0088321F">
        <w:rPr>
          <w:rFonts w:ascii="Times New Roman" w:hAnsi="Times New Roman" w:cs="Times New Roman"/>
          <w:sz w:val="24"/>
          <w:szCs w:val="24"/>
          <w:lang w:val="en"/>
        </w:rPr>
        <w:t>Oberman, Heiko A.</w:t>
      </w:r>
      <w:r>
        <w:rPr>
          <w:rFonts w:ascii="Times New Roman" w:hAnsi="Times New Roman" w:cs="Times New Roman"/>
          <w:sz w:val="24"/>
          <w:szCs w:val="24"/>
          <w:lang w:val="en"/>
        </w:rPr>
        <w:t xml:space="preserve"> (1994).</w:t>
      </w:r>
      <w:r w:rsidRPr="0088321F">
        <w:rPr>
          <w:rFonts w:ascii="Times New Roman" w:hAnsi="Times New Roman" w:cs="Times New Roman"/>
          <w:sz w:val="24"/>
          <w:szCs w:val="24"/>
          <w:lang w:val="en"/>
        </w:rPr>
        <w:t xml:space="preserve"> Martin Luther: Forerunner of the Reformation</w:t>
      </w:r>
      <w:r>
        <w:rPr>
          <w:rFonts w:ascii="Times New Roman" w:hAnsi="Times New Roman" w:cs="Times New Roman"/>
          <w:sz w:val="24"/>
          <w:szCs w:val="24"/>
          <w:lang w:val="en"/>
        </w:rPr>
        <w:t>. I</w:t>
      </w:r>
      <w:r w:rsidRPr="0088321F">
        <w:rPr>
          <w:rFonts w:ascii="Times New Roman" w:hAnsi="Times New Roman" w:cs="Times New Roman"/>
          <w:sz w:val="24"/>
          <w:szCs w:val="24"/>
          <w:lang w:val="en"/>
        </w:rPr>
        <w:t>n</w:t>
      </w:r>
      <w:r w:rsidR="001B1B57">
        <w:rPr>
          <w:rFonts w:ascii="Times New Roman" w:hAnsi="Times New Roman" w:cs="Times New Roman"/>
          <w:sz w:val="24"/>
          <w:szCs w:val="24"/>
          <w:lang w:val="en"/>
        </w:rPr>
        <w:t>:</w:t>
      </w:r>
      <w:r w:rsidRPr="0088321F">
        <w:rPr>
          <w:rFonts w:ascii="Times New Roman" w:hAnsi="Times New Roman" w:cs="Times New Roman"/>
          <w:sz w:val="24"/>
          <w:szCs w:val="24"/>
          <w:lang w:val="en"/>
        </w:rPr>
        <w:t xml:space="preserve"> </w:t>
      </w:r>
      <w:r w:rsidRPr="0088321F">
        <w:rPr>
          <w:rFonts w:ascii="Times New Roman" w:hAnsi="Times New Roman" w:cs="Times New Roman"/>
          <w:i/>
          <w:sz w:val="24"/>
          <w:szCs w:val="24"/>
          <w:lang w:val="en"/>
        </w:rPr>
        <w:t>The Reformation: Roots and Ramifications</w:t>
      </w:r>
      <w:r w:rsidR="00B952A0">
        <w:rPr>
          <w:rFonts w:ascii="Times New Roman" w:hAnsi="Times New Roman" w:cs="Times New Roman"/>
          <w:sz w:val="24"/>
          <w:szCs w:val="24"/>
          <w:lang w:val="en"/>
        </w:rPr>
        <w:t>.</w:t>
      </w:r>
      <w:r>
        <w:rPr>
          <w:rFonts w:ascii="Times New Roman" w:hAnsi="Times New Roman" w:cs="Times New Roman"/>
          <w:sz w:val="24"/>
          <w:szCs w:val="24"/>
          <w:lang w:val="en"/>
        </w:rPr>
        <w:t xml:space="preserve"> </w:t>
      </w:r>
      <w:r w:rsidR="00B952A0">
        <w:rPr>
          <w:rFonts w:ascii="Times New Roman" w:hAnsi="Times New Roman" w:cs="Times New Roman"/>
          <w:sz w:val="24"/>
          <w:szCs w:val="24"/>
          <w:lang w:val="en"/>
        </w:rPr>
        <w:t>T</w:t>
      </w:r>
      <w:r w:rsidRPr="0088321F">
        <w:rPr>
          <w:rFonts w:ascii="Times New Roman" w:hAnsi="Times New Roman" w:cs="Times New Roman"/>
          <w:sz w:val="24"/>
          <w:szCs w:val="24"/>
          <w:lang w:val="en"/>
        </w:rPr>
        <w:t>rans. A. C. Gow</w:t>
      </w:r>
      <w:r>
        <w:rPr>
          <w:rFonts w:ascii="Times New Roman" w:hAnsi="Times New Roman" w:cs="Times New Roman"/>
          <w:sz w:val="24"/>
          <w:szCs w:val="24"/>
          <w:lang w:val="en"/>
        </w:rPr>
        <w:t xml:space="preserve">. </w:t>
      </w:r>
      <w:r w:rsidRPr="0088321F">
        <w:rPr>
          <w:rFonts w:ascii="Times New Roman" w:hAnsi="Times New Roman" w:cs="Times New Roman"/>
          <w:sz w:val="24"/>
          <w:szCs w:val="24"/>
          <w:lang w:val="en"/>
        </w:rPr>
        <w:t>Edinburgh: T &amp; T Clark, 23-52</w:t>
      </w:r>
      <w:r>
        <w:rPr>
          <w:rFonts w:ascii="Times New Roman" w:hAnsi="Times New Roman" w:cs="Times New Roman"/>
          <w:sz w:val="24"/>
          <w:szCs w:val="24"/>
          <w:lang w:val="en"/>
        </w:rPr>
        <w:t>.</w:t>
      </w:r>
    </w:p>
    <w:p w14:paraId="76BA7767" w14:textId="77777777" w:rsidR="009E72E0" w:rsidRDefault="009E72E0" w:rsidP="009E72E0">
      <w:pPr>
        <w:spacing w:after="0" w:line="480" w:lineRule="auto"/>
        <w:rPr>
          <w:rFonts w:ascii="Times New Roman" w:hAnsi="Times New Roman" w:cs="Times New Roman"/>
          <w:sz w:val="24"/>
          <w:szCs w:val="24"/>
        </w:rPr>
      </w:pPr>
    </w:p>
    <w:p w14:paraId="6A839DA8" w14:textId="77777777" w:rsidR="009E72E0" w:rsidRPr="00BC15F8" w:rsidRDefault="009E72E0" w:rsidP="009E72E0">
      <w:pPr>
        <w:spacing w:after="0" w:line="480" w:lineRule="auto"/>
        <w:rPr>
          <w:rFonts w:ascii="Times New Roman" w:hAnsi="Times New Roman" w:cs="Times New Roman"/>
          <w:sz w:val="24"/>
          <w:szCs w:val="24"/>
        </w:rPr>
      </w:pPr>
      <w:r w:rsidRPr="00BC15F8">
        <w:rPr>
          <w:rFonts w:ascii="Times New Roman" w:hAnsi="Times New Roman" w:cs="Times New Roman"/>
          <w:sz w:val="24"/>
          <w:szCs w:val="24"/>
        </w:rPr>
        <w:t>No one else will ever again intervene to correct the situation, no other reformer will ever come other than Christ himself, at the Last Judgment. During the intervening period before the reform, the godless will make great gains: ‘In the meanwhile the godless make constant advances from bad to worse, until the end.’ The majority of the Church, especially its leadership … has already been led into Babylonian captivity. To Luther, it is certain that everything foretold in this psalm about the End time is happening today … and in fact some of it has already happened.</w:t>
      </w:r>
    </w:p>
    <w:p w14:paraId="56441DF5" w14:textId="77777777" w:rsidR="009E72E0" w:rsidRPr="00BC15F8" w:rsidRDefault="009E72E0" w:rsidP="009E72E0">
      <w:pPr>
        <w:spacing w:after="0" w:line="480" w:lineRule="auto"/>
        <w:ind w:firstLine="284"/>
        <w:rPr>
          <w:rFonts w:ascii="Times New Roman" w:hAnsi="Times New Roman" w:cs="Times New Roman"/>
          <w:sz w:val="24"/>
          <w:szCs w:val="24"/>
        </w:rPr>
      </w:pPr>
      <w:r w:rsidRPr="00BC15F8">
        <w:rPr>
          <w:rFonts w:ascii="Times New Roman" w:hAnsi="Times New Roman" w:cs="Times New Roman"/>
          <w:sz w:val="24"/>
          <w:szCs w:val="24"/>
        </w:rPr>
        <w:t xml:space="preserve">So this question becomes more and more germane: what office, what mission remains for Luther? The answer is, the office of the ‘pre-reformation’ interpreter of Scripture, charged with the mission of giving voice once again, far beyond the walls of the lecture hall, to the call of the prophet – a call that had been drowned out, denounced, even accused of heresy. The children of God will be able to escape the clutches of Satan only if they are prepared by this voice for the tricks of the Antichrist, and thus firmly grounded in the Gospel of justification. Since the Antichrist also usurps worldly power, those who confess Christ openly are in the danger of their life. … No human being will be able to offer the evangelist protection at the time of the Antichrist, ‘except God alone’. This </w:t>
      </w:r>
      <w:r w:rsidRPr="00BC15F8">
        <w:rPr>
          <w:rFonts w:ascii="Times New Roman" w:hAnsi="Times New Roman" w:cs="Times New Roman"/>
          <w:i/>
          <w:sz w:val="24"/>
          <w:szCs w:val="24"/>
        </w:rPr>
        <w:t>evangelista</w:t>
      </w:r>
      <w:r w:rsidRPr="00BC15F8">
        <w:rPr>
          <w:rFonts w:ascii="Times New Roman" w:hAnsi="Times New Roman" w:cs="Times New Roman"/>
          <w:sz w:val="24"/>
          <w:szCs w:val="24"/>
        </w:rPr>
        <w:t xml:space="preserve"> is Luther, called in his capacity as a Doctor of Holy Writ to proclaim ‘the spirit of the prophet’. He considers himself to have been entrusted with the double job of arming the elect with Scripture against being led astray, and of begging God to intervene and, at the close of the ‘history of </w:t>
      </w:r>
      <w:r w:rsidRPr="00BC15F8">
        <w:rPr>
          <w:rFonts w:ascii="Times New Roman" w:hAnsi="Times New Roman" w:cs="Times New Roman"/>
          <w:sz w:val="24"/>
          <w:szCs w:val="24"/>
        </w:rPr>
        <w:lastRenderedPageBreak/>
        <w:t>salvation’, to end the (human) ‘history of damnation’: thus he prays ‘Arise, O Lord!’ The Pope would soon beg God with these very words to step in against the Reformation. …</w:t>
      </w:r>
    </w:p>
    <w:p w14:paraId="0E3E1760" w14:textId="77777777" w:rsidR="009E72E0" w:rsidRPr="00BC15F8" w:rsidRDefault="009E72E0" w:rsidP="009E72E0">
      <w:pPr>
        <w:spacing w:after="0" w:line="480" w:lineRule="auto"/>
        <w:rPr>
          <w:rFonts w:ascii="Times New Roman" w:hAnsi="Times New Roman" w:cs="Times New Roman"/>
          <w:sz w:val="24"/>
          <w:szCs w:val="24"/>
        </w:rPr>
      </w:pPr>
      <w:r w:rsidRPr="00BC15F8">
        <w:rPr>
          <w:rFonts w:ascii="Times New Roman" w:hAnsi="Times New Roman" w:cs="Times New Roman"/>
          <w:sz w:val="24"/>
          <w:szCs w:val="24"/>
        </w:rPr>
        <w:t>The only transformation that will occur before Judgment Day is Satan’s rapidly advancing triumphal march. His worldly radiance and his power guarantee that ‘the entire globe will slide into obedience to the Antichrist’. Far from wanting to achieve a ‘reformation’, the evangelist Luther knows that by proclaiming the Word of God, he is accelerating the satanic rape and enslavement of the world: ‘It is not our job to hold it back.’</w:t>
      </w:r>
      <w:r>
        <w:rPr>
          <w:rFonts w:ascii="Times New Roman" w:hAnsi="Times New Roman" w:cs="Times New Roman"/>
          <w:sz w:val="24"/>
          <w:szCs w:val="24"/>
        </w:rPr>
        <w:t xml:space="preserve"> [31-33]</w:t>
      </w:r>
    </w:p>
    <w:p w14:paraId="7F136968" w14:textId="77777777" w:rsidR="00887B3F" w:rsidRPr="00BC15F8" w:rsidRDefault="00887B3F" w:rsidP="00887B3F">
      <w:pPr>
        <w:spacing w:after="0" w:line="480" w:lineRule="auto"/>
        <w:rPr>
          <w:rFonts w:ascii="Times New Roman" w:hAnsi="Times New Roman" w:cs="Times New Roman"/>
          <w:sz w:val="24"/>
          <w:szCs w:val="24"/>
        </w:rPr>
      </w:pPr>
    </w:p>
    <w:p w14:paraId="0F36C4FA" w14:textId="050C455D" w:rsidR="00CD0961" w:rsidRDefault="00CD0961" w:rsidP="003A4635">
      <w:pPr>
        <w:spacing w:after="0" w:line="480" w:lineRule="auto"/>
        <w:rPr>
          <w:rFonts w:ascii="Times New Roman" w:hAnsi="Times New Roman" w:cs="Times New Roman"/>
          <w:sz w:val="24"/>
          <w:szCs w:val="24"/>
          <w:lang w:val="en"/>
        </w:rPr>
      </w:pPr>
      <w:r w:rsidRPr="00B952A0">
        <w:rPr>
          <w:rFonts w:ascii="Times New Roman" w:hAnsi="Times New Roman" w:cs="Times New Roman"/>
          <w:b/>
          <w:sz w:val="24"/>
          <w:szCs w:val="24"/>
        </w:rPr>
        <w:t xml:space="preserve">Secondary Source </w:t>
      </w:r>
      <w:r w:rsidR="003A4635" w:rsidRPr="00DB05B9">
        <w:rPr>
          <w:rFonts w:ascii="Times New Roman" w:hAnsi="Times New Roman" w:cs="Times New Roman"/>
          <w:b/>
          <w:sz w:val="24"/>
          <w:szCs w:val="24"/>
        </w:rPr>
        <w:t>1.</w:t>
      </w:r>
      <w:r w:rsidR="009E72E0" w:rsidRPr="00DB05B9">
        <w:rPr>
          <w:rFonts w:ascii="Times New Roman" w:hAnsi="Times New Roman" w:cs="Times New Roman"/>
          <w:b/>
          <w:sz w:val="24"/>
          <w:szCs w:val="24"/>
        </w:rPr>
        <w:t>2</w:t>
      </w:r>
      <w:r w:rsidR="003A4635" w:rsidRPr="00DB05B9">
        <w:rPr>
          <w:rFonts w:ascii="Times New Roman" w:hAnsi="Times New Roman" w:cs="Times New Roman"/>
          <w:b/>
          <w:sz w:val="24"/>
          <w:szCs w:val="24"/>
        </w:rPr>
        <w:t>. On the character o</w:t>
      </w:r>
      <w:r w:rsidRPr="00DB05B9">
        <w:rPr>
          <w:rFonts w:ascii="Times New Roman" w:hAnsi="Times New Roman" w:cs="Times New Roman"/>
          <w:b/>
          <w:sz w:val="24"/>
          <w:szCs w:val="24"/>
        </w:rPr>
        <w:t>f Early Modern Monarchies.</w:t>
      </w:r>
    </w:p>
    <w:p w14:paraId="26BFA914" w14:textId="432F6BC9" w:rsidR="003A4635" w:rsidRPr="00BC15F8" w:rsidRDefault="003A4635" w:rsidP="003A4635">
      <w:pPr>
        <w:spacing w:after="0" w:line="480" w:lineRule="auto"/>
        <w:rPr>
          <w:rFonts w:ascii="Times New Roman" w:hAnsi="Times New Roman" w:cs="Times New Roman"/>
          <w:b/>
          <w:sz w:val="24"/>
          <w:szCs w:val="24"/>
        </w:rPr>
      </w:pPr>
      <w:r w:rsidRPr="00D46AE7">
        <w:rPr>
          <w:rFonts w:ascii="Times New Roman" w:hAnsi="Times New Roman" w:cs="Times New Roman"/>
          <w:sz w:val="24"/>
          <w:szCs w:val="24"/>
          <w:lang w:val="en"/>
        </w:rPr>
        <w:t>Elliott, J. H.</w:t>
      </w:r>
      <w:r>
        <w:rPr>
          <w:rFonts w:ascii="Times New Roman" w:hAnsi="Times New Roman" w:cs="Times New Roman"/>
          <w:sz w:val="24"/>
          <w:szCs w:val="24"/>
          <w:lang w:val="en"/>
        </w:rPr>
        <w:t xml:space="preserve"> (1992).</w:t>
      </w:r>
      <w:r w:rsidRPr="00D46AE7">
        <w:rPr>
          <w:rFonts w:ascii="Times New Roman" w:hAnsi="Times New Roman" w:cs="Times New Roman"/>
          <w:sz w:val="24"/>
          <w:szCs w:val="24"/>
          <w:lang w:val="en"/>
        </w:rPr>
        <w:t xml:space="preserve"> A Europe of Composite Monarchies</w:t>
      </w:r>
      <w:r>
        <w:rPr>
          <w:rFonts w:ascii="Times New Roman" w:hAnsi="Times New Roman" w:cs="Times New Roman"/>
          <w:sz w:val="24"/>
          <w:szCs w:val="24"/>
          <w:lang w:val="en"/>
        </w:rPr>
        <w:t xml:space="preserve">. </w:t>
      </w:r>
      <w:r w:rsidRPr="00690389">
        <w:rPr>
          <w:rFonts w:ascii="Times New Roman" w:hAnsi="Times New Roman" w:cs="Times New Roman"/>
          <w:i/>
          <w:sz w:val="24"/>
          <w:szCs w:val="24"/>
          <w:lang w:val="en"/>
        </w:rPr>
        <w:t>Past &amp; Present</w:t>
      </w:r>
      <w:r w:rsidRPr="00D46AE7">
        <w:rPr>
          <w:rFonts w:ascii="Times New Roman" w:hAnsi="Times New Roman" w:cs="Times New Roman"/>
          <w:sz w:val="24"/>
          <w:szCs w:val="24"/>
          <w:lang w:val="en"/>
        </w:rPr>
        <w:t>, No. 137, 48–71</w:t>
      </w:r>
      <w:r>
        <w:rPr>
          <w:rFonts w:ascii="Times New Roman" w:hAnsi="Times New Roman" w:cs="Times New Roman"/>
          <w:sz w:val="24"/>
          <w:szCs w:val="24"/>
          <w:lang w:val="en"/>
        </w:rPr>
        <w:t>.</w:t>
      </w:r>
    </w:p>
    <w:p w14:paraId="21C62621" w14:textId="77777777" w:rsidR="003A4635" w:rsidRDefault="003A4635" w:rsidP="003A4635">
      <w:pPr>
        <w:spacing w:after="0" w:line="480" w:lineRule="auto"/>
        <w:rPr>
          <w:rFonts w:ascii="Times New Roman" w:hAnsi="Times New Roman" w:cs="Times New Roman"/>
          <w:sz w:val="24"/>
          <w:szCs w:val="24"/>
        </w:rPr>
      </w:pPr>
    </w:p>
    <w:p w14:paraId="49B18CDD" w14:textId="77777777" w:rsidR="003A4635" w:rsidRPr="00BC15F8" w:rsidRDefault="003A4635" w:rsidP="003A4635">
      <w:pPr>
        <w:spacing w:after="0" w:line="480" w:lineRule="auto"/>
        <w:rPr>
          <w:rFonts w:ascii="Times New Roman" w:hAnsi="Times New Roman" w:cs="Times New Roman"/>
          <w:sz w:val="24"/>
          <w:szCs w:val="24"/>
        </w:rPr>
      </w:pPr>
      <w:r w:rsidRPr="00BC15F8">
        <w:rPr>
          <w:rFonts w:ascii="Times New Roman" w:hAnsi="Times New Roman" w:cs="Times New Roman"/>
          <w:sz w:val="24"/>
          <w:szCs w:val="24"/>
        </w:rPr>
        <w:t xml:space="preserve">If sixteenth-century Europe was a Europe of composite states, coexisting with a myriad of smaller territorial and jurisdictional units jealously guarding their independent status, its history needs to be assessed from this standpoint rather than from that of the society of unitary nation states that it was later to become. It is easy enough to assume that the composite state of the early modern period was no more than a necessary but rather unsatisfactory way-station on the road that led to unitary statehood; but it should not automatically be taken for granted that at the turn of the fifteenth and sixteenth centuries this was already the destined end of the road. The creation in medieval western Europe of a number of large political units – France, England, Castile – which had succeeded in building up and maintaining a relatively strong administrative apparatus, and had at once drawn strength from, and fostered, some sense of collective identity, certainly pointed strongly in a unitary direction. But dynastic ambition, deriving from the deeply-rooted European sense of family and patrimony, cut across unitary tendencies and constantly threatened, through the </w:t>
      </w:r>
      <w:r w:rsidRPr="00BC15F8">
        <w:rPr>
          <w:rFonts w:ascii="Times New Roman" w:hAnsi="Times New Roman" w:cs="Times New Roman"/>
          <w:sz w:val="24"/>
          <w:szCs w:val="24"/>
        </w:rPr>
        <w:lastRenderedPageBreak/>
        <w:t xml:space="preserve">continuing pursuit of new territorial acquisitions, to dilute the internal cohesion that was so laboriously being achieved. </w:t>
      </w:r>
    </w:p>
    <w:p w14:paraId="3B75E210" w14:textId="77777777" w:rsidR="003A4635" w:rsidRPr="00BC15F8" w:rsidRDefault="003A4635" w:rsidP="003A4635">
      <w:pPr>
        <w:spacing w:after="0" w:line="480" w:lineRule="auto"/>
        <w:ind w:firstLine="284"/>
        <w:rPr>
          <w:rFonts w:ascii="Times New Roman" w:hAnsi="Times New Roman" w:cs="Times New Roman"/>
          <w:sz w:val="24"/>
          <w:szCs w:val="24"/>
        </w:rPr>
      </w:pPr>
      <w:r w:rsidRPr="00BC15F8">
        <w:rPr>
          <w:rFonts w:ascii="Times New Roman" w:hAnsi="Times New Roman" w:cs="Times New Roman"/>
          <w:sz w:val="24"/>
          <w:szCs w:val="24"/>
        </w:rPr>
        <w:t>For monarchs concerned with aggrandizement, the creation of composite states looked a natural and easy way forward. New territorial acquisitions meant enhanced prestige and potentially valuable new sources of wealth. They were all the more to be prized if they possessed the additional advantages of contiguity and what was known as</w:t>
      </w:r>
      <w:r>
        <w:rPr>
          <w:rFonts w:ascii="Times New Roman" w:hAnsi="Times New Roman" w:cs="Times New Roman"/>
          <w:sz w:val="24"/>
          <w:szCs w:val="24"/>
        </w:rPr>
        <w:t xml:space="preserve"> ‘conformity’</w:t>
      </w:r>
      <w:r w:rsidRPr="00BC15F8">
        <w:rPr>
          <w:rFonts w:ascii="Times New Roman" w:hAnsi="Times New Roman" w:cs="Times New Roman"/>
          <w:sz w:val="24"/>
          <w:szCs w:val="24"/>
        </w:rPr>
        <w:t>. James VI and I would use the argument of contiguity to strengthen the case for the union of the crowns of England and Scotland. It was also considered easier to make the new union stick where the</w:t>
      </w:r>
      <w:r>
        <w:rPr>
          <w:rFonts w:ascii="Times New Roman" w:hAnsi="Times New Roman" w:cs="Times New Roman"/>
          <w:sz w:val="24"/>
          <w:szCs w:val="24"/>
        </w:rPr>
        <w:t>re were marked similarities in ‘</w:t>
      </w:r>
      <w:r w:rsidRPr="00BC15F8">
        <w:rPr>
          <w:rFonts w:ascii="Times New Roman" w:hAnsi="Times New Roman" w:cs="Times New Roman"/>
          <w:sz w:val="24"/>
          <w:szCs w:val="24"/>
        </w:rPr>
        <w:t>language, cust</w:t>
      </w:r>
      <w:r>
        <w:rPr>
          <w:rFonts w:ascii="Times New Roman" w:hAnsi="Times New Roman" w:cs="Times New Roman"/>
          <w:sz w:val="24"/>
          <w:szCs w:val="24"/>
        </w:rPr>
        <w:t>oms and institutions’</w:t>
      </w:r>
      <w:r w:rsidRPr="00BC15F8">
        <w:rPr>
          <w:rFonts w:ascii="Times New Roman" w:hAnsi="Times New Roman" w:cs="Times New Roman"/>
          <w:sz w:val="24"/>
          <w:szCs w:val="24"/>
        </w:rPr>
        <w:t xml:space="preserve">, as Machiavelli observed in the third chapter of </w:t>
      </w:r>
      <w:r w:rsidRPr="00BC15F8">
        <w:rPr>
          <w:rFonts w:ascii="Times New Roman" w:hAnsi="Times New Roman" w:cs="Times New Roman"/>
          <w:i/>
          <w:sz w:val="24"/>
          <w:szCs w:val="24"/>
        </w:rPr>
        <w:t>The Prince</w:t>
      </w:r>
      <w:r w:rsidRPr="00BC15F8">
        <w:rPr>
          <w:rFonts w:ascii="Times New Roman" w:hAnsi="Times New Roman" w:cs="Times New Roman"/>
          <w:sz w:val="24"/>
          <w:szCs w:val="24"/>
        </w:rPr>
        <w:t xml:space="preserve">. Francesco Guicciardini made the same point when he spoke of the </w:t>
      </w:r>
      <w:r w:rsidRPr="00BC15F8">
        <w:rPr>
          <w:rFonts w:ascii="Times New Roman" w:hAnsi="Times New Roman" w:cs="Times New Roman"/>
          <w:i/>
          <w:sz w:val="24"/>
          <w:szCs w:val="24"/>
        </w:rPr>
        <w:t>conformità</w:t>
      </w:r>
      <w:r w:rsidRPr="00BC15F8">
        <w:rPr>
          <w:rFonts w:ascii="Times New Roman" w:hAnsi="Times New Roman" w:cs="Times New Roman"/>
          <w:sz w:val="24"/>
          <w:szCs w:val="24"/>
        </w:rPr>
        <w:t xml:space="preserve"> which made the newly conquered kingdom of Navarre such a fine acquisition for Ferdinand the Catholic. Yet contiguity and conformity did not necessarily of themselves lead on to integral union. Spanish Navarre remained in many respects a kingdom apart, and saw no major transformation of its traditional laws, institutions and customs before 1841.</w:t>
      </w:r>
      <w:r>
        <w:rPr>
          <w:rFonts w:ascii="Times New Roman" w:hAnsi="Times New Roman" w:cs="Times New Roman"/>
          <w:sz w:val="24"/>
          <w:szCs w:val="24"/>
        </w:rPr>
        <w:t xml:space="preserve"> [51-2]</w:t>
      </w:r>
    </w:p>
    <w:p w14:paraId="346E493E" w14:textId="77777777" w:rsidR="00887B3F" w:rsidRDefault="00887B3F" w:rsidP="00887B3F">
      <w:pPr>
        <w:spacing w:after="0" w:line="480" w:lineRule="auto"/>
      </w:pPr>
    </w:p>
    <w:p w14:paraId="34B8A0E2" w14:textId="77777777" w:rsidR="00DB05B9" w:rsidRDefault="00DB05B9" w:rsidP="00650E42">
      <w:pPr>
        <w:spacing w:after="0" w:line="480" w:lineRule="auto"/>
        <w:rPr>
          <w:rFonts w:ascii="Times New Roman" w:hAnsi="Times New Roman" w:cs="Times New Roman"/>
          <w:sz w:val="24"/>
          <w:szCs w:val="24"/>
        </w:rPr>
      </w:pPr>
      <w:r w:rsidRPr="00B952A0">
        <w:rPr>
          <w:rFonts w:ascii="Times New Roman" w:hAnsi="Times New Roman" w:cs="Times New Roman"/>
          <w:b/>
          <w:sz w:val="24"/>
          <w:szCs w:val="24"/>
        </w:rPr>
        <w:t>S</w:t>
      </w:r>
      <w:r w:rsidRPr="00DB05B9">
        <w:rPr>
          <w:rFonts w:ascii="Times New Roman" w:hAnsi="Times New Roman" w:cs="Times New Roman"/>
          <w:b/>
          <w:sz w:val="24"/>
          <w:szCs w:val="24"/>
        </w:rPr>
        <w:t>econdary Source</w:t>
      </w:r>
      <w:r w:rsidR="00B41BD1" w:rsidRPr="00DB05B9">
        <w:rPr>
          <w:rFonts w:ascii="Times New Roman" w:hAnsi="Times New Roman" w:cs="Times New Roman"/>
          <w:b/>
          <w:sz w:val="24"/>
          <w:szCs w:val="24"/>
        </w:rPr>
        <w:t xml:space="preserve"> 1.</w:t>
      </w:r>
      <w:r w:rsidR="00715B84" w:rsidRPr="00DB05B9">
        <w:rPr>
          <w:rFonts w:ascii="Times New Roman" w:hAnsi="Times New Roman" w:cs="Times New Roman"/>
          <w:b/>
          <w:sz w:val="24"/>
          <w:szCs w:val="24"/>
        </w:rPr>
        <w:t>3</w:t>
      </w:r>
      <w:r w:rsidR="00B41BD1" w:rsidRPr="00DB05B9">
        <w:rPr>
          <w:rFonts w:ascii="Times New Roman" w:hAnsi="Times New Roman" w:cs="Times New Roman"/>
          <w:b/>
          <w:sz w:val="24"/>
          <w:szCs w:val="24"/>
        </w:rPr>
        <w:t>.</w:t>
      </w:r>
      <w:r w:rsidR="003D7DB7" w:rsidRPr="00DB05B9">
        <w:rPr>
          <w:rFonts w:ascii="Times New Roman" w:hAnsi="Times New Roman" w:cs="Times New Roman"/>
          <w:b/>
          <w:sz w:val="24"/>
          <w:szCs w:val="24"/>
        </w:rPr>
        <w:t xml:space="preserve"> </w:t>
      </w:r>
      <w:r w:rsidRPr="00DB05B9">
        <w:rPr>
          <w:rFonts w:ascii="Times New Roman" w:hAnsi="Times New Roman" w:cs="Times New Roman"/>
          <w:b/>
          <w:sz w:val="24"/>
          <w:szCs w:val="24"/>
        </w:rPr>
        <w:t>On Medieval Religious Culture.</w:t>
      </w:r>
    </w:p>
    <w:p w14:paraId="05FCA9AB" w14:textId="2A00C8CF" w:rsidR="003D7DB7" w:rsidRPr="00DB05B9" w:rsidRDefault="003D7DB7" w:rsidP="00650E42">
      <w:pPr>
        <w:spacing w:after="0" w:line="480" w:lineRule="auto"/>
        <w:rPr>
          <w:rFonts w:ascii="Times New Roman" w:hAnsi="Times New Roman" w:cs="Times New Roman"/>
          <w:sz w:val="24"/>
          <w:szCs w:val="24"/>
        </w:rPr>
      </w:pPr>
      <w:r w:rsidRPr="00D46AE7">
        <w:rPr>
          <w:rFonts w:ascii="Times New Roman" w:hAnsi="Times New Roman" w:cs="Times New Roman"/>
          <w:sz w:val="24"/>
          <w:szCs w:val="24"/>
          <w:lang w:val="en"/>
        </w:rPr>
        <w:t>Duffy, Eamon</w:t>
      </w:r>
      <w:r>
        <w:rPr>
          <w:rFonts w:ascii="Times New Roman" w:hAnsi="Times New Roman" w:cs="Times New Roman"/>
          <w:sz w:val="24"/>
          <w:szCs w:val="24"/>
          <w:lang w:val="en"/>
        </w:rPr>
        <w:t xml:space="preserve"> (2005).</w:t>
      </w:r>
      <w:r w:rsidRPr="00D46AE7">
        <w:rPr>
          <w:rFonts w:ascii="Times New Roman" w:hAnsi="Times New Roman" w:cs="Times New Roman"/>
          <w:sz w:val="24"/>
          <w:szCs w:val="24"/>
          <w:lang w:val="en"/>
        </w:rPr>
        <w:t xml:space="preserve"> </w:t>
      </w:r>
      <w:r w:rsidRPr="004A0F4B">
        <w:rPr>
          <w:rFonts w:ascii="Times New Roman" w:hAnsi="Times New Roman" w:cs="Times New Roman"/>
          <w:i/>
          <w:sz w:val="24"/>
          <w:szCs w:val="24"/>
          <w:lang w:val="en"/>
        </w:rPr>
        <w:t>The Stripping of the Altars: Traditional Religion in England c.1400-c.1580</w:t>
      </w:r>
      <w:r w:rsidRPr="00D46AE7">
        <w:rPr>
          <w:rFonts w:ascii="Times New Roman" w:hAnsi="Times New Roman" w:cs="Times New Roman"/>
          <w:sz w:val="24"/>
          <w:szCs w:val="24"/>
          <w:lang w:val="en"/>
        </w:rPr>
        <w:t>, 2nd edn. New Haven and London: Yale University Pres</w:t>
      </w:r>
      <w:r>
        <w:rPr>
          <w:rFonts w:ascii="Times New Roman" w:hAnsi="Times New Roman" w:cs="Times New Roman"/>
          <w:sz w:val="24"/>
          <w:szCs w:val="24"/>
          <w:lang w:val="en"/>
        </w:rPr>
        <w:t>s</w:t>
      </w:r>
      <w:r w:rsidR="00650E42">
        <w:rPr>
          <w:rFonts w:ascii="Times New Roman" w:hAnsi="Times New Roman" w:cs="Times New Roman"/>
          <w:sz w:val="24"/>
          <w:szCs w:val="24"/>
          <w:lang w:val="en"/>
        </w:rPr>
        <w:t>.</w:t>
      </w:r>
    </w:p>
    <w:p w14:paraId="4905A5F1" w14:textId="77777777" w:rsidR="00650E42" w:rsidRDefault="00650E42" w:rsidP="00650E42">
      <w:pPr>
        <w:spacing w:after="0" w:line="480" w:lineRule="auto"/>
        <w:rPr>
          <w:rFonts w:ascii="Times New Roman" w:hAnsi="Times New Roman" w:cs="Times New Roman"/>
          <w:sz w:val="24"/>
          <w:szCs w:val="24"/>
        </w:rPr>
      </w:pPr>
    </w:p>
    <w:p w14:paraId="78BBD774" w14:textId="77777777" w:rsidR="003D7DB7" w:rsidRPr="00BC15F8" w:rsidRDefault="003D7DB7" w:rsidP="00650E42">
      <w:pPr>
        <w:spacing w:after="0" w:line="480" w:lineRule="auto"/>
        <w:rPr>
          <w:rFonts w:ascii="Times New Roman" w:hAnsi="Times New Roman" w:cs="Times New Roman"/>
          <w:sz w:val="24"/>
          <w:szCs w:val="24"/>
        </w:rPr>
      </w:pPr>
      <w:r w:rsidRPr="00BC15F8">
        <w:rPr>
          <w:rFonts w:ascii="Times New Roman" w:hAnsi="Times New Roman" w:cs="Times New Roman"/>
          <w:sz w:val="24"/>
          <w:szCs w:val="24"/>
        </w:rPr>
        <w:t>Any study of late medieval religion must begin with the liturg</w:t>
      </w:r>
      <w:bookmarkStart w:id="0" w:name="_GoBack"/>
      <w:bookmarkEnd w:id="0"/>
      <w:r w:rsidRPr="00BC15F8">
        <w:rPr>
          <w:rFonts w:ascii="Times New Roman" w:hAnsi="Times New Roman" w:cs="Times New Roman"/>
          <w:sz w:val="24"/>
          <w:szCs w:val="24"/>
        </w:rPr>
        <w:t xml:space="preserve">y, for within that great seasonal cycle of fast and festival, of ritual observance and symbolic gesture, lay Christians found the paradigms and the stories which shaped their perception of the world and their place in it. Within the liturgy birth, copulation and death, journeying and homecoming, guilt and forgiveness, the blessing of homely things and the call to pass beyond them were all located, </w:t>
      </w:r>
      <w:r w:rsidRPr="00BC15F8">
        <w:rPr>
          <w:rFonts w:ascii="Times New Roman" w:hAnsi="Times New Roman" w:cs="Times New Roman"/>
          <w:sz w:val="24"/>
          <w:szCs w:val="24"/>
        </w:rPr>
        <w:lastRenderedPageBreak/>
        <w:t>tested and sanctioned. In the liturgy and in the sacramental celebrations which were its central moments, medieval people found the key to the meaning and purpose of their lives.</w:t>
      </w:r>
    </w:p>
    <w:p w14:paraId="5945733A" w14:textId="77777777" w:rsidR="003D7DB7" w:rsidRPr="00BC15F8" w:rsidRDefault="003D7DB7" w:rsidP="00650E42">
      <w:pPr>
        <w:spacing w:after="0" w:line="480" w:lineRule="auto"/>
        <w:rPr>
          <w:rFonts w:ascii="Times New Roman" w:hAnsi="Times New Roman" w:cs="Times New Roman"/>
          <w:sz w:val="24"/>
          <w:szCs w:val="24"/>
        </w:rPr>
      </w:pPr>
      <w:r w:rsidRPr="00BC15F8">
        <w:rPr>
          <w:rFonts w:ascii="Times New Roman" w:hAnsi="Times New Roman" w:cs="Times New Roman"/>
          <w:sz w:val="24"/>
          <w:szCs w:val="24"/>
        </w:rPr>
        <w:t>For the late medieval laity, the liturgy functioned at a variety of levels, offering spectacle, instruction, and a communal context for the affective piety which sought even in the formalized action of the Mass and its attendant ceremonies a stimulus to individual devotion. Ecclesiastical law and the vigilance of bishop, archdeacon and parson sought to ensure as a minimum regular and sober attendance at matins, Mass and evensong on Sundays and feasts, and annual confession and communion at Easter. But the laity expected and gave far more in the way of involvement with the action and symbolism of the liturgy than those minimum requirements suggest.</w:t>
      </w:r>
    </w:p>
    <w:p w14:paraId="58625C19" w14:textId="77777777" w:rsidR="003D7DB7" w:rsidRPr="00BC15F8" w:rsidRDefault="003D7DB7" w:rsidP="00650E42">
      <w:pPr>
        <w:spacing w:after="0" w:line="480" w:lineRule="auto"/>
        <w:ind w:firstLine="284"/>
        <w:rPr>
          <w:rFonts w:ascii="Times New Roman" w:hAnsi="Times New Roman" w:cs="Times New Roman"/>
          <w:sz w:val="24"/>
          <w:szCs w:val="24"/>
        </w:rPr>
      </w:pPr>
      <w:r w:rsidRPr="00BC15F8">
        <w:rPr>
          <w:rFonts w:ascii="Times New Roman" w:hAnsi="Times New Roman" w:cs="Times New Roman"/>
          <w:sz w:val="24"/>
          <w:szCs w:val="24"/>
        </w:rPr>
        <w:t>It is widely recognized, for example, that the liturgy’s ritual structures provided a means for ordering and perhaps also of negotiating social relations. The etiquette of liturgical precedence in the late Middle Ages reflected deep-seated anxieties about order and</w:t>
      </w:r>
      <w:r w:rsidR="001B7130">
        <w:rPr>
          <w:rFonts w:ascii="Times New Roman" w:hAnsi="Times New Roman" w:cs="Times New Roman"/>
          <w:sz w:val="24"/>
          <w:szCs w:val="24"/>
        </w:rPr>
        <w:t xml:space="preserve"> influence within the ‘secular’</w:t>
      </w:r>
      <w:r w:rsidRPr="00BC15F8">
        <w:rPr>
          <w:rFonts w:ascii="Times New Roman" w:hAnsi="Times New Roman" w:cs="Times New Roman"/>
          <w:sz w:val="24"/>
          <w:szCs w:val="24"/>
        </w:rPr>
        <w:t xml:space="preserve"> reality of the community. Mervyn James has written eloquently of the way in which the Corpus Christi processio</w:t>
      </w:r>
      <w:r w:rsidR="001B7130">
        <w:rPr>
          <w:rFonts w:ascii="Times New Roman" w:hAnsi="Times New Roman" w:cs="Times New Roman"/>
          <w:sz w:val="24"/>
          <w:szCs w:val="24"/>
        </w:rPr>
        <w:t>n in late medieval communities ‘</w:t>
      </w:r>
      <w:r w:rsidRPr="00BC15F8">
        <w:rPr>
          <w:rFonts w:ascii="Times New Roman" w:hAnsi="Times New Roman" w:cs="Times New Roman"/>
          <w:sz w:val="24"/>
          <w:szCs w:val="24"/>
        </w:rPr>
        <w:t>became the point of reference in relation to which the structure of precedence and authority in th</w:t>
      </w:r>
      <w:r w:rsidR="001B7130">
        <w:rPr>
          <w:rFonts w:ascii="Times New Roman" w:hAnsi="Times New Roman" w:cs="Times New Roman"/>
          <w:sz w:val="24"/>
          <w:szCs w:val="24"/>
        </w:rPr>
        <w:t>e town is made visually present’. This was the ‘social miracle’</w:t>
      </w:r>
      <w:r w:rsidRPr="00BC15F8">
        <w:rPr>
          <w:rFonts w:ascii="Times New Roman" w:hAnsi="Times New Roman" w:cs="Times New Roman"/>
          <w:sz w:val="24"/>
          <w:szCs w:val="24"/>
        </w:rPr>
        <w:t>, the sacramental embodiment of social reality. But it was often, perhaps always, a precarious and difficult process, an attempt to tame and contain disorder, or to impose the hegemony of particular groups, rather than the straightforward expression of the inner harmonies of a community at peace with itself. …</w:t>
      </w:r>
    </w:p>
    <w:p w14:paraId="507417BA" w14:textId="77777777" w:rsidR="003D7DB7" w:rsidRPr="00BC15F8" w:rsidRDefault="003D7DB7" w:rsidP="00650E42">
      <w:pPr>
        <w:spacing w:after="0" w:line="480" w:lineRule="auto"/>
        <w:rPr>
          <w:rFonts w:ascii="Times New Roman" w:hAnsi="Times New Roman" w:cs="Times New Roman"/>
          <w:sz w:val="24"/>
          <w:szCs w:val="24"/>
        </w:rPr>
      </w:pPr>
      <w:r w:rsidRPr="00BC15F8">
        <w:rPr>
          <w:rFonts w:ascii="Times New Roman" w:hAnsi="Times New Roman" w:cs="Times New Roman"/>
          <w:sz w:val="24"/>
          <w:szCs w:val="24"/>
        </w:rPr>
        <w:t xml:space="preserve">Mere participation in ceremony, therefore, was no infallible indicator of either individual piety or social harmony. As the village or urban community’s most usual gathering-place, the church and the ceremonies conducted there certainly had many functions not envisaged by the rubrics. Young men went to church to survey the young women, and a neighbor </w:t>
      </w:r>
      <w:r w:rsidRPr="00BC15F8">
        <w:rPr>
          <w:rFonts w:ascii="Times New Roman" w:hAnsi="Times New Roman" w:cs="Times New Roman"/>
          <w:sz w:val="24"/>
          <w:szCs w:val="24"/>
        </w:rPr>
        <w:lastRenderedPageBreak/>
        <w:t>attempted the seduction of Margery Kempe as they both went to evensong on the patronal festival of their parish church …</w:t>
      </w:r>
      <w:r>
        <w:rPr>
          <w:rFonts w:ascii="Times New Roman" w:hAnsi="Times New Roman" w:cs="Times New Roman"/>
          <w:sz w:val="24"/>
          <w:szCs w:val="24"/>
        </w:rPr>
        <w:t xml:space="preserve"> [11-12]</w:t>
      </w:r>
    </w:p>
    <w:p w14:paraId="10BF22F3" w14:textId="77777777" w:rsidR="00887B3F" w:rsidRDefault="00887B3F">
      <w:pPr>
        <w:spacing w:after="0" w:line="480" w:lineRule="auto"/>
      </w:pPr>
    </w:p>
    <w:sectPr w:rsidR="00887B3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游ゴシック Light">
    <w:panose1 w:val="00000000000000000000"/>
    <w:charset w:val="80"/>
    <w:family w:val="roman"/>
    <w:notTrueType/>
    <w:pitch w:val="default"/>
  </w:font>
  <w:font w:name="Calibri Light">
    <w:panose1 w:val="020F0302020204030204"/>
    <w:charset w:val="00"/>
    <w:family w:val="auto"/>
    <w:pitch w:val="variable"/>
    <w:sig w:usb0="A00002EF" w:usb1="4000207B" w:usb2="00000000" w:usb3="00000000" w:csb0="0000009F" w:csb1="00000000"/>
  </w:font>
  <w:font w:name="游明朝">
    <w:panose1 w:val="00000000000000000000"/>
    <w:charset w:val="8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7DB7"/>
    <w:rsid w:val="00087C67"/>
    <w:rsid w:val="000B3D3A"/>
    <w:rsid w:val="001025ED"/>
    <w:rsid w:val="001B1B57"/>
    <w:rsid w:val="001B7130"/>
    <w:rsid w:val="003A4635"/>
    <w:rsid w:val="003D7DB7"/>
    <w:rsid w:val="00402A41"/>
    <w:rsid w:val="0052671D"/>
    <w:rsid w:val="00650E42"/>
    <w:rsid w:val="00715B84"/>
    <w:rsid w:val="00887B3F"/>
    <w:rsid w:val="009E72E0"/>
    <w:rsid w:val="00B41BD1"/>
    <w:rsid w:val="00B952A0"/>
    <w:rsid w:val="00BD4C0F"/>
    <w:rsid w:val="00CD0961"/>
    <w:rsid w:val="00CF1D0B"/>
    <w:rsid w:val="00CF3D46"/>
    <w:rsid w:val="00D47797"/>
    <w:rsid w:val="00DB05B9"/>
    <w:rsid w:val="00F03100"/>
    <w:rsid w:val="00F12B56"/>
    <w:rsid w:val="00F22FF6"/>
    <w:rsid w:val="00FA5D1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6A057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7DB7"/>
    <w:pPr>
      <w:spacing w:after="200" w:line="276" w:lineRule="auto"/>
    </w:pPr>
    <w:rPr>
      <w:rFonts w:eastAsiaTheme="minorHAnsi"/>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ootnote">
    <w:name w:val="Footnote"/>
    <w:basedOn w:val="Normal"/>
    <w:qFormat/>
    <w:rsid w:val="00F22FF6"/>
    <w:pPr>
      <w:spacing w:after="0" w:line="240" w:lineRule="auto"/>
    </w:pPr>
    <w:rPr>
      <w:rFonts w:ascii="Times New Roman" w:eastAsia="Times New Roman" w:hAnsi="Times New Roman" w:cs="Times New Roman"/>
      <w:sz w:val="20"/>
      <w:lang w:val="en-GB" w:eastAsia="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7DB7"/>
    <w:pPr>
      <w:spacing w:after="200" w:line="276" w:lineRule="auto"/>
    </w:pPr>
    <w:rPr>
      <w:rFonts w:eastAsiaTheme="minorHAnsi"/>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ootnote">
    <w:name w:val="Footnote"/>
    <w:basedOn w:val="Normal"/>
    <w:qFormat/>
    <w:rsid w:val="00F22FF6"/>
    <w:pPr>
      <w:spacing w:after="0" w:line="240" w:lineRule="auto"/>
    </w:pPr>
    <w:rPr>
      <w:rFonts w:ascii="Times New Roman" w:eastAsia="Times New Roman" w:hAnsi="Times New Roman" w:cs="Times New Roman"/>
      <w:sz w:val="20"/>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5</Pages>
  <Words>1193</Words>
  <Characters>6801</Characters>
  <Application>Microsoft Macintosh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Beat</dc:creator>
  <cp:keywords/>
  <dc:description/>
  <cp:lastModifiedBy>Scott Dixon</cp:lastModifiedBy>
  <cp:revision>10</cp:revision>
  <dcterms:created xsi:type="dcterms:W3CDTF">2018-07-19T17:19:00Z</dcterms:created>
  <dcterms:modified xsi:type="dcterms:W3CDTF">2018-12-07T07:57:00Z</dcterms:modified>
</cp:coreProperties>
</file>