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7C2" w:rsidRDefault="008527C2" w:rsidP="008527C2">
      <w:pPr>
        <w:pStyle w:val="Heading1"/>
        <w:jc w:val="left"/>
        <w:rPr>
          <w:rFonts w:ascii="Times New Roman" w:hAnsi="Times New Roman"/>
          <w:b w:val="0"/>
        </w:rPr>
      </w:pPr>
      <w:bookmarkStart w:id="0" w:name="_GoBack"/>
      <w:bookmarkEnd w:id="0"/>
      <w:r w:rsidRPr="00320251">
        <w:rPr>
          <w:rFonts w:ascii="Times New Roman" w:hAnsi="Times New Roman"/>
          <w:b w:val="0"/>
        </w:rPr>
        <w:t>What was humanism?</w:t>
      </w:r>
      <w:r>
        <w:rPr>
          <w:rFonts w:ascii="Times New Roman" w:hAnsi="Times New Roman"/>
          <w:b w:val="0"/>
        </w:rPr>
        <w:t xml:space="preserve"> •</w:t>
      </w:r>
      <w:r w:rsidRPr="00320251">
        <w:rPr>
          <w:rFonts w:ascii="Times New Roman" w:hAnsi="Times New Roman"/>
          <w:b w:val="0"/>
        </w:rPr>
        <w:t xml:space="preserve">How did the Italian Renaissance influence northern Europe? </w:t>
      </w:r>
      <w:r>
        <w:rPr>
          <w:rFonts w:ascii="Times New Roman" w:hAnsi="Times New Roman"/>
          <w:b w:val="0"/>
        </w:rPr>
        <w:t>•</w:t>
      </w:r>
      <w:r w:rsidRPr="00320251">
        <w:rPr>
          <w:rFonts w:ascii="Times New Roman" w:hAnsi="Times New Roman"/>
          <w:b w:val="0"/>
        </w:rPr>
        <w:t xml:space="preserve">How did humanism develop in northern Europe? </w:t>
      </w:r>
      <w:r>
        <w:rPr>
          <w:rFonts w:ascii="Times New Roman" w:hAnsi="Times New Roman"/>
          <w:b w:val="0"/>
        </w:rPr>
        <w:t>•</w:t>
      </w:r>
      <w:r w:rsidRPr="00320251">
        <w:rPr>
          <w:rFonts w:ascii="Times New Roman" w:hAnsi="Times New Roman"/>
          <w:b w:val="0"/>
        </w:rPr>
        <w:t xml:space="preserve">What was the contribution of Erasmus? </w:t>
      </w:r>
      <w:r>
        <w:rPr>
          <w:rFonts w:ascii="Times New Roman" w:hAnsi="Times New Roman"/>
          <w:b w:val="0"/>
        </w:rPr>
        <w:t>•</w:t>
      </w:r>
      <w:r w:rsidRPr="00320251">
        <w:rPr>
          <w:rFonts w:ascii="Times New Roman" w:hAnsi="Times New Roman"/>
          <w:b w:val="0"/>
        </w:rPr>
        <w:t>What was the importance of humanism for the Reformation?</w:t>
      </w:r>
    </w:p>
    <w:p w:rsidR="008527C2" w:rsidRDefault="008527C2" w:rsidP="008527C2">
      <w:pPr>
        <w:pStyle w:val="Heading1"/>
        <w:ind w:firstLine="720"/>
        <w:jc w:val="left"/>
        <w:rPr>
          <w:rFonts w:ascii="Times New Roman" w:hAnsi="Times New Roman"/>
          <w:b w:val="0"/>
        </w:rPr>
      </w:pPr>
      <w:r w:rsidRPr="004871A3">
        <w:rPr>
          <w:rFonts w:ascii="Times New Roman" w:hAnsi="Times New Roman"/>
        </w:rPr>
        <w:t>Some introductory cautions:</w:t>
      </w:r>
      <w:r>
        <w:rPr>
          <w:rFonts w:ascii="Times New Roman" w:hAnsi="Times New Roman"/>
          <w:b w:val="0"/>
        </w:rPr>
        <w:t xml:space="preserve"> 1) modern meaning of ‘humanist’ usually someone who does not believe in God (‘secular humanist’) not relevant here 2) ‘humanism’ an anachronistic term, coined in Germany in 19</w:t>
      </w:r>
      <w:r w:rsidRPr="004871A3">
        <w:rPr>
          <w:rFonts w:ascii="Times New Roman" w:hAnsi="Times New Roman"/>
          <w:b w:val="0"/>
          <w:vertAlign w:val="superscript"/>
        </w:rPr>
        <w:t>th</w:t>
      </w:r>
      <w:r>
        <w:rPr>
          <w:rFonts w:ascii="Times New Roman" w:hAnsi="Times New Roman"/>
          <w:b w:val="0"/>
        </w:rPr>
        <w:t xml:space="preserve"> century 3) No humanist ‘movement’, in sense of organised society of people, or coherent programme of action: humanists had a range of philosophical, political and religious ideas, and sometimes argued furiously!</w:t>
      </w:r>
    </w:p>
    <w:p w:rsidR="008527C2" w:rsidRDefault="008527C2" w:rsidP="008527C2">
      <w:pPr>
        <w:ind w:firstLine="720"/>
      </w:pPr>
      <w:r w:rsidRPr="004871A3">
        <w:rPr>
          <w:b/>
        </w:rPr>
        <w:t>So what was humanism?</w:t>
      </w:r>
      <w:r>
        <w:t xml:space="preserve"> Contemporaries</w:t>
      </w:r>
      <w:r w:rsidRPr="003E0370">
        <w:t xml:space="preserve"> </w:t>
      </w:r>
      <w:r>
        <w:t>used</w:t>
      </w:r>
      <w:r w:rsidRPr="003E0370">
        <w:t xml:space="preserve"> word </w:t>
      </w:r>
      <w:proofErr w:type="spellStart"/>
      <w:r w:rsidRPr="003E0370">
        <w:rPr>
          <w:i/>
          <w:iCs/>
        </w:rPr>
        <w:t>umanista</w:t>
      </w:r>
      <w:proofErr w:type="spellEnd"/>
      <w:r>
        <w:t xml:space="preserve"> to refer </w:t>
      </w:r>
      <w:r w:rsidRPr="003E0370">
        <w:t xml:space="preserve">to </w:t>
      </w:r>
      <w:r>
        <w:t xml:space="preserve">student or teacher of the </w:t>
      </w:r>
      <w:proofErr w:type="spellStart"/>
      <w:r w:rsidRPr="003E0370">
        <w:rPr>
          <w:i/>
          <w:iCs/>
        </w:rPr>
        <w:t>studia</w:t>
      </w:r>
      <w:proofErr w:type="spellEnd"/>
      <w:r w:rsidRPr="003E0370">
        <w:rPr>
          <w:i/>
          <w:iCs/>
        </w:rPr>
        <w:t xml:space="preserve"> </w:t>
      </w:r>
      <w:proofErr w:type="spellStart"/>
      <w:proofErr w:type="gramStart"/>
      <w:r w:rsidRPr="003E0370">
        <w:rPr>
          <w:i/>
          <w:iCs/>
        </w:rPr>
        <w:t>humanitatis</w:t>
      </w:r>
      <w:proofErr w:type="spellEnd"/>
      <w:r>
        <w:t xml:space="preserve"> </w:t>
      </w:r>
      <w:r w:rsidRPr="003E0370">
        <w:t xml:space="preserve"> </w:t>
      </w:r>
      <w:r>
        <w:t>(</w:t>
      </w:r>
      <w:proofErr w:type="gramEnd"/>
      <w:r w:rsidRPr="003E0370">
        <w:t>grammar, rhetoric, poetry</w:t>
      </w:r>
      <w:r>
        <w:t>, moral philosophy, and history) –alternative to the traditional, ‘scholastic’ curriculum which emphasised formal logic. Inspiration of classical antiquity: p</w:t>
      </w:r>
      <w:r w:rsidRPr="003E0370">
        <w:t xml:space="preserve">rofessors and students of the </w:t>
      </w:r>
      <w:proofErr w:type="spellStart"/>
      <w:r w:rsidRPr="003E0370">
        <w:rPr>
          <w:i/>
          <w:iCs/>
        </w:rPr>
        <w:t>studia</w:t>
      </w:r>
      <w:proofErr w:type="spellEnd"/>
      <w:r w:rsidRPr="003E0370">
        <w:rPr>
          <w:i/>
          <w:iCs/>
        </w:rPr>
        <w:t xml:space="preserve"> </w:t>
      </w:r>
      <w:proofErr w:type="spellStart"/>
      <w:r w:rsidRPr="003E0370">
        <w:rPr>
          <w:i/>
          <w:iCs/>
        </w:rPr>
        <w:t>humanitatis</w:t>
      </w:r>
      <w:proofErr w:type="spellEnd"/>
      <w:r w:rsidRPr="003E0370">
        <w:t xml:space="preserve"> modelled their writings on those of the ancient Greeks and Romans.  </w:t>
      </w:r>
    </w:p>
    <w:p w:rsidR="008527C2" w:rsidRPr="003E0370" w:rsidRDefault="008527C2" w:rsidP="008527C2">
      <w:pPr>
        <w:ind w:firstLine="720"/>
      </w:pPr>
      <w:r>
        <w:rPr>
          <w:b/>
          <w:bCs/>
        </w:rPr>
        <w:t>The heart of humanism</w:t>
      </w:r>
      <w:r w:rsidRPr="003E0370">
        <w:rPr>
          <w:b/>
          <w:bCs/>
        </w:rPr>
        <w:t>:</w:t>
      </w:r>
      <w:r>
        <w:rPr>
          <w:b/>
          <w:bCs/>
        </w:rPr>
        <w:t xml:space="preserve"> </w:t>
      </w:r>
      <w:r>
        <w:rPr>
          <w:bCs/>
        </w:rPr>
        <w:t xml:space="preserve">shared literary and cultural aims. 1) </w:t>
      </w:r>
      <w:proofErr w:type="spellStart"/>
      <w:proofErr w:type="gramStart"/>
      <w:r w:rsidRPr="00320251">
        <w:rPr>
          <w:bCs/>
          <w:i/>
        </w:rPr>
        <w:t>bonae</w:t>
      </w:r>
      <w:proofErr w:type="spellEnd"/>
      <w:proofErr w:type="gramEnd"/>
      <w:r w:rsidRPr="00320251">
        <w:rPr>
          <w:bCs/>
          <w:i/>
        </w:rPr>
        <w:t xml:space="preserve"> </w:t>
      </w:r>
      <w:proofErr w:type="spellStart"/>
      <w:r w:rsidRPr="00320251">
        <w:rPr>
          <w:bCs/>
          <w:i/>
        </w:rPr>
        <w:t>litterae</w:t>
      </w:r>
      <w:proofErr w:type="spellEnd"/>
      <w:r>
        <w:rPr>
          <w:bCs/>
        </w:rPr>
        <w:t xml:space="preserve"> (good letters): concern with good writing and eloquence, needed for a text to bring forth a genuine moral or ethical response. 2) </w:t>
      </w:r>
      <w:proofErr w:type="spellStart"/>
      <w:r w:rsidRPr="00320251">
        <w:rPr>
          <w:bCs/>
          <w:i/>
        </w:rPr>
        <w:t>ad</w:t>
      </w:r>
      <w:proofErr w:type="spellEnd"/>
      <w:r w:rsidRPr="00320251">
        <w:rPr>
          <w:bCs/>
          <w:i/>
        </w:rPr>
        <w:t xml:space="preserve"> </w:t>
      </w:r>
      <w:proofErr w:type="spellStart"/>
      <w:r w:rsidRPr="00320251">
        <w:rPr>
          <w:bCs/>
          <w:i/>
        </w:rPr>
        <w:t>fontes</w:t>
      </w:r>
      <w:proofErr w:type="spellEnd"/>
      <w:r w:rsidRPr="00320251">
        <w:rPr>
          <w:bCs/>
        </w:rPr>
        <w:t xml:space="preserve"> </w:t>
      </w:r>
      <w:r>
        <w:rPr>
          <w:bCs/>
        </w:rPr>
        <w:t xml:space="preserve">(back to the sources): </w:t>
      </w:r>
      <w:r w:rsidRPr="003E0370">
        <w:t xml:space="preserve">ancient texts corrupted </w:t>
      </w:r>
      <w:r>
        <w:t>due to copying errors and layers of commentary during</w:t>
      </w:r>
      <w:r w:rsidRPr="003E0370">
        <w:t xml:space="preserve"> </w:t>
      </w:r>
      <w:r>
        <w:t xml:space="preserve">Middle Ages; need to remove layer of ‘corruption’ and establish ‘pure’ texts, including of </w:t>
      </w:r>
      <w:r w:rsidRPr="003E0370">
        <w:t>major</w:t>
      </w:r>
      <w:r>
        <w:t xml:space="preserve"> figures of early Christianity (Church Fathers) and also of Bible itself. </w:t>
      </w:r>
      <w:proofErr w:type="gramStart"/>
      <w:r>
        <w:t xml:space="preserve">Conviction that purer editions would lead to moral reform, </w:t>
      </w:r>
      <w:r w:rsidRPr="003E0370">
        <w:t>a new vitality and dynamism</w:t>
      </w:r>
      <w:r>
        <w:t xml:space="preserve"> in religious life.</w:t>
      </w:r>
      <w:proofErr w:type="gramEnd"/>
    </w:p>
    <w:p w:rsidR="008527C2" w:rsidRDefault="008527C2" w:rsidP="008527C2">
      <w:pPr>
        <w:ind w:firstLine="720"/>
      </w:pPr>
      <w:r w:rsidRPr="00320251">
        <w:rPr>
          <w:b/>
        </w:rPr>
        <w:t>Italian Renaissance and Northern Renaissance:</w:t>
      </w:r>
      <w:r>
        <w:t xml:space="preserve"> origins of humanism </w:t>
      </w:r>
      <w:proofErr w:type="gramStart"/>
      <w:r>
        <w:t xml:space="preserve">in  </w:t>
      </w:r>
      <w:r w:rsidRPr="003E0370">
        <w:t>Italian</w:t>
      </w:r>
      <w:proofErr w:type="gramEnd"/>
      <w:r w:rsidRPr="003E0370">
        <w:t xml:space="preserve"> cities like </w:t>
      </w:r>
      <w:r>
        <w:t>Florence, Rome, and Venice, from later 14</w:t>
      </w:r>
      <w:r w:rsidRPr="00320251">
        <w:rPr>
          <w:vertAlign w:val="superscript"/>
        </w:rPr>
        <w:t>th</w:t>
      </w:r>
      <w:r>
        <w:t xml:space="preserve"> century. Diffusion to northern Europe through 1) visits of Italian humanists, </w:t>
      </w:r>
      <w:proofErr w:type="spellStart"/>
      <w:r>
        <w:t>eg</w:t>
      </w:r>
      <w:proofErr w:type="spellEnd"/>
      <w:r>
        <w:t xml:space="preserve"> </w:t>
      </w:r>
      <w:r w:rsidRPr="003E0370">
        <w:t xml:space="preserve">Aeneas </w:t>
      </w:r>
      <w:proofErr w:type="spellStart"/>
      <w:r w:rsidRPr="003E0370">
        <w:t>Sylvius</w:t>
      </w:r>
      <w:proofErr w:type="spellEnd"/>
      <w:r w:rsidRPr="003E0370">
        <w:t xml:space="preserve"> </w:t>
      </w:r>
      <w:proofErr w:type="spellStart"/>
      <w:r w:rsidRPr="003E0370">
        <w:t>Piccolomini</w:t>
      </w:r>
      <w:proofErr w:type="spellEnd"/>
      <w:r>
        <w:t xml:space="preserve"> (later Pius II) employed as secretary at court of </w:t>
      </w:r>
      <w:r w:rsidRPr="003E0370">
        <w:t>Emperor Frederick III (1440-93</w:t>
      </w:r>
      <w:r>
        <w:t xml:space="preserve">); </w:t>
      </w:r>
      <w:proofErr w:type="spellStart"/>
      <w:r>
        <w:t>Polydore</w:t>
      </w:r>
      <w:proofErr w:type="spellEnd"/>
      <w:r>
        <w:t xml:space="preserve"> Vergil employed as papal official in England of Henry VII. 2) North Europeans going to Italy to study or serve as diplomats – </w:t>
      </w:r>
      <w:proofErr w:type="spellStart"/>
      <w:r>
        <w:t>eg</w:t>
      </w:r>
      <w:proofErr w:type="spellEnd"/>
      <w:r>
        <w:t xml:space="preserve"> after study at Bologna, diplomat and lawyer </w:t>
      </w:r>
      <w:proofErr w:type="spellStart"/>
      <w:r w:rsidRPr="003E0370">
        <w:t>Christoph</w:t>
      </w:r>
      <w:proofErr w:type="spellEnd"/>
      <w:r w:rsidRPr="003E0370">
        <w:t xml:space="preserve"> </w:t>
      </w:r>
      <w:proofErr w:type="spellStart"/>
      <w:r w:rsidRPr="003E0370">
        <w:t>Scheurl</w:t>
      </w:r>
      <w:proofErr w:type="spellEnd"/>
      <w:r w:rsidRPr="003E0370">
        <w:t xml:space="preserve"> supported humanist reform of the curriculum at </w:t>
      </w:r>
      <w:r>
        <w:t>new</w:t>
      </w:r>
      <w:r w:rsidRPr="003E0370">
        <w:t xml:space="preserve"> University of Wittenberg</w:t>
      </w:r>
      <w:r>
        <w:t xml:space="preserve"> (</w:t>
      </w:r>
      <w:proofErr w:type="gramStart"/>
      <w:r w:rsidRPr="003E0370">
        <w:t>may</w:t>
      </w:r>
      <w:proofErr w:type="gramEnd"/>
      <w:r w:rsidRPr="003E0370">
        <w:t xml:space="preserve"> have attracted Martin Luther to teach </w:t>
      </w:r>
      <w:r>
        <w:t>there)</w:t>
      </w:r>
      <w:r w:rsidRPr="003E0370">
        <w:t>.</w:t>
      </w:r>
      <w:r>
        <w:t xml:space="preserve"> 3) Letters: humanism an international ‘republic of letters’; not just private correspondence, but intended to be widely circulated and read. 4) Books and printing: Italy, esp. Venice, centre of European </w:t>
      </w:r>
      <w:r w:rsidRPr="003E0370">
        <w:t>printing industry Press</w:t>
      </w:r>
      <w:r>
        <w:t xml:space="preserve"> of Aldus </w:t>
      </w:r>
      <w:proofErr w:type="gramStart"/>
      <w:r>
        <w:t xml:space="preserve">Manutius </w:t>
      </w:r>
      <w:r w:rsidRPr="003E0370">
        <w:t xml:space="preserve"> specialized</w:t>
      </w:r>
      <w:proofErr w:type="gramEnd"/>
      <w:r w:rsidRPr="003E0370">
        <w:t xml:space="preserve"> in humanist editions of classical texts</w:t>
      </w:r>
      <w:r>
        <w:t xml:space="preserve">, often </w:t>
      </w:r>
      <w:r w:rsidRPr="003E0370">
        <w:t>reprinte</w:t>
      </w:r>
      <w:r>
        <w:t>d by presses in northern Europe</w:t>
      </w:r>
      <w:r w:rsidRPr="003E0370">
        <w:t>.</w:t>
      </w:r>
    </w:p>
    <w:p w:rsidR="008527C2" w:rsidRDefault="008527C2" w:rsidP="008527C2">
      <w:pPr>
        <w:pStyle w:val="Heading1"/>
        <w:ind w:firstLine="720"/>
        <w:jc w:val="left"/>
        <w:rPr>
          <w:rFonts w:ascii="Times New Roman" w:hAnsi="Times New Roman"/>
          <w:b w:val="0"/>
        </w:rPr>
      </w:pPr>
      <w:r>
        <w:rPr>
          <w:rFonts w:ascii="Times New Roman" w:hAnsi="Times New Roman"/>
        </w:rPr>
        <w:t>Patterns of development</w:t>
      </w:r>
      <w:r w:rsidRPr="003E0370">
        <w:rPr>
          <w:rFonts w:ascii="Times New Roman" w:hAnsi="Times New Roman"/>
        </w:rPr>
        <w:t xml:space="preserve"> in northern Europe</w:t>
      </w:r>
      <w:r>
        <w:rPr>
          <w:rFonts w:ascii="Times New Roman" w:hAnsi="Times New Roman"/>
        </w:rPr>
        <w:t xml:space="preserve">: 1) </w:t>
      </w:r>
      <w:r w:rsidRPr="00823C53">
        <w:rPr>
          <w:rFonts w:ascii="Times New Roman" w:hAnsi="Times New Roman"/>
        </w:rPr>
        <w:t>The Empire</w:t>
      </w:r>
      <w:r>
        <w:rPr>
          <w:rFonts w:ascii="Times New Roman" w:hAnsi="Times New Roman"/>
          <w:b w:val="0"/>
        </w:rPr>
        <w:t xml:space="preserve">. </w:t>
      </w:r>
      <w:r w:rsidRPr="00823C53">
        <w:rPr>
          <w:rFonts w:ascii="Times New Roman" w:hAnsi="Times New Roman"/>
          <w:b w:val="0"/>
        </w:rPr>
        <w:t xml:space="preserve">From </w:t>
      </w:r>
      <w:r>
        <w:rPr>
          <w:rFonts w:ascii="Times New Roman" w:hAnsi="Times New Roman"/>
          <w:b w:val="0"/>
        </w:rPr>
        <w:t>late fifteenth century humanist poets and orators appearing</w:t>
      </w:r>
      <w:r w:rsidRPr="00823C53">
        <w:rPr>
          <w:rFonts w:ascii="Times New Roman" w:hAnsi="Times New Roman"/>
          <w:b w:val="0"/>
        </w:rPr>
        <w:t xml:space="preserve"> at German universities</w:t>
      </w:r>
      <w:r>
        <w:rPr>
          <w:rFonts w:ascii="Times New Roman" w:hAnsi="Times New Roman"/>
          <w:b w:val="0"/>
        </w:rPr>
        <w:t xml:space="preserve"> and moving between them</w:t>
      </w:r>
      <w:r w:rsidRPr="00823C53">
        <w:rPr>
          <w:rFonts w:ascii="Times New Roman" w:hAnsi="Times New Roman"/>
          <w:b w:val="0"/>
        </w:rPr>
        <w:t xml:space="preserve">.  </w:t>
      </w:r>
      <w:r w:rsidRPr="00EF4DC4">
        <w:rPr>
          <w:rFonts w:ascii="Times New Roman" w:hAnsi="Times New Roman"/>
          <w:b w:val="0"/>
        </w:rPr>
        <w:t xml:space="preserve">German cities contained important humanistic circles. </w:t>
      </w:r>
      <w:proofErr w:type="spellStart"/>
      <w:proofErr w:type="gramStart"/>
      <w:r w:rsidRPr="00EF4DC4">
        <w:rPr>
          <w:rFonts w:ascii="Times New Roman" w:hAnsi="Times New Roman"/>
          <w:b w:val="0"/>
        </w:rPr>
        <w:t>Eg</w:t>
      </w:r>
      <w:proofErr w:type="spellEnd"/>
      <w:r w:rsidRPr="00EF4DC4">
        <w:rPr>
          <w:rFonts w:ascii="Times New Roman" w:hAnsi="Times New Roman"/>
          <w:b w:val="0"/>
        </w:rPr>
        <w:t xml:space="preserve">, Nuremberg, where </w:t>
      </w:r>
      <w:r>
        <w:rPr>
          <w:rFonts w:ascii="Times New Roman" w:hAnsi="Times New Roman"/>
          <w:b w:val="0"/>
        </w:rPr>
        <w:t xml:space="preserve">wealthy patrician </w:t>
      </w:r>
      <w:r w:rsidRPr="00EF4DC4">
        <w:rPr>
          <w:rFonts w:ascii="Times New Roman" w:hAnsi="Times New Roman"/>
          <w:b w:val="0"/>
        </w:rPr>
        <w:t xml:space="preserve">Willibald </w:t>
      </w:r>
      <w:proofErr w:type="spellStart"/>
      <w:r w:rsidRPr="00EF4DC4">
        <w:rPr>
          <w:rFonts w:ascii="Times New Roman" w:hAnsi="Times New Roman"/>
          <w:b w:val="0"/>
        </w:rPr>
        <w:t>Pirckheimer</w:t>
      </w:r>
      <w:proofErr w:type="spellEnd"/>
      <w:r w:rsidRPr="00EF4DC4">
        <w:rPr>
          <w:rFonts w:ascii="Times New Roman" w:hAnsi="Times New Roman"/>
          <w:b w:val="0"/>
        </w:rPr>
        <w:t xml:space="preserve"> translated ethical and religious works from Greek and Latin into German</w:t>
      </w:r>
      <w:r>
        <w:rPr>
          <w:rFonts w:ascii="Times New Roman" w:hAnsi="Times New Roman"/>
          <w:b w:val="0"/>
        </w:rPr>
        <w:t>.</w:t>
      </w:r>
      <w:proofErr w:type="gramEnd"/>
      <w:r>
        <w:rPr>
          <w:rFonts w:ascii="Times New Roman" w:hAnsi="Times New Roman"/>
          <w:b w:val="0"/>
        </w:rPr>
        <w:t xml:space="preserve"> </w:t>
      </w:r>
      <w:proofErr w:type="gramStart"/>
      <w:r>
        <w:rPr>
          <w:rFonts w:ascii="Times New Roman" w:hAnsi="Times New Roman"/>
          <w:b w:val="0"/>
        </w:rPr>
        <w:t>On eve of Reformation, German humanism energised by Reuchlin Controversy.</w:t>
      </w:r>
      <w:proofErr w:type="gramEnd"/>
      <w:r>
        <w:rPr>
          <w:rFonts w:ascii="Times New Roman" w:hAnsi="Times New Roman"/>
          <w:b w:val="0"/>
        </w:rPr>
        <w:t xml:space="preserve"> Johann Reuchlin a humanist who had mastered not only Latin and Greek, but also Hebrew (and argued in book of 1505 that gentle methods should be used to convert Jews). Opposed by </w:t>
      </w:r>
      <w:r w:rsidRPr="00996692">
        <w:rPr>
          <w:rFonts w:ascii="Times New Roman" w:hAnsi="Times New Roman"/>
          <w:b w:val="0"/>
        </w:rPr>
        <w:t xml:space="preserve">converted Jew Johannes </w:t>
      </w:r>
      <w:proofErr w:type="spellStart"/>
      <w:r w:rsidRPr="00996692">
        <w:rPr>
          <w:rFonts w:ascii="Times New Roman" w:hAnsi="Times New Roman"/>
          <w:b w:val="0"/>
        </w:rPr>
        <w:t>Pfefferkorn</w:t>
      </w:r>
      <w:proofErr w:type="spellEnd"/>
      <w:r w:rsidRPr="00996692">
        <w:rPr>
          <w:rFonts w:ascii="Times New Roman" w:hAnsi="Times New Roman"/>
          <w:b w:val="0"/>
        </w:rPr>
        <w:t xml:space="preserve">, who advocated much harsher methods: usury should be forbidden, Jews compelled to hear Christian sermons, and their books </w:t>
      </w:r>
      <w:r>
        <w:rPr>
          <w:rFonts w:ascii="Times New Roman" w:hAnsi="Times New Roman"/>
          <w:b w:val="0"/>
        </w:rPr>
        <w:t>taken from them</w:t>
      </w:r>
      <w:proofErr w:type="gramStart"/>
      <w:r>
        <w:rPr>
          <w:rFonts w:ascii="Times New Roman" w:hAnsi="Times New Roman"/>
          <w:b w:val="0"/>
        </w:rPr>
        <w:t xml:space="preserve">; </w:t>
      </w:r>
      <w:r w:rsidRPr="00996692">
        <w:rPr>
          <w:rFonts w:ascii="Times New Roman" w:hAnsi="Times New Roman"/>
          <w:b w:val="0"/>
        </w:rPr>
        <w:t xml:space="preserve"> also</w:t>
      </w:r>
      <w:proofErr w:type="gramEnd"/>
      <w:r w:rsidRPr="00996692">
        <w:rPr>
          <w:rFonts w:ascii="Times New Roman" w:hAnsi="Times New Roman"/>
          <w:b w:val="0"/>
        </w:rPr>
        <w:t xml:space="preserve"> advocated expelling them.</w:t>
      </w:r>
      <w:r>
        <w:rPr>
          <w:rFonts w:ascii="Times New Roman" w:hAnsi="Times New Roman"/>
          <w:b w:val="0"/>
        </w:rPr>
        <w:t xml:space="preserve"> Affair </w:t>
      </w:r>
      <w:r w:rsidRPr="00996692">
        <w:rPr>
          <w:rFonts w:ascii="Times New Roman" w:hAnsi="Times New Roman"/>
          <w:b w:val="0"/>
        </w:rPr>
        <w:t xml:space="preserve">polarized opinion in Germany: conservatives sided with </w:t>
      </w:r>
      <w:proofErr w:type="spellStart"/>
      <w:r w:rsidRPr="00996692">
        <w:rPr>
          <w:rFonts w:ascii="Times New Roman" w:hAnsi="Times New Roman"/>
          <w:b w:val="0"/>
        </w:rPr>
        <w:t>Pfefferkorn</w:t>
      </w:r>
      <w:proofErr w:type="spellEnd"/>
      <w:r w:rsidRPr="00996692">
        <w:rPr>
          <w:rFonts w:ascii="Times New Roman" w:hAnsi="Times New Roman"/>
          <w:b w:val="0"/>
        </w:rPr>
        <w:t xml:space="preserve">, while humanists, seeing themselves as the bearers of a more enlightened intellectual and religious outlook, rallied to Reuchlin. </w:t>
      </w:r>
    </w:p>
    <w:p w:rsidR="008527C2" w:rsidRPr="00671809" w:rsidRDefault="008527C2" w:rsidP="008527C2">
      <w:pPr>
        <w:pStyle w:val="Heading1"/>
        <w:ind w:firstLine="720"/>
        <w:jc w:val="left"/>
        <w:rPr>
          <w:rFonts w:ascii="Times New Roman" w:hAnsi="Times New Roman"/>
          <w:b w:val="0"/>
        </w:rPr>
      </w:pPr>
      <w:r w:rsidRPr="00996692">
        <w:rPr>
          <w:rFonts w:ascii="Times New Roman" w:hAnsi="Times New Roman"/>
        </w:rPr>
        <w:t>England:</w:t>
      </w:r>
      <w:r>
        <w:rPr>
          <w:rFonts w:ascii="Times New Roman" w:hAnsi="Times New Roman"/>
          <w:b w:val="0"/>
        </w:rPr>
        <w:t xml:space="preserve"> far end of the world for many </w:t>
      </w:r>
      <w:r w:rsidRPr="00996692">
        <w:rPr>
          <w:rFonts w:ascii="Times New Roman" w:hAnsi="Times New Roman"/>
          <w:b w:val="0"/>
        </w:rPr>
        <w:t>Italia</w:t>
      </w:r>
      <w:r>
        <w:rPr>
          <w:rFonts w:ascii="Times New Roman" w:hAnsi="Times New Roman"/>
          <w:b w:val="0"/>
        </w:rPr>
        <w:t>n humanists!  But by end 15</w:t>
      </w:r>
      <w:r w:rsidRPr="00996692">
        <w:rPr>
          <w:rFonts w:ascii="Times New Roman" w:hAnsi="Times New Roman"/>
          <w:b w:val="0"/>
          <w:vertAlign w:val="superscript"/>
        </w:rPr>
        <w:t>th</w:t>
      </w:r>
      <w:r>
        <w:rPr>
          <w:rFonts w:ascii="Times New Roman" w:hAnsi="Times New Roman"/>
          <w:b w:val="0"/>
        </w:rPr>
        <w:t xml:space="preserve"> century, significant contacts established: </w:t>
      </w:r>
      <w:r w:rsidRPr="00996692">
        <w:rPr>
          <w:rFonts w:ascii="Times New Roman" w:hAnsi="Times New Roman"/>
          <w:b w:val="0"/>
        </w:rPr>
        <w:t xml:space="preserve">William </w:t>
      </w:r>
      <w:proofErr w:type="spellStart"/>
      <w:r w:rsidRPr="00996692">
        <w:rPr>
          <w:rFonts w:ascii="Times New Roman" w:hAnsi="Times New Roman"/>
          <w:b w:val="0"/>
        </w:rPr>
        <w:t>Grocyn</w:t>
      </w:r>
      <w:proofErr w:type="spellEnd"/>
      <w:r w:rsidRPr="00996692">
        <w:rPr>
          <w:rFonts w:ascii="Times New Roman" w:hAnsi="Times New Roman"/>
          <w:b w:val="0"/>
        </w:rPr>
        <w:t xml:space="preserve"> studied in </w:t>
      </w:r>
      <w:r>
        <w:rPr>
          <w:rFonts w:ascii="Times New Roman" w:hAnsi="Times New Roman"/>
          <w:b w:val="0"/>
        </w:rPr>
        <w:t xml:space="preserve">Florence, </w:t>
      </w:r>
      <w:r w:rsidRPr="00996692">
        <w:rPr>
          <w:rFonts w:ascii="Times New Roman" w:hAnsi="Times New Roman"/>
          <w:b w:val="0"/>
        </w:rPr>
        <w:t xml:space="preserve">perfected knowledge of Greek, </w:t>
      </w:r>
      <w:r>
        <w:rPr>
          <w:rFonts w:ascii="Times New Roman" w:hAnsi="Times New Roman"/>
          <w:b w:val="0"/>
        </w:rPr>
        <w:t>and</w:t>
      </w:r>
      <w:r w:rsidRPr="00996692">
        <w:rPr>
          <w:rFonts w:ascii="Times New Roman" w:hAnsi="Times New Roman"/>
          <w:b w:val="0"/>
        </w:rPr>
        <w:t xml:space="preserve"> taught </w:t>
      </w:r>
      <w:r>
        <w:rPr>
          <w:rFonts w:ascii="Times New Roman" w:hAnsi="Times New Roman"/>
          <w:b w:val="0"/>
        </w:rPr>
        <w:t xml:space="preserve">it </w:t>
      </w:r>
      <w:r w:rsidRPr="00996692">
        <w:rPr>
          <w:rFonts w:ascii="Times New Roman" w:hAnsi="Times New Roman"/>
          <w:b w:val="0"/>
        </w:rPr>
        <w:t xml:space="preserve">at Oxford. Thomas Linacre, friend and Oxford colleague of </w:t>
      </w:r>
      <w:proofErr w:type="spellStart"/>
      <w:r w:rsidRPr="00996692">
        <w:rPr>
          <w:rFonts w:ascii="Times New Roman" w:hAnsi="Times New Roman"/>
          <w:b w:val="0"/>
        </w:rPr>
        <w:t>Grocyn</w:t>
      </w:r>
      <w:proofErr w:type="spellEnd"/>
      <w:r w:rsidRPr="00996692">
        <w:rPr>
          <w:rFonts w:ascii="Times New Roman" w:hAnsi="Times New Roman"/>
          <w:b w:val="0"/>
        </w:rPr>
        <w:t>, in Italy 1485 to 1499</w:t>
      </w:r>
      <w:r>
        <w:rPr>
          <w:rFonts w:ascii="Times New Roman" w:hAnsi="Times New Roman"/>
          <w:b w:val="0"/>
        </w:rPr>
        <w:t xml:space="preserve"> becomes royal tutor. Also student in Italy, Oxford clergyman </w:t>
      </w:r>
      <w:r w:rsidRPr="00671809">
        <w:rPr>
          <w:rFonts w:ascii="Times New Roman" w:hAnsi="Times New Roman"/>
          <w:b w:val="0"/>
        </w:rPr>
        <w:t xml:space="preserve">John Colet (1467?-1519), </w:t>
      </w:r>
      <w:r>
        <w:rPr>
          <w:rFonts w:ascii="Times New Roman" w:hAnsi="Times New Roman"/>
          <w:b w:val="0"/>
        </w:rPr>
        <w:t>beco</w:t>
      </w:r>
      <w:r w:rsidRPr="00671809">
        <w:rPr>
          <w:rFonts w:ascii="Times New Roman" w:hAnsi="Times New Roman"/>
          <w:b w:val="0"/>
        </w:rPr>
        <w:t>me</w:t>
      </w:r>
      <w:r>
        <w:rPr>
          <w:rFonts w:ascii="Times New Roman" w:hAnsi="Times New Roman"/>
          <w:b w:val="0"/>
        </w:rPr>
        <w:t>s</w:t>
      </w:r>
      <w:r w:rsidRPr="00671809">
        <w:rPr>
          <w:rFonts w:ascii="Times New Roman" w:hAnsi="Times New Roman"/>
          <w:b w:val="0"/>
        </w:rPr>
        <w:t xml:space="preserve"> dean of St. Paul’s </w:t>
      </w:r>
      <w:r>
        <w:rPr>
          <w:rFonts w:ascii="Times New Roman" w:hAnsi="Times New Roman"/>
          <w:b w:val="0"/>
        </w:rPr>
        <w:t>1504</w:t>
      </w:r>
      <w:r w:rsidRPr="00671809">
        <w:rPr>
          <w:rFonts w:ascii="Times New Roman" w:hAnsi="Times New Roman"/>
          <w:b w:val="0"/>
        </w:rPr>
        <w:t xml:space="preserve">. </w:t>
      </w:r>
      <w:r>
        <w:rPr>
          <w:rFonts w:ascii="Times New Roman" w:hAnsi="Times New Roman"/>
          <w:b w:val="0"/>
        </w:rPr>
        <w:t xml:space="preserve">Sermons stress grammatical meanings and historical context of bible. </w:t>
      </w:r>
      <w:proofErr w:type="gramStart"/>
      <w:r>
        <w:rPr>
          <w:rFonts w:ascii="Times New Roman" w:hAnsi="Times New Roman"/>
          <w:b w:val="0"/>
        </w:rPr>
        <w:t xml:space="preserve">Incorporated humanist ideals </w:t>
      </w:r>
      <w:r>
        <w:rPr>
          <w:rFonts w:ascii="Times New Roman" w:hAnsi="Times New Roman"/>
          <w:b w:val="0"/>
        </w:rPr>
        <w:lastRenderedPageBreak/>
        <w:t>of ‘good letters’ into statutes for St Paul’s School (founded 1510).</w:t>
      </w:r>
      <w:proofErr w:type="gramEnd"/>
      <w:r>
        <w:rPr>
          <w:rFonts w:ascii="Times New Roman" w:hAnsi="Times New Roman"/>
          <w:b w:val="0"/>
        </w:rPr>
        <w:t xml:space="preserve"> Most influential English humanist = lawyer Thomas More (1478-1535), friend of </w:t>
      </w:r>
      <w:proofErr w:type="spellStart"/>
      <w:r w:rsidRPr="00671809">
        <w:rPr>
          <w:rFonts w:ascii="Times New Roman" w:hAnsi="Times New Roman"/>
          <w:b w:val="0"/>
        </w:rPr>
        <w:t>Grocyn</w:t>
      </w:r>
      <w:proofErr w:type="spellEnd"/>
      <w:r w:rsidRPr="00671809">
        <w:rPr>
          <w:rFonts w:ascii="Times New Roman" w:hAnsi="Times New Roman"/>
          <w:b w:val="0"/>
        </w:rPr>
        <w:t>, Linacre, Colet, and Erasmus</w:t>
      </w:r>
      <w:r>
        <w:rPr>
          <w:rFonts w:ascii="Times New Roman" w:hAnsi="Times New Roman"/>
          <w:b w:val="0"/>
        </w:rPr>
        <w:t>.</w:t>
      </w:r>
      <w:r w:rsidRPr="003E0370">
        <w:t xml:space="preserve"> </w:t>
      </w:r>
      <w:r w:rsidRPr="00671809">
        <w:rPr>
          <w:rFonts w:ascii="Times New Roman" w:hAnsi="Times New Roman"/>
          <w:b w:val="0"/>
        </w:rPr>
        <w:t xml:space="preserve">In 1516 published </w:t>
      </w:r>
      <w:r w:rsidRPr="00671809">
        <w:rPr>
          <w:rFonts w:ascii="Times New Roman" w:hAnsi="Times New Roman"/>
          <w:b w:val="0"/>
          <w:i/>
        </w:rPr>
        <w:t>Utopia</w:t>
      </w:r>
      <w:r w:rsidRPr="00671809">
        <w:rPr>
          <w:rFonts w:ascii="Times New Roman" w:hAnsi="Times New Roman"/>
          <w:b w:val="0"/>
        </w:rPr>
        <w:t xml:space="preserve">, the greatest achievement of English humanism – advocates reform through playful satire and complex layers of fiction.  </w:t>
      </w:r>
    </w:p>
    <w:p w:rsidR="008527C2" w:rsidRDefault="008527C2" w:rsidP="008527C2">
      <w:pPr>
        <w:pStyle w:val="Heading1"/>
        <w:ind w:firstLine="720"/>
        <w:jc w:val="left"/>
        <w:rPr>
          <w:rStyle w:val="st1"/>
          <w:rFonts w:ascii="Times New Roman" w:hAnsi="Times New Roman"/>
          <w:b w:val="0"/>
        </w:rPr>
      </w:pPr>
      <w:r w:rsidRPr="009D07C4">
        <w:rPr>
          <w:rFonts w:ascii="Times New Roman" w:hAnsi="Times New Roman"/>
        </w:rPr>
        <w:t>France:</w:t>
      </w:r>
      <w:r>
        <w:rPr>
          <w:rFonts w:ascii="Times New Roman" w:hAnsi="Times New Roman"/>
          <w:b w:val="0"/>
        </w:rPr>
        <w:t xml:space="preserve"> medieval France maintained tradition of classic learning, and during Avignon papacy works of </w:t>
      </w:r>
      <w:r w:rsidRPr="00F82B93">
        <w:rPr>
          <w:rFonts w:ascii="Times New Roman" w:hAnsi="Times New Roman"/>
          <w:b w:val="0"/>
        </w:rPr>
        <w:t xml:space="preserve">Dante, Petrarch, and Boccaccio well known.  </w:t>
      </w:r>
      <w:r>
        <w:rPr>
          <w:rFonts w:ascii="Times New Roman" w:hAnsi="Times New Roman"/>
          <w:b w:val="0"/>
        </w:rPr>
        <w:t>University of Paris leading centre of ‘scholastic learning’, but humanism established there from late 15</w:t>
      </w:r>
      <w:r w:rsidRPr="00F82B93">
        <w:rPr>
          <w:rFonts w:ascii="Times New Roman" w:hAnsi="Times New Roman"/>
          <w:b w:val="0"/>
          <w:vertAlign w:val="superscript"/>
        </w:rPr>
        <w:t>th</w:t>
      </w:r>
      <w:r>
        <w:rPr>
          <w:rFonts w:ascii="Times New Roman" w:hAnsi="Times New Roman"/>
          <w:b w:val="0"/>
        </w:rPr>
        <w:t xml:space="preserve"> century, and university split by Reuchlin Affair.</w:t>
      </w:r>
      <w:r w:rsidRPr="003E0370">
        <w:t xml:space="preserve"> </w:t>
      </w:r>
      <w:r>
        <w:rPr>
          <w:rFonts w:ascii="Times New Roman" w:hAnsi="Times New Roman"/>
          <w:b w:val="0"/>
        </w:rPr>
        <w:t>New king</w:t>
      </w:r>
      <w:r w:rsidRPr="00F82B93">
        <w:rPr>
          <w:rFonts w:ascii="Times New Roman" w:hAnsi="Times New Roman"/>
          <w:b w:val="0"/>
        </w:rPr>
        <w:t xml:space="preserve"> Francis I </w:t>
      </w:r>
      <w:r>
        <w:rPr>
          <w:rFonts w:ascii="Times New Roman" w:hAnsi="Times New Roman"/>
          <w:b w:val="0"/>
        </w:rPr>
        <w:t>(</w:t>
      </w:r>
      <w:r w:rsidRPr="00F82B93">
        <w:rPr>
          <w:rFonts w:ascii="Times New Roman" w:hAnsi="Times New Roman"/>
          <w:b w:val="0"/>
        </w:rPr>
        <w:t>1515</w:t>
      </w:r>
      <w:r>
        <w:rPr>
          <w:rFonts w:ascii="Times New Roman" w:hAnsi="Times New Roman"/>
          <w:b w:val="0"/>
        </w:rPr>
        <w:t xml:space="preserve">) </w:t>
      </w:r>
      <w:r w:rsidRPr="00F82B93">
        <w:rPr>
          <w:rFonts w:ascii="Times New Roman" w:hAnsi="Times New Roman"/>
          <w:b w:val="0"/>
        </w:rPr>
        <w:t>genuine</w:t>
      </w:r>
      <w:r>
        <w:rPr>
          <w:rFonts w:ascii="Times New Roman" w:hAnsi="Times New Roman"/>
          <w:b w:val="0"/>
        </w:rPr>
        <w:t xml:space="preserve">ly interested in humanism, and sister </w:t>
      </w:r>
      <w:r w:rsidRPr="00F82B93">
        <w:rPr>
          <w:rFonts w:ascii="Times New Roman" w:hAnsi="Times New Roman"/>
          <w:b w:val="0"/>
        </w:rPr>
        <w:t>Marguerite of Angoulême, significant patron</w:t>
      </w:r>
      <w:r>
        <w:rPr>
          <w:rFonts w:ascii="Times New Roman" w:hAnsi="Times New Roman"/>
          <w:b w:val="0"/>
        </w:rPr>
        <w:t xml:space="preserve"> of church reform. French humanism had serious religious tone: </w:t>
      </w:r>
      <w:r w:rsidRPr="00F82B93">
        <w:rPr>
          <w:rFonts w:ascii="Times New Roman" w:hAnsi="Times New Roman"/>
          <w:b w:val="0"/>
        </w:rPr>
        <w:t xml:space="preserve"> moving force</w:t>
      </w:r>
      <w:r>
        <w:rPr>
          <w:rFonts w:ascii="Times New Roman" w:hAnsi="Times New Roman"/>
          <w:b w:val="0"/>
        </w:rPr>
        <w:t>,</w:t>
      </w:r>
      <w:r w:rsidRPr="00F82B93">
        <w:rPr>
          <w:rFonts w:ascii="Times New Roman" w:hAnsi="Times New Roman"/>
          <w:b w:val="0"/>
        </w:rPr>
        <w:t xml:space="preserve"> </w:t>
      </w:r>
      <w:r w:rsidRPr="00F82B93">
        <w:rPr>
          <w:rStyle w:val="st1"/>
          <w:rFonts w:ascii="Times New Roman" w:hAnsi="Times New Roman"/>
          <w:b w:val="0"/>
        </w:rPr>
        <w:t>Jacques Lefèvre d’Étaples</w:t>
      </w:r>
      <w:r>
        <w:rPr>
          <w:rStyle w:val="st1"/>
          <w:rFonts w:ascii="Times New Roman" w:hAnsi="Times New Roman"/>
          <w:b w:val="0"/>
        </w:rPr>
        <w:t xml:space="preserve"> (c. 1455-1536). Like Colet, sharp critic of clerical abuses and advocates literal interpretation of scripture. Colet, More, </w:t>
      </w:r>
      <w:r w:rsidRPr="00F82B93">
        <w:rPr>
          <w:rStyle w:val="st1"/>
          <w:rFonts w:ascii="Times New Roman" w:hAnsi="Times New Roman"/>
          <w:b w:val="0"/>
        </w:rPr>
        <w:t>Lefèvre</w:t>
      </w:r>
      <w:r>
        <w:rPr>
          <w:rStyle w:val="st1"/>
          <w:rFonts w:ascii="Times New Roman" w:hAnsi="Times New Roman"/>
          <w:b w:val="0"/>
        </w:rPr>
        <w:t>, and others friends and disciples of...</w:t>
      </w:r>
    </w:p>
    <w:p w:rsidR="008527C2" w:rsidRDefault="008527C2" w:rsidP="008527C2">
      <w:pPr>
        <w:ind w:firstLine="720"/>
      </w:pPr>
      <w:r w:rsidRPr="009D07C4">
        <w:rPr>
          <w:b/>
        </w:rPr>
        <w:t>Humanist Superstar: Erasmus of Rotterdam:</w:t>
      </w:r>
      <w:r>
        <w:t xml:space="preserve"> by far most influential Christian humanist, and creator of ambiguous legacy. Advocate of the ‘</w:t>
      </w:r>
      <w:proofErr w:type="spellStart"/>
      <w:r>
        <w:t>Philosophia</w:t>
      </w:r>
      <w:proofErr w:type="spellEnd"/>
      <w:r>
        <w:t xml:space="preserve"> Christi’ (philosophy of Christ): a simple, ethical Christianity, unencumbered by unnecessary rituals and ‘superstition’ – ideals put forward in his </w:t>
      </w:r>
      <w:r w:rsidRPr="003E0370">
        <w:rPr>
          <w:i/>
          <w:iCs/>
        </w:rPr>
        <w:t xml:space="preserve">Enchiridion </w:t>
      </w:r>
      <w:proofErr w:type="spellStart"/>
      <w:r w:rsidRPr="003E0370">
        <w:rPr>
          <w:i/>
          <w:iCs/>
        </w:rPr>
        <w:t>militis</w:t>
      </w:r>
      <w:proofErr w:type="spellEnd"/>
      <w:r w:rsidRPr="003E0370">
        <w:rPr>
          <w:i/>
          <w:iCs/>
        </w:rPr>
        <w:t xml:space="preserve"> </w:t>
      </w:r>
      <w:proofErr w:type="spellStart"/>
      <w:r w:rsidRPr="003E0370">
        <w:rPr>
          <w:i/>
          <w:iCs/>
        </w:rPr>
        <w:t>Christiani</w:t>
      </w:r>
      <w:proofErr w:type="spellEnd"/>
      <w:r w:rsidRPr="003E0370">
        <w:t xml:space="preserve"> (</w:t>
      </w:r>
      <w:r w:rsidRPr="003E0370">
        <w:rPr>
          <w:i/>
          <w:iCs/>
        </w:rPr>
        <w:t>Handbook of the Christian Soldier</w:t>
      </w:r>
      <w:r w:rsidRPr="003E0370">
        <w:t>) of 1503.</w:t>
      </w:r>
      <w:r>
        <w:t xml:space="preserve"> </w:t>
      </w:r>
      <w:proofErr w:type="gramStart"/>
      <w:r>
        <w:t xml:space="preserve">Relentless mocker of scholastic ‘subtlety’, </w:t>
      </w:r>
      <w:proofErr w:type="spellStart"/>
      <w:r>
        <w:t>eg</w:t>
      </w:r>
      <w:proofErr w:type="spellEnd"/>
      <w:r>
        <w:t xml:space="preserve"> in his </w:t>
      </w:r>
      <w:proofErr w:type="spellStart"/>
      <w:r w:rsidRPr="00491960">
        <w:rPr>
          <w:i/>
        </w:rPr>
        <w:t>Moriae</w:t>
      </w:r>
      <w:proofErr w:type="spellEnd"/>
      <w:r w:rsidRPr="00491960">
        <w:rPr>
          <w:i/>
        </w:rPr>
        <w:t xml:space="preserve"> Encomium</w:t>
      </w:r>
      <w:r>
        <w:t xml:space="preserve"> (Praise of Folly), 1511.</w:t>
      </w:r>
      <w:proofErr w:type="gramEnd"/>
      <w:r>
        <w:t xml:space="preserve"> But NB</w:t>
      </w:r>
      <w:proofErr w:type="gramStart"/>
      <w:r>
        <w:t>,</w:t>
      </w:r>
      <w:proofErr w:type="gramEnd"/>
      <w:r>
        <w:t xml:space="preserve"> Erasmus not an outsider or a rebel – receives patronage from popes, and aristocracy and royalty across Europe. Heart of Erasmus’s vision for reform is renewed engagement with original Christian source-text, New Testament (ad fontes!). Italian humanist Lorenzo Valla (1407-57) compared Greek manuscripts against Vulgate and found hundreds of minor slips and errors. 1505 Erasmus publishes Valla’s notes, and in 1516 his own Latin and Greek version, the </w:t>
      </w:r>
      <w:proofErr w:type="spellStart"/>
      <w:r w:rsidRPr="0055383D">
        <w:rPr>
          <w:i/>
        </w:rPr>
        <w:t>Novum</w:t>
      </w:r>
      <w:proofErr w:type="spellEnd"/>
      <w:r w:rsidRPr="0055383D">
        <w:rPr>
          <w:i/>
        </w:rPr>
        <w:t xml:space="preserve"> </w:t>
      </w:r>
      <w:proofErr w:type="spellStart"/>
      <w:r w:rsidRPr="0055383D">
        <w:rPr>
          <w:i/>
        </w:rPr>
        <w:t>Instrumentum</w:t>
      </w:r>
      <w:proofErr w:type="spellEnd"/>
      <w:r>
        <w:t xml:space="preserve">. Enthusiastically welcomed by humanist supporters, but some conservatives thought to criticise Vulgate was to attack authority of the Church. Radical notes and translation choices – </w:t>
      </w:r>
      <w:proofErr w:type="spellStart"/>
      <w:r>
        <w:t>eg</w:t>
      </w:r>
      <w:proofErr w:type="spellEnd"/>
      <w:r>
        <w:t xml:space="preserve"> for Greek </w:t>
      </w:r>
      <w:proofErr w:type="spellStart"/>
      <w:r w:rsidRPr="00017993">
        <w:rPr>
          <w:i/>
          <w:lang w:eastAsia="en-GB"/>
        </w:rPr>
        <w:t>metanoiete</w:t>
      </w:r>
      <w:proofErr w:type="spellEnd"/>
      <w:r>
        <w:rPr>
          <w:lang w:eastAsia="en-GB"/>
        </w:rPr>
        <w:t xml:space="preserve"> proposed </w:t>
      </w:r>
      <w:proofErr w:type="spellStart"/>
      <w:r w:rsidRPr="00B46D04">
        <w:rPr>
          <w:i/>
        </w:rPr>
        <w:t>resipiscite</w:t>
      </w:r>
      <w:proofErr w:type="spellEnd"/>
      <w:r>
        <w:t xml:space="preserve"> (repent) rather than Vulgate’s </w:t>
      </w:r>
      <w:proofErr w:type="spellStart"/>
      <w:r w:rsidRPr="00B46D04">
        <w:rPr>
          <w:i/>
        </w:rPr>
        <w:t>paenitentiam</w:t>
      </w:r>
      <w:proofErr w:type="spellEnd"/>
      <w:r w:rsidRPr="00B46D04">
        <w:rPr>
          <w:i/>
        </w:rPr>
        <w:t xml:space="preserve"> </w:t>
      </w:r>
      <w:proofErr w:type="spellStart"/>
      <w:r w:rsidRPr="00B46D04">
        <w:rPr>
          <w:i/>
        </w:rPr>
        <w:t>agite</w:t>
      </w:r>
      <w:proofErr w:type="spellEnd"/>
      <w:r>
        <w:t xml:space="preserve"> (do penance) – undermining sacrament of confession?</w:t>
      </w:r>
    </w:p>
    <w:p w:rsidR="008527C2" w:rsidRPr="008527C2" w:rsidRDefault="008527C2" w:rsidP="008527C2">
      <w:pPr>
        <w:pStyle w:val="Heading1"/>
        <w:ind w:firstLine="720"/>
        <w:jc w:val="left"/>
        <w:rPr>
          <w:rFonts w:ascii="Times New Roman" w:hAnsi="Times New Roman"/>
          <w:b w:val="0"/>
        </w:rPr>
      </w:pPr>
      <w:r>
        <w:rPr>
          <w:rFonts w:ascii="Times New Roman" w:hAnsi="Times New Roman"/>
        </w:rPr>
        <w:t>H</w:t>
      </w:r>
      <w:r w:rsidRPr="003E0370">
        <w:rPr>
          <w:rFonts w:ascii="Times New Roman" w:hAnsi="Times New Roman"/>
        </w:rPr>
        <w:t xml:space="preserve">umanism </w:t>
      </w:r>
      <w:r>
        <w:rPr>
          <w:rFonts w:ascii="Times New Roman" w:hAnsi="Times New Roman"/>
        </w:rPr>
        <w:t>and</w:t>
      </w:r>
      <w:r w:rsidRPr="003E0370">
        <w:rPr>
          <w:rFonts w:ascii="Times New Roman" w:hAnsi="Times New Roman"/>
        </w:rPr>
        <w:t xml:space="preserve"> the Reformation</w:t>
      </w:r>
      <w:r>
        <w:rPr>
          <w:rFonts w:ascii="Times New Roman" w:hAnsi="Times New Roman"/>
        </w:rPr>
        <w:t xml:space="preserve">: </w:t>
      </w:r>
      <w:r w:rsidRPr="0055383D">
        <w:rPr>
          <w:rFonts w:ascii="Times New Roman" w:hAnsi="Times New Roman"/>
          <w:b w:val="0"/>
        </w:rPr>
        <w:t xml:space="preserve">Erasmus complains </w:t>
      </w:r>
      <w:r>
        <w:rPr>
          <w:rFonts w:ascii="Times New Roman" w:hAnsi="Times New Roman"/>
          <w:b w:val="0"/>
        </w:rPr>
        <w:t>people</w:t>
      </w:r>
      <w:r w:rsidRPr="0055383D">
        <w:rPr>
          <w:rFonts w:ascii="Times New Roman" w:hAnsi="Times New Roman"/>
          <w:b w:val="0"/>
        </w:rPr>
        <w:t xml:space="preserve"> are saying ‘I laid the egg and Luther hatched it’.</w:t>
      </w:r>
      <w:r>
        <w:rPr>
          <w:rFonts w:ascii="Times New Roman" w:hAnsi="Times New Roman"/>
          <w:b w:val="0"/>
        </w:rPr>
        <w:t xml:space="preserve"> Humanism conventionally seen as one of the ‘causes’ or ‘preconditions’ of the Reformation: encourages climate of criticism of received wisdom and traditional authority; Christian humanism often hostile to popular religion of shrines, relics, miracles, saints’ cults; shared emphasis on authority of the bible, and impatience with scholastic ‘obscurantism’. When Luther protested against indulgences in 1517, many humanists rushed to support him (saw this as </w:t>
      </w:r>
      <w:r w:rsidRPr="008527C2">
        <w:rPr>
          <w:rFonts w:ascii="Times New Roman" w:hAnsi="Times New Roman"/>
          <w:b w:val="0"/>
        </w:rPr>
        <w:t>continuation of the Reuchlin controversy). Some early Protestant reformers were strongly humanist, especially Ulrich Zwingli in Switzerland. In his fight against traditional theology, Luther used the Bible and the Church Fathers in their new humanist editions.</w:t>
      </w:r>
    </w:p>
    <w:p w:rsidR="00803136" w:rsidRDefault="008527C2">
      <w:r>
        <w:tab/>
      </w:r>
      <w:proofErr w:type="gramStart"/>
      <w:r w:rsidRPr="00BB1BA8">
        <w:rPr>
          <w:b/>
        </w:rPr>
        <w:t>But...</w:t>
      </w:r>
      <w:r>
        <w:t xml:space="preserve"> relationship not straightforward.</w:t>
      </w:r>
      <w:proofErr w:type="gramEnd"/>
      <w:r>
        <w:t xml:space="preserve"> Erasmus has initial sympathy with Luther, but never breaks with the Roman Church. </w:t>
      </w:r>
      <w:proofErr w:type="gramStart"/>
      <w:r>
        <w:t xml:space="preserve">Publicly falls out with Luther in 1525 over question of the freedom of the will (Luther’s stress on total depravity of mankind distinctly </w:t>
      </w:r>
      <w:proofErr w:type="spellStart"/>
      <w:r>
        <w:t>unhumanist</w:t>
      </w:r>
      <w:proofErr w:type="spellEnd"/>
      <w:r>
        <w:t>!)</w:t>
      </w:r>
      <w:proofErr w:type="gramEnd"/>
      <w:r>
        <w:t xml:space="preserve"> </w:t>
      </w:r>
      <w:proofErr w:type="gramStart"/>
      <w:r>
        <w:t>Some leading humanists (</w:t>
      </w:r>
      <w:proofErr w:type="spellStart"/>
      <w:r>
        <w:t>eg</w:t>
      </w:r>
      <w:proofErr w:type="spellEnd"/>
      <w:r>
        <w:t xml:space="preserve"> Thomas More and John Fisher in England) ferocious opponents of Protestantism.</w:t>
      </w:r>
      <w:proofErr w:type="gramEnd"/>
      <w:r>
        <w:t xml:space="preserve"> Reformation </w:t>
      </w:r>
      <w:r w:rsidRPr="00252B3F">
        <w:rPr>
          <w:i/>
        </w:rPr>
        <w:t>splits</w:t>
      </w:r>
      <w:r>
        <w:t xml:space="preserve"> Christian humanism: strong humanist currents in both the Reformation and Catholic Counter-Reformation. Most early sixteenth century Christian humanists wanted to revitalise the existing religious and devotional life of the Church with a new ethos or spirit. Protestant reformers saw basic problem not as a lack of ‘eloquence’ and good letters, or even an excess of ‘superstition’, or a lack of familiarity with the Bible – but that the basic theological teaching of the Church was fundamentally wrong! Their ad fontes meant tearing up centuries of Christian teaching, and starting again from the beginning... </w:t>
      </w:r>
    </w:p>
    <w:sectPr w:rsidR="00803136" w:rsidSect="00596D68">
      <w:headerReference w:type="even" r:id="rId7"/>
      <w:headerReference w:type="default" r:id="rId8"/>
      <w:headerReference w:type="first" r:id="rId9"/>
      <w:pgSz w:w="11906" w:h="16838"/>
      <w:pgMar w:top="1440" w:right="1800" w:bottom="1440"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D1B" w:rsidRDefault="00832D1B" w:rsidP="007F30D9">
      <w:r>
        <w:separator/>
      </w:r>
    </w:p>
  </w:endnote>
  <w:endnote w:type="continuationSeparator" w:id="0">
    <w:p w:rsidR="00832D1B" w:rsidRDefault="00832D1B" w:rsidP="007F3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D1B" w:rsidRDefault="00832D1B" w:rsidP="007F30D9">
      <w:r>
        <w:separator/>
      </w:r>
    </w:p>
  </w:footnote>
  <w:footnote w:type="continuationSeparator" w:id="0">
    <w:p w:rsidR="00832D1B" w:rsidRDefault="00832D1B" w:rsidP="007F30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CFB" w:rsidRDefault="00832D1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D0CFB" w:rsidRDefault="00033E7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CFB" w:rsidRDefault="00832D1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33E7D">
      <w:rPr>
        <w:rStyle w:val="PageNumber"/>
        <w:noProof/>
      </w:rPr>
      <w:t>2</w:t>
    </w:r>
    <w:r>
      <w:rPr>
        <w:rStyle w:val="PageNumber"/>
      </w:rPr>
      <w:fldChar w:fldCharType="end"/>
    </w:r>
  </w:p>
  <w:p w:rsidR="003D0CFB" w:rsidRDefault="00033E7D">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D68" w:rsidRPr="007F30D9" w:rsidRDefault="00832D1B" w:rsidP="00596D68">
    <w:pPr>
      <w:pStyle w:val="Heading2"/>
      <w:rPr>
        <w:rFonts w:ascii="Times New Roman" w:hAnsi="Times New Roman"/>
        <w:sz w:val="28"/>
        <w:szCs w:val="28"/>
        <w:u w:val="single"/>
      </w:rPr>
    </w:pPr>
    <w:r w:rsidRPr="007F30D9">
      <w:rPr>
        <w:rFonts w:ascii="Times New Roman" w:hAnsi="Times New Roman"/>
        <w:sz w:val="28"/>
        <w:szCs w:val="28"/>
        <w:u w:val="single"/>
      </w:rPr>
      <w:t>European World Lecture: Christian Humanism</w:t>
    </w:r>
  </w:p>
  <w:p w:rsidR="00596D68" w:rsidRDefault="00033E7D">
    <w:pPr>
      <w:pStyle w:val="Header"/>
    </w:pPr>
  </w:p>
  <w:p w:rsidR="00596D68" w:rsidRDefault="00033E7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7C2"/>
    <w:rsid w:val="00033E7D"/>
    <w:rsid w:val="000659D1"/>
    <w:rsid w:val="00145382"/>
    <w:rsid w:val="004B241E"/>
    <w:rsid w:val="004D5520"/>
    <w:rsid w:val="005E2220"/>
    <w:rsid w:val="007F30D9"/>
    <w:rsid w:val="00803136"/>
    <w:rsid w:val="00832D1B"/>
    <w:rsid w:val="008527C2"/>
    <w:rsid w:val="009637F1"/>
    <w:rsid w:val="00A5778E"/>
    <w:rsid w:val="00A63B1F"/>
    <w:rsid w:val="00C63EAB"/>
    <w:rsid w:val="00E33003"/>
    <w:rsid w:val="00EA7ADE"/>
    <w:rsid w:val="00EC6F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4"/>
        <w:szCs w:val="24"/>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27C2"/>
    <w:rPr>
      <w:rFonts w:eastAsia="Times New Roman"/>
      <w:lang w:eastAsia="en-US"/>
    </w:rPr>
  </w:style>
  <w:style w:type="paragraph" w:styleId="Heading1">
    <w:name w:val="heading 1"/>
    <w:basedOn w:val="Normal"/>
    <w:next w:val="Normal"/>
    <w:link w:val="Heading1Char"/>
    <w:qFormat/>
    <w:rsid w:val="008527C2"/>
    <w:pPr>
      <w:keepNext/>
      <w:jc w:val="both"/>
      <w:outlineLvl w:val="0"/>
    </w:pPr>
    <w:rPr>
      <w:rFonts w:ascii="Verdana" w:hAnsi="Verdana"/>
      <w:b/>
      <w:bCs/>
    </w:rPr>
  </w:style>
  <w:style w:type="paragraph" w:styleId="Heading2">
    <w:name w:val="heading 2"/>
    <w:basedOn w:val="Normal"/>
    <w:next w:val="Normal"/>
    <w:link w:val="Heading2Char"/>
    <w:qFormat/>
    <w:rsid w:val="008527C2"/>
    <w:pPr>
      <w:keepNext/>
      <w:jc w:val="center"/>
      <w:outlineLvl w:val="1"/>
    </w:pPr>
    <w:rPr>
      <w:rFonts w:ascii="Verdana" w:hAnsi="Verdana"/>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EA7ADE"/>
    <w:rPr>
      <w:rFonts w:eastAsia="Calibri"/>
    </w:rPr>
  </w:style>
  <w:style w:type="character" w:customStyle="1" w:styleId="Heading1Char">
    <w:name w:val="Heading 1 Char"/>
    <w:basedOn w:val="DefaultParagraphFont"/>
    <w:link w:val="Heading1"/>
    <w:rsid w:val="008527C2"/>
    <w:rPr>
      <w:rFonts w:ascii="Verdana" w:eastAsia="Times New Roman" w:hAnsi="Verdana"/>
      <w:b/>
      <w:bCs/>
      <w:lang w:eastAsia="en-US"/>
    </w:rPr>
  </w:style>
  <w:style w:type="character" w:customStyle="1" w:styleId="Heading2Char">
    <w:name w:val="Heading 2 Char"/>
    <w:basedOn w:val="DefaultParagraphFont"/>
    <w:link w:val="Heading2"/>
    <w:rsid w:val="008527C2"/>
    <w:rPr>
      <w:rFonts w:ascii="Verdana" w:eastAsia="Times New Roman" w:hAnsi="Verdana"/>
      <w:b/>
      <w:bCs/>
      <w:lang w:eastAsia="en-US"/>
    </w:rPr>
  </w:style>
  <w:style w:type="character" w:styleId="PageNumber">
    <w:name w:val="page number"/>
    <w:basedOn w:val="DefaultParagraphFont"/>
    <w:rsid w:val="008527C2"/>
    <w:rPr>
      <w:rFonts w:ascii="Verdana" w:hAnsi="Verdana"/>
      <w:sz w:val="20"/>
    </w:rPr>
  </w:style>
  <w:style w:type="paragraph" w:styleId="Header">
    <w:name w:val="header"/>
    <w:basedOn w:val="Normal"/>
    <w:link w:val="HeaderChar"/>
    <w:uiPriority w:val="99"/>
    <w:rsid w:val="008527C2"/>
    <w:pPr>
      <w:tabs>
        <w:tab w:val="center" w:pos="4153"/>
        <w:tab w:val="right" w:pos="8306"/>
      </w:tabs>
    </w:pPr>
  </w:style>
  <w:style w:type="character" w:customStyle="1" w:styleId="HeaderChar">
    <w:name w:val="Header Char"/>
    <w:basedOn w:val="DefaultParagraphFont"/>
    <w:link w:val="Header"/>
    <w:uiPriority w:val="99"/>
    <w:rsid w:val="008527C2"/>
    <w:rPr>
      <w:rFonts w:eastAsia="Times New Roman"/>
      <w:lang w:eastAsia="en-US"/>
    </w:rPr>
  </w:style>
  <w:style w:type="character" w:customStyle="1" w:styleId="st1">
    <w:name w:val="st1"/>
    <w:basedOn w:val="DefaultParagraphFont"/>
    <w:rsid w:val="008527C2"/>
  </w:style>
  <w:style w:type="paragraph" w:styleId="Footer">
    <w:name w:val="footer"/>
    <w:basedOn w:val="Normal"/>
    <w:link w:val="FooterChar"/>
    <w:uiPriority w:val="99"/>
    <w:semiHidden/>
    <w:unhideWhenUsed/>
    <w:rsid w:val="007F30D9"/>
    <w:pPr>
      <w:tabs>
        <w:tab w:val="center" w:pos="4513"/>
        <w:tab w:val="right" w:pos="9026"/>
      </w:tabs>
    </w:pPr>
  </w:style>
  <w:style w:type="character" w:customStyle="1" w:styleId="FooterChar">
    <w:name w:val="Footer Char"/>
    <w:basedOn w:val="DefaultParagraphFont"/>
    <w:link w:val="Footer"/>
    <w:uiPriority w:val="99"/>
    <w:semiHidden/>
    <w:rsid w:val="007F30D9"/>
    <w:rPr>
      <w:rFonts w:eastAsia="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sz w:val="24"/>
        <w:szCs w:val="24"/>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27C2"/>
    <w:rPr>
      <w:rFonts w:eastAsia="Times New Roman"/>
      <w:lang w:eastAsia="en-US"/>
    </w:rPr>
  </w:style>
  <w:style w:type="paragraph" w:styleId="Heading1">
    <w:name w:val="heading 1"/>
    <w:basedOn w:val="Normal"/>
    <w:next w:val="Normal"/>
    <w:link w:val="Heading1Char"/>
    <w:qFormat/>
    <w:rsid w:val="008527C2"/>
    <w:pPr>
      <w:keepNext/>
      <w:jc w:val="both"/>
      <w:outlineLvl w:val="0"/>
    </w:pPr>
    <w:rPr>
      <w:rFonts w:ascii="Verdana" w:hAnsi="Verdana"/>
      <w:b/>
      <w:bCs/>
    </w:rPr>
  </w:style>
  <w:style w:type="paragraph" w:styleId="Heading2">
    <w:name w:val="heading 2"/>
    <w:basedOn w:val="Normal"/>
    <w:next w:val="Normal"/>
    <w:link w:val="Heading2Char"/>
    <w:qFormat/>
    <w:rsid w:val="008527C2"/>
    <w:pPr>
      <w:keepNext/>
      <w:jc w:val="center"/>
      <w:outlineLvl w:val="1"/>
    </w:pPr>
    <w:rPr>
      <w:rFonts w:ascii="Verdana" w:hAnsi="Verdana"/>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EA7ADE"/>
    <w:rPr>
      <w:rFonts w:eastAsia="Calibri"/>
    </w:rPr>
  </w:style>
  <w:style w:type="character" w:customStyle="1" w:styleId="Heading1Char">
    <w:name w:val="Heading 1 Char"/>
    <w:basedOn w:val="DefaultParagraphFont"/>
    <w:link w:val="Heading1"/>
    <w:rsid w:val="008527C2"/>
    <w:rPr>
      <w:rFonts w:ascii="Verdana" w:eastAsia="Times New Roman" w:hAnsi="Verdana"/>
      <w:b/>
      <w:bCs/>
      <w:lang w:eastAsia="en-US"/>
    </w:rPr>
  </w:style>
  <w:style w:type="character" w:customStyle="1" w:styleId="Heading2Char">
    <w:name w:val="Heading 2 Char"/>
    <w:basedOn w:val="DefaultParagraphFont"/>
    <w:link w:val="Heading2"/>
    <w:rsid w:val="008527C2"/>
    <w:rPr>
      <w:rFonts w:ascii="Verdana" w:eastAsia="Times New Roman" w:hAnsi="Verdana"/>
      <w:b/>
      <w:bCs/>
      <w:lang w:eastAsia="en-US"/>
    </w:rPr>
  </w:style>
  <w:style w:type="character" w:styleId="PageNumber">
    <w:name w:val="page number"/>
    <w:basedOn w:val="DefaultParagraphFont"/>
    <w:rsid w:val="008527C2"/>
    <w:rPr>
      <w:rFonts w:ascii="Verdana" w:hAnsi="Verdana"/>
      <w:sz w:val="20"/>
    </w:rPr>
  </w:style>
  <w:style w:type="paragraph" w:styleId="Header">
    <w:name w:val="header"/>
    <w:basedOn w:val="Normal"/>
    <w:link w:val="HeaderChar"/>
    <w:uiPriority w:val="99"/>
    <w:rsid w:val="008527C2"/>
    <w:pPr>
      <w:tabs>
        <w:tab w:val="center" w:pos="4153"/>
        <w:tab w:val="right" w:pos="8306"/>
      </w:tabs>
    </w:pPr>
  </w:style>
  <w:style w:type="character" w:customStyle="1" w:styleId="HeaderChar">
    <w:name w:val="Header Char"/>
    <w:basedOn w:val="DefaultParagraphFont"/>
    <w:link w:val="Header"/>
    <w:uiPriority w:val="99"/>
    <w:rsid w:val="008527C2"/>
    <w:rPr>
      <w:rFonts w:eastAsia="Times New Roman"/>
      <w:lang w:eastAsia="en-US"/>
    </w:rPr>
  </w:style>
  <w:style w:type="character" w:customStyle="1" w:styleId="st1">
    <w:name w:val="st1"/>
    <w:basedOn w:val="DefaultParagraphFont"/>
    <w:rsid w:val="008527C2"/>
  </w:style>
  <w:style w:type="paragraph" w:styleId="Footer">
    <w:name w:val="footer"/>
    <w:basedOn w:val="Normal"/>
    <w:link w:val="FooterChar"/>
    <w:uiPriority w:val="99"/>
    <w:semiHidden/>
    <w:unhideWhenUsed/>
    <w:rsid w:val="007F30D9"/>
    <w:pPr>
      <w:tabs>
        <w:tab w:val="center" w:pos="4513"/>
        <w:tab w:val="right" w:pos="9026"/>
      </w:tabs>
    </w:pPr>
  </w:style>
  <w:style w:type="character" w:customStyle="1" w:styleId="FooterChar">
    <w:name w:val="Footer Char"/>
    <w:basedOn w:val="DefaultParagraphFont"/>
    <w:link w:val="Footer"/>
    <w:uiPriority w:val="99"/>
    <w:semiHidden/>
    <w:rsid w:val="007F30D9"/>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E37A6B0E</Template>
  <TotalTime>0</TotalTime>
  <Pages>2</Pages>
  <Words>1239</Words>
  <Characters>7066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Marshall</dc:creator>
  <cp:lastModifiedBy>Marshall, Peter</cp:lastModifiedBy>
  <cp:revision>2</cp:revision>
  <cp:lastPrinted>2013-11-12T07:27:00Z</cp:lastPrinted>
  <dcterms:created xsi:type="dcterms:W3CDTF">2013-11-12T07:27:00Z</dcterms:created>
  <dcterms:modified xsi:type="dcterms:W3CDTF">2013-11-12T07:27:00Z</dcterms:modified>
</cp:coreProperties>
</file>