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DC6" w:rsidRPr="00E62CA2" w:rsidRDefault="00F57DC6" w:rsidP="00F57DC6">
      <w:pPr>
        <w:rPr>
          <w:b/>
          <w:lang w:val="en-GB"/>
        </w:rPr>
      </w:pPr>
      <w:r w:rsidRPr="00E62CA2">
        <w:rPr>
          <w:b/>
          <w:lang w:val="en-GB"/>
        </w:rPr>
        <w:t xml:space="preserve">European World: The Ottoman Empire   </w:t>
      </w:r>
      <w:r>
        <w:rPr>
          <w:b/>
          <w:lang w:val="en-GB"/>
        </w:rPr>
        <w:t xml:space="preserve">                                                 </w:t>
      </w:r>
      <w:r w:rsidRPr="00E62CA2">
        <w:rPr>
          <w:b/>
          <w:lang w:val="en-GB"/>
        </w:rPr>
        <w:t>Dr Aysu Dincer</w:t>
      </w:r>
    </w:p>
    <w:p w:rsidR="00F57DC6" w:rsidRPr="00A61A0E" w:rsidRDefault="00F57DC6" w:rsidP="00F57DC6">
      <w:pPr>
        <w:rPr>
          <w:lang w:val="en-GB"/>
        </w:rPr>
      </w:pPr>
    </w:p>
    <w:p w:rsidR="00F57DC6" w:rsidRDefault="00F57DC6" w:rsidP="00F57DC6">
      <w:pPr>
        <w:rPr>
          <w:b/>
          <w:i/>
          <w:lang w:val="en-GB"/>
        </w:rPr>
      </w:pPr>
      <w:bookmarkStart w:id="0" w:name="_GoBack"/>
      <w:bookmarkEnd w:id="0"/>
    </w:p>
    <w:p w:rsidR="00F57DC6" w:rsidRPr="00A61A0E" w:rsidRDefault="00F57DC6" w:rsidP="00F57DC6">
      <w:pPr>
        <w:rPr>
          <w:lang w:val="en-GB"/>
        </w:rPr>
      </w:pPr>
      <w:r w:rsidRPr="00A61A0E">
        <w:rPr>
          <w:b/>
          <w:i/>
          <w:lang w:val="en-GB"/>
        </w:rPr>
        <w:t xml:space="preserve">Who </w:t>
      </w:r>
      <w:r>
        <w:rPr>
          <w:b/>
          <w:i/>
          <w:lang w:val="en-GB"/>
        </w:rPr>
        <w:t>we</w:t>
      </w:r>
      <w:r w:rsidRPr="00A61A0E">
        <w:rPr>
          <w:b/>
          <w:i/>
          <w:lang w:val="en-GB"/>
        </w:rPr>
        <w:t xml:space="preserve">re the Ottomans? </w:t>
      </w:r>
    </w:p>
    <w:p w:rsidR="00F57DC6" w:rsidRPr="00A61A0E" w:rsidRDefault="00F57DC6" w:rsidP="00F57DC6">
      <w:pPr>
        <w:numPr>
          <w:ilvl w:val="0"/>
          <w:numId w:val="1"/>
        </w:numPr>
        <w:rPr>
          <w:lang w:val="en-GB"/>
        </w:rPr>
      </w:pPr>
      <w:r w:rsidRPr="00A61A0E">
        <w:rPr>
          <w:b/>
          <w:i/>
          <w:lang w:val="en-GB"/>
        </w:rPr>
        <w:t xml:space="preserve">Origins: </w:t>
      </w:r>
      <w:r w:rsidRPr="00A61A0E">
        <w:rPr>
          <w:lang w:val="en-GB"/>
        </w:rPr>
        <w:t xml:space="preserve">Central Asia. They </w:t>
      </w:r>
      <w:r w:rsidR="00456210">
        <w:rPr>
          <w:lang w:val="en-GB"/>
        </w:rPr>
        <w:t>convert to</w:t>
      </w:r>
      <w:r w:rsidRPr="00A61A0E">
        <w:rPr>
          <w:lang w:val="en-GB"/>
        </w:rPr>
        <w:t xml:space="preserve"> Islam in the 10th century and adopt Arabic and Persian languages in diplomacy, sciences and literature. </w:t>
      </w:r>
    </w:p>
    <w:p w:rsidR="00F57DC6" w:rsidRPr="00A61A0E" w:rsidRDefault="00F57DC6" w:rsidP="00F57DC6">
      <w:pPr>
        <w:numPr>
          <w:ilvl w:val="0"/>
          <w:numId w:val="1"/>
        </w:numPr>
        <w:rPr>
          <w:lang w:val="en-GB"/>
        </w:rPr>
      </w:pPr>
      <w:r>
        <w:rPr>
          <w:bCs/>
        </w:rPr>
        <w:t>A</w:t>
      </w:r>
      <w:r w:rsidRPr="00A61A0E">
        <w:rPr>
          <w:bCs/>
        </w:rPr>
        <w:t>n influx of Turkish tribes into Anatolia</w:t>
      </w:r>
      <w:r>
        <w:rPr>
          <w:bCs/>
        </w:rPr>
        <w:t xml:space="preserve">, </w:t>
      </w:r>
      <w:r w:rsidRPr="00A61A0E">
        <w:t>challenge</w:t>
      </w:r>
      <w:r w:rsidR="00456210">
        <w:t>s</w:t>
      </w:r>
      <w:r w:rsidRPr="00A61A0E">
        <w:t xml:space="preserve"> Byzantine control of Anatolia (Battle of Manzikert 1071</w:t>
      </w:r>
      <w:r>
        <w:t>).</w:t>
      </w:r>
      <w:r w:rsidRPr="00A61A0E">
        <w:t xml:space="preserve"> By the </w:t>
      </w:r>
      <w:r>
        <w:t>thirteenth century</w:t>
      </w:r>
      <w:r w:rsidRPr="00A61A0E">
        <w:t>, Mongol expansions in the east dr</w:t>
      </w:r>
      <w:r w:rsidR="00456210">
        <w:t>i</w:t>
      </w:r>
      <w:r w:rsidRPr="00A61A0E">
        <w:t xml:space="preserve">ve new settlers into Anatolia. Anatolian </w:t>
      </w:r>
      <w:r w:rsidRPr="00456210">
        <w:rPr>
          <w:i/>
        </w:rPr>
        <w:t>beyliks</w:t>
      </w:r>
      <w:r>
        <w:t xml:space="preserve"> (small principalities) </w:t>
      </w:r>
      <w:r w:rsidR="00456210">
        <w:t>a</w:t>
      </w:r>
      <w:r>
        <w:t>re established</w:t>
      </w:r>
      <w:r w:rsidRPr="00A61A0E">
        <w:t>, also facilitated by the decline of the Seljuk st</w:t>
      </w:r>
      <w:r w:rsidR="00456210">
        <w:t>ate.</w:t>
      </w:r>
      <w:r>
        <w:t xml:space="preserve"> </w:t>
      </w:r>
      <w:r w:rsidR="00456210">
        <w:t>T</w:t>
      </w:r>
      <w:r w:rsidRPr="00A61A0E">
        <w:t>he Ottomans (named after 'Osman', their founder)</w:t>
      </w:r>
      <w:r w:rsidR="00456210">
        <w:t xml:space="preserve"> were one of the </w:t>
      </w:r>
      <w:r w:rsidR="00456210" w:rsidRPr="00456210">
        <w:rPr>
          <w:i/>
        </w:rPr>
        <w:t>beyliks</w:t>
      </w:r>
      <w:r>
        <w:t>.</w:t>
      </w:r>
    </w:p>
    <w:p w:rsidR="00F57DC6" w:rsidRPr="00E62CA2" w:rsidRDefault="00F57DC6" w:rsidP="00F57DC6">
      <w:pPr>
        <w:pStyle w:val="ListParagraph"/>
        <w:numPr>
          <w:ilvl w:val="0"/>
          <w:numId w:val="1"/>
        </w:numPr>
        <w:shd w:val="clear" w:color="auto" w:fill="FFFFFF"/>
        <w:rPr>
          <w:lang w:val="en-GB"/>
        </w:rPr>
      </w:pPr>
      <w:r w:rsidRPr="00E62CA2">
        <w:rPr>
          <w:b/>
          <w:i/>
        </w:rPr>
        <w:t>Expansion:</w:t>
      </w:r>
      <w:r w:rsidRPr="00E62CA2">
        <w:rPr>
          <w:lang w:val="en-GB"/>
        </w:rPr>
        <w:t xml:space="preserve"> Under Osman's son, </w:t>
      </w:r>
      <w:proofErr w:type="spellStart"/>
      <w:r w:rsidRPr="00E62CA2">
        <w:rPr>
          <w:lang w:val="en-GB"/>
        </w:rPr>
        <w:t>Orhan</w:t>
      </w:r>
      <w:proofErr w:type="spellEnd"/>
      <w:r w:rsidRPr="00E62CA2">
        <w:rPr>
          <w:lang w:val="en-GB"/>
        </w:rPr>
        <w:t xml:space="preserve">, Bursa (1326) </w:t>
      </w:r>
      <w:r>
        <w:rPr>
          <w:lang w:val="en-GB"/>
        </w:rPr>
        <w:t xml:space="preserve">is their first capital; </w:t>
      </w:r>
      <w:r w:rsidR="00456210" w:rsidRPr="00E62CA2">
        <w:rPr>
          <w:rFonts w:eastAsia="Times New Roman"/>
          <w:color w:val="000000"/>
          <w:shd w:val="clear" w:color="auto" w:fill="FFFFFF"/>
          <w:lang w:eastAsia="en-GB"/>
        </w:rPr>
        <w:t>1350s onwards</w:t>
      </w:r>
      <w:r w:rsidR="00456210" w:rsidRPr="00E62CA2">
        <w:rPr>
          <w:lang w:val="en-GB"/>
        </w:rPr>
        <w:t xml:space="preserve"> </w:t>
      </w:r>
      <w:r w:rsidRPr="00E62CA2">
        <w:rPr>
          <w:lang w:val="en-GB"/>
        </w:rPr>
        <w:t>expand</w:t>
      </w:r>
      <w:r w:rsidR="00456210">
        <w:rPr>
          <w:lang w:val="en-GB"/>
        </w:rPr>
        <w:t>ing into Thrace and the Balkans</w:t>
      </w:r>
      <w:r w:rsidRPr="00A61A0E">
        <w:t xml:space="preserve">, conquering Adrianople/Edirne (1369). </w:t>
      </w:r>
      <w:r>
        <w:t>They f</w:t>
      </w:r>
      <w:r w:rsidRPr="00A61A0E">
        <w:t xml:space="preserve">ight against </w:t>
      </w:r>
      <w:r w:rsidRPr="00E62CA2">
        <w:rPr>
          <w:rFonts w:eastAsia="Times New Roman"/>
          <w:color w:val="000000"/>
          <w:shd w:val="clear" w:color="auto" w:fill="FFFFFF"/>
          <w:lang w:eastAsia="en-GB"/>
        </w:rPr>
        <w:t>Bulgaria and Serbia, reaching the Danube after the Battle of Nicopolis (1396)</w:t>
      </w:r>
      <w:r w:rsidRPr="00E62CA2">
        <w:rPr>
          <w:lang w:val="en-GB"/>
        </w:rPr>
        <w:t xml:space="preserve">. </w:t>
      </w:r>
      <w:r w:rsidRPr="00E62CA2">
        <w:rPr>
          <w:b/>
          <w:i/>
          <w:lang w:val="en-GB"/>
        </w:rPr>
        <w:t>How</w:t>
      </w:r>
      <w:r>
        <w:rPr>
          <w:b/>
          <w:i/>
          <w:lang w:val="en-GB"/>
        </w:rPr>
        <w:t xml:space="preserve"> did this happen</w:t>
      </w:r>
      <w:r w:rsidRPr="00E62CA2">
        <w:rPr>
          <w:b/>
          <w:i/>
          <w:lang w:val="en-GB"/>
        </w:rPr>
        <w:t>?</w:t>
      </w:r>
      <w:r w:rsidRPr="00E62CA2">
        <w:rPr>
          <w:lang w:val="en-GB"/>
        </w:rPr>
        <w:t xml:space="preserve"> </w:t>
      </w:r>
      <w:r w:rsidRPr="00E62CA2">
        <w:rPr>
          <w:u w:val="single"/>
          <w:lang w:val="en-GB"/>
        </w:rPr>
        <w:t>Classical explanation:</w:t>
      </w:r>
      <w:r w:rsidRPr="00E62CA2">
        <w:rPr>
          <w:lang w:val="en-GB"/>
        </w:rPr>
        <w:t xml:space="preserve"> Paul </w:t>
      </w:r>
      <w:proofErr w:type="spellStart"/>
      <w:r w:rsidRPr="00E62CA2">
        <w:rPr>
          <w:lang w:val="en-GB"/>
        </w:rPr>
        <w:t>Wittek's</w:t>
      </w:r>
      <w:proofErr w:type="spellEnd"/>
      <w:r w:rsidRPr="00E62CA2">
        <w:rPr>
          <w:lang w:val="en-GB"/>
        </w:rPr>
        <w:t xml:space="preserve"> Ghazi Thesis (1930s): </w:t>
      </w:r>
      <w:proofErr w:type="spellStart"/>
      <w:r w:rsidRPr="00E62CA2">
        <w:rPr>
          <w:lang w:val="en-GB"/>
        </w:rPr>
        <w:t>Wittek</w:t>
      </w:r>
      <w:proofErr w:type="spellEnd"/>
      <w:r w:rsidRPr="00E62CA2">
        <w:rPr>
          <w:lang w:val="en-GB"/>
        </w:rPr>
        <w:t xml:space="preserve"> argued that the Ottomans were motivated by a desire to wage religious warfare (</w:t>
      </w:r>
      <w:proofErr w:type="spellStart"/>
      <w:r w:rsidRPr="00E62CA2">
        <w:rPr>
          <w:i/>
          <w:lang w:val="en-GB"/>
        </w:rPr>
        <w:t>ghaza</w:t>
      </w:r>
      <w:proofErr w:type="spellEnd"/>
      <w:r w:rsidRPr="00E62CA2">
        <w:rPr>
          <w:lang w:val="en-GB"/>
        </w:rPr>
        <w:t xml:space="preserve">) against the 'infidel' Byzantines. An </w:t>
      </w:r>
      <w:r w:rsidRPr="00E62CA2">
        <w:rPr>
          <w:rFonts w:eastAsia="Times New Roman"/>
          <w:color w:val="000000"/>
          <w:shd w:val="clear" w:color="auto" w:fill="FFFFFF"/>
          <w:lang w:eastAsia="en-GB"/>
        </w:rPr>
        <w:t>approach based largely on the 15th-century Ottoman chronicles</w:t>
      </w:r>
      <w:r>
        <w:rPr>
          <w:rFonts w:eastAsia="Times New Roman"/>
          <w:color w:val="000000"/>
          <w:shd w:val="clear" w:color="auto" w:fill="FFFFFF"/>
          <w:lang w:eastAsia="en-GB"/>
        </w:rPr>
        <w:t xml:space="preserve"> (</w:t>
      </w:r>
      <w:r w:rsidRPr="00E62CA2">
        <w:rPr>
          <w:rFonts w:eastAsia="Times New Roman"/>
          <w:color w:val="000000"/>
          <w:shd w:val="clear" w:color="auto" w:fill="FFFFFF"/>
          <w:lang w:eastAsia="en-GB"/>
        </w:rPr>
        <w:t>15th-century court historians</w:t>
      </w:r>
      <w:r>
        <w:rPr>
          <w:rFonts w:eastAsia="Times New Roman"/>
          <w:color w:val="000000"/>
          <w:shd w:val="clear" w:color="auto" w:fill="FFFFFF"/>
          <w:lang w:eastAsia="en-GB"/>
        </w:rPr>
        <w:t>'</w:t>
      </w:r>
      <w:r w:rsidRPr="00E62CA2">
        <w:rPr>
          <w:rFonts w:eastAsia="Times New Roman"/>
          <w:color w:val="000000"/>
          <w:shd w:val="clear" w:color="auto" w:fill="FFFFFF"/>
          <w:lang w:eastAsia="en-GB"/>
        </w:rPr>
        <w:t xml:space="preserve"> attempt</w:t>
      </w:r>
      <w:r>
        <w:rPr>
          <w:rFonts w:eastAsia="Times New Roman"/>
          <w:color w:val="000000"/>
          <w:shd w:val="clear" w:color="auto" w:fill="FFFFFF"/>
          <w:lang w:eastAsia="en-GB"/>
        </w:rPr>
        <w:t>s</w:t>
      </w:r>
      <w:r w:rsidRPr="00E62CA2">
        <w:rPr>
          <w:rFonts w:eastAsia="Times New Roman"/>
          <w:color w:val="000000"/>
          <w:shd w:val="clear" w:color="auto" w:fill="FFFFFF"/>
          <w:lang w:eastAsia="en-GB"/>
        </w:rPr>
        <w:t xml:space="preserve"> to give a suitably religious past to the dynasty</w:t>
      </w:r>
      <w:r>
        <w:rPr>
          <w:rFonts w:eastAsia="Times New Roman"/>
          <w:color w:val="000000"/>
          <w:shd w:val="clear" w:color="auto" w:fill="FFFFFF"/>
          <w:lang w:eastAsia="en-GB"/>
        </w:rPr>
        <w:t>)</w:t>
      </w:r>
      <w:r w:rsidRPr="00E62CA2">
        <w:rPr>
          <w:rFonts w:eastAsia="Times New Roman"/>
          <w:color w:val="000000"/>
          <w:shd w:val="clear" w:color="auto" w:fill="FFFFFF"/>
          <w:lang w:eastAsia="en-GB"/>
        </w:rPr>
        <w:t>.</w:t>
      </w:r>
      <w:r w:rsidRPr="00E62CA2">
        <w:rPr>
          <w:rFonts w:eastAsia="Times New Roman"/>
          <w:color w:val="000000"/>
          <w:sz w:val="28"/>
          <w:szCs w:val="28"/>
          <w:shd w:val="clear" w:color="auto" w:fill="FFFFFF"/>
          <w:lang w:eastAsia="en-GB"/>
        </w:rPr>
        <w:t xml:space="preserve"> </w:t>
      </w:r>
      <w:r w:rsidRPr="00E62CA2">
        <w:rPr>
          <w:u w:val="single"/>
          <w:lang w:val="en-GB"/>
        </w:rPr>
        <w:t>New explanations:</w:t>
      </w:r>
      <w:r w:rsidRPr="00E62CA2">
        <w:rPr>
          <w:lang w:val="en-GB"/>
        </w:rPr>
        <w:t xml:space="preserve"> they were motivated by plunder and territorial gain; they fought on the side of the Byzantines, as well as against other Muslims in Anatolia; </w:t>
      </w:r>
      <w:r>
        <w:rPr>
          <w:lang w:val="en-GB"/>
        </w:rPr>
        <w:t xml:space="preserve">they </w:t>
      </w:r>
      <w:proofErr w:type="gramStart"/>
      <w:r w:rsidRPr="00E62CA2">
        <w:rPr>
          <w:lang w:val="en-GB"/>
        </w:rPr>
        <w:t>benefitted  from</w:t>
      </w:r>
      <w:proofErr w:type="gramEnd"/>
      <w:r w:rsidRPr="00E62CA2">
        <w:rPr>
          <w:lang w:val="en-GB"/>
        </w:rPr>
        <w:t xml:space="preserve"> the weakness of the regional powers</w:t>
      </w:r>
      <w:r>
        <w:rPr>
          <w:lang w:val="en-GB"/>
        </w:rPr>
        <w:t xml:space="preserve">; they </w:t>
      </w:r>
      <w:r w:rsidRPr="00902014">
        <w:t>adopted a syncretic form of Islam, which allowed them ideological and political flexibility.</w:t>
      </w:r>
    </w:p>
    <w:p w:rsidR="00F57DC6" w:rsidRPr="00A61A0E" w:rsidRDefault="00F57DC6" w:rsidP="00F57DC6">
      <w:pPr>
        <w:numPr>
          <w:ilvl w:val="0"/>
          <w:numId w:val="1"/>
        </w:numPr>
      </w:pPr>
      <w:r w:rsidRPr="00A61A0E">
        <w:rPr>
          <w:b/>
          <w:i/>
          <w:lang w:val="en-GB"/>
        </w:rPr>
        <w:t>Interregnum:</w:t>
      </w:r>
      <w:r w:rsidRPr="00A61A0E">
        <w:rPr>
          <w:lang w:val="en-GB"/>
        </w:rPr>
        <w:t xml:space="preserve">  (1402-1413) caused by t</w:t>
      </w:r>
      <w:r w:rsidRPr="00A61A0E">
        <w:t>he invasion of the Timurids (Timur</w:t>
      </w:r>
      <w:r>
        <w:t>/</w:t>
      </w:r>
      <w:r w:rsidRPr="00A61A0E">
        <w:t>Tamerlane as their leader) into Anatolia. T</w:t>
      </w:r>
      <w:r>
        <w:t>imur</w:t>
      </w:r>
      <w:r w:rsidRPr="00A61A0E">
        <w:t xml:space="preserve"> defeated the Ottomans at the Battle of Ankara in 1402, captured Sultan Beyazid I</w:t>
      </w:r>
      <w:r>
        <w:t>,</w:t>
      </w:r>
      <w:r w:rsidRPr="00A61A0E">
        <w:t xml:space="preserve"> who died in captivity. </w:t>
      </w:r>
    </w:p>
    <w:p w:rsidR="00F57DC6" w:rsidRPr="00A61A0E" w:rsidRDefault="00F57DC6" w:rsidP="00F57DC6">
      <w:pPr>
        <w:numPr>
          <w:ilvl w:val="0"/>
          <w:numId w:val="1"/>
        </w:numPr>
      </w:pPr>
      <w:r w:rsidRPr="00A61A0E">
        <w:rPr>
          <w:b/>
          <w:i/>
        </w:rPr>
        <w:t>Further expansion:</w:t>
      </w:r>
      <w:r w:rsidRPr="00A61A0E">
        <w:t xml:space="preserve"> The interregnum end</w:t>
      </w:r>
      <w:r>
        <w:t>s</w:t>
      </w:r>
      <w:r w:rsidRPr="00A61A0E">
        <w:t xml:space="preserve"> in 1413</w:t>
      </w:r>
      <w:r>
        <w:t>;</w:t>
      </w:r>
      <w:r w:rsidRPr="00A61A0E">
        <w:t xml:space="preserve"> Ottomans consolidate their presence in the Balkans and Anatolia. </w:t>
      </w:r>
      <w:r w:rsidRPr="00A61A0E">
        <w:rPr>
          <w:lang w:val="en-GB"/>
        </w:rPr>
        <w:t>Constantinople f</w:t>
      </w:r>
      <w:r>
        <w:rPr>
          <w:lang w:val="en-GB"/>
        </w:rPr>
        <w:t>a</w:t>
      </w:r>
      <w:r w:rsidRPr="00A61A0E">
        <w:rPr>
          <w:lang w:val="en-GB"/>
        </w:rPr>
        <w:t>ll</w:t>
      </w:r>
      <w:r>
        <w:rPr>
          <w:lang w:val="en-GB"/>
        </w:rPr>
        <w:t>s</w:t>
      </w:r>
      <w:r w:rsidRPr="00A61A0E">
        <w:rPr>
          <w:lang w:val="en-GB"/>
        </w:rPr>
        <w:t xml:space="preserve"> in May 1453. </w:t>
      </w:r>
      <w:r w:rsidR="00456210">
        <w:rPr>
          <w:lang w:val="en-GB"/>
        </w:rPr>
        <w:t xml:space="preserve">Expansion in </w:t>
      </w:r>
      <w:r w:rsidRPr="00A61A0E">
        <w:rPr>
          <w:lang w:val="en-GB"/>
        </w:rPr>
        <w:t xml:space="preserve">the Mediterranean, against Venetian and Genoese possessions. In the late 1400s, they are also a 'Middle Eastern' power, expanding into the East. Mehmed's successors, </w:t>
      </w:r>
      <w:proofErr w:type="spellStart"/>
      <w:r w:rsidRPr="00A61A0E">
        <w:rPr>
          <w:lang w:val="en-GB"/>
        </w:rPr>
        <w:t>Beyazid</w:t>
      </w:r>
      <w:proofErr w:type="spellEnd"/>
      <w:r w:rsidRPr="00A61A0E">
        <w:rPr>
          <w:lang w:val="en-GB"/>
        </w:rPr>
        <w:t xml:space="preserve"> II and especially </w:t>
      </w:r>
      <w:proofErr w:type="spellStart"/>
      <w:r w:rsidRPr="00A61A0E">
        <w:rPr>
          <w:lang w:val="en-GB"/>
        </w:rPr>
        <w:t>Selim</w:t>
      </w:r>
      <w:proofErr w:type="spellEnd"/>
      <w:r w:rsidRPr="00A61A0E">
        <w:rPr>
          <w:lang w:val="en-GB"/>
        </w:rPr>
        <w:t xml:space="preserve"> I ended the </w:t>
      </w:r>
      <w:proofErr w:type="spellStart"/>
      <w:r w:rsidRPr="00A61A0E">
        <w:rPr>
          <w:lang w:val="en-GB"/>
        </w:rPr>
        <w:t>Mamluk</w:t>
      </w:r>
      <w:proofErr w:type="spellEnd"/>
      <w:r w:rsidRPr="00A61A0E">
        <w:rPr>
          <w:lang w:val="en-GB"/>
        </w:rPr>
        <w:t xml:space="preserve"> kingdom in Egypt, conquered the holy cities of Mecca and Medina, and most of North Africa. </w:t>
      </w:r>
    </w:p>
    <w:p w:rsidR="00F57DC6" w:rsidRDefault="00F57DC6" w:rsidP="00F57DC6">
      <w:pPr>
        <w:numPr>
          <w:ilvl w:val="0"/>
          <w:numId w:val="1"/>
        </w:numPr>
      </w:pPr>
      <w:r w:rsidRPr="00A61A0E">
        <w:rPr>
          <w:b/>
          <w:i/>
        </w:rPr>
        <w:t>The Sixteenth-</w:t>
      </w:r>
      <w:r>
        <w:rPr>
          <w:b/>
          <w:i/>
        </w:rPr>
        <w:t>c</w:t>
      </w:r>
      <w:r w:rsidRPr="00A61A0E">
        <w:rPr>
          <w:b/>
          <w:i/>
        </w:rPr>
        <w:t>entury</w:t>
      </w:r>
      <w:r w:rsidRPr="00A61A0E">
        <w:t xml:space="preserve"> </w:t>
      </w:r>
      <w:r w:rsidRPr="00A61A0E">
        <w:rPr>
          <w:b/>
          <w:i/>
        </w:rPr>
        <w:t>expansion under Sultan Suleyman the Magnificent:</w:t>
      </w:r>
      <w:r w:rsidRPr="00A61A0E">
        <w:t xml:space="preserve"> Empire</w:t>
      </w:r>
      <w:r>
        <w:t>'</w:t>
      </w:r>
      <w:r w:rsidRPr="00A61A0E">
        <w:t xml:space="preserve">s boundaries </w:t>
      </w:r>
      <w:r>
        <w:t xml:space="preserve">are </w:t>
      </w:r>
      <w:r w:rsidRPr="00A61A0E">
        <w:t xml:space="preserve">pushed to Vienna, which he besieged (without success) in 1529. Also conquered Hungary, including Budapest; pushed the Ottoman borders to the Red Sea, and the Indian Ocean. </w:t>
      </w:r>
      <w:r w:rsidR="00456210">
        <w:t>B</w:t>
      </w:r>
      <w:r w:rsidRPr="00A61A0E">
        <w:t xml:space="preserve">rought about legal reform, consolidating all past sultanic judgements into a code, called the </w:t>
      </w:r>
      <w:r w:rsidRPr="00A61A0E">
        <w:rPr>
          <w:i/>
          <w:iCs/>
        </w:rPr>
        <w:t>Kanunname</w:t>
      </w:r>
      <w:r w:rsidRPr="00A61A0E">
        <w:t xml:space="preserve">, critically important to Ottoman administration. </w:t>
      </w:r>
      <w:r>
        <w:t>Was this the</w:t>
      </w:r>
      <w:r w:rsidRPr="00A61A0E">
        <w:t xml:space="preserve"> </w:t>
      </w:r>
      <w:r>
        <w:t>'</w:t>
      </w:r>
      <w:r w:rsidRPr="00A61A0E">
        <w:t xml:space="preserve">zenith' of Ottoman greatness vs </w:t>
      </w:r>
      <w:r>
        <w:t>subsequent '</w:t>
      </w:r>
      <w:r w:rsidRPr="00A61A0E">
        <w:t>decline</w:t>
      </w:r>
      <w:r>
        <w:t>'</w:t>
      </w:r>
      <w:r w:rsidRPr="00A61A0E">
        <w:t xml:space="preserve">? </w:t>
      </w:r>
    </w:p>
    <w:p w:rsidR="00F57DC6" w:rsidRDefault="00F57DC6" w:rsidP="00F57DC6"/>
    <w:p w:rsidR="00F57DC6" w:rsidRDefault="00F57DC6" w:rsidP="00F57DC6">
      <w:pPr>
        <w:shd w:val="clear" w:color="auto" w:fill="FFFFFF"/>
        <w:rPr>
          <w:rFonts w:eastAsia="Times New Roman"/>
          <w:b/>
          <w:i/>
          <w:color w:val="000000"/>
          <w:shd w:val="clear" w:color="auto" w:fill="FFFFFF"/>
          <w:lang w:eastAsia="en-GB"/>
        </w:rPr>
      </w:pPr>
      <w:r>
        <w:rPr>
          <w:rFonts w:eastAsia="Times New Roman"/>
          <w:b/>
          <w:i/>
          <w:color w:val="000000"/>
          <w:shd w:val="clear" w:color="auto" w:fill="FFFFFF"/>
          <w:lang w:eastAsia="en-GB"/>
        </w:rPr>
        <w:t>The Ottoman State</w:t>
      </w:r>
    </w:p>
    <w:p w:rsidR="00F57DC6" w:rsidRDefault="00F57DC6" w:rsidP="00F57DC6">
      <w:pPr>
        <w:pStyle w:val="ListParagraph"/>
        <w:numPr>
          <w:ilvl w:val="0"/>
          <w:numId w:val="3"/>
        </w:numPr>
        <w:ind w:left="709" w:hanging="142"/>
        <w:rPr>
          <w:lang w:val="en-GB"/>
        </w:rPr>
      </w:pPr>
      <w:r>
        <w:rPr>
          <w:lang w:val="en-GB"/>
        </w:rPr>
        <w:t>The Sultan: Mehmed II wanted to be known as '</w:t>
      </w:r>
      <w:r w:rsidRPr="00735F29">
        <w:t>Kaysar (Caesar) Basileus Padishah-i Konstantiniyye and Rum</w:t>
      </w:r>
      <w:r>
        <w:t>'</w:t>
      </w:r>
    </w:p>
    <w:p w:rsidR="00F57DC6" w:rsidRDefault="00F57DC6" w:rsidP="00F57DC6">
      <w:pPr>
        <w:pStyle w:val="ListParagraph"/>
        <w:numPr>
          <w:ilvl w:val="0"/>
          <w:numId w:val="3"/>
        </w:numPr>
        <w:ind w:left="709" w:hanging="142"/>
        <w:rPr>
          <w:lang w:val="en-GB"/>
        </w:rPr>
      </w:pPr>
      <w:r w:rsidRPr="00A221A0">
        <w:rPr>
          <w:lang w:val="en-GB"/>
        </w:rPr>
        <w:t xml:space="preserve">Ottoman subjects divided into </w:t>
      </w:r>
      <w:proofErr w:type="spellStart"/>
      <w:r w:rsidRPr="00A221A0">
        <w:rPr>
          <w:i/>
          <w:iCs/>
          <w:lang w:val="en-GB"/>
        </w:rPr>
        <w:t>reaya</w:t>
      </w:r>
      <w:proofErr w:type="spellEnd"/>
      <w:r w:rsidRPr="00A221A0">
        <w:rPr>
          <w:lang w:val="en-GB"/>
        </w:rPr>
        <w:t xml:space="preserve"> or </w:t>
      </w:r>
      <w:proofErr w:type="spellStart"/>
      <w:r w:rsidRPr="00A221A0">
        <w:rPr>
          <w:i/>
          <w:iCs/>
          <w:lang w:val="en-GB"/>
        </w:rPr>
        <w:t>askeri</w:t>
      </w:r>
      <w:proofErr w:type="spellEnd"/>
      <w:r w:rsidRPr="00A221A0">
        <w:rPr>
          <w:i/>
          <w:iCs/>
          <w:lang w:val="en-GB"/>
        </w:rPr>
        <w:t xml:space="preserve"> </w:t>
      </w:r>
      <w:r w:rsidRPr="00A221A0">
        <w:rPr>
          <w:lang w:val="en-GB"/>
        </w:rPr>
        <w:t>class.</w:t>
      </w:r>
      <w:r w:rsidRPr="00A221A0">
        <w:rPr>
          <w:rFonts w:ascii="Calibri" w:eastAsia="+mn-ea" w:hAnsi="Calibri" w:cs="+mn-cs"/>
          <w:color w:val="000000"/>
          <w:kern w:val="24"/>
          <w:lang w:val="en-GB" w:eastAsia="en-GB"/>
        </w:rPr>
        <w:t xml:space="preserve"> </w:t>
      </w:r>
      <w:r w:rsidRPr="007E671E">
        <w:rPr>
          <w:i/>
        </w:rPr>
        <w:t>Reaya</w:t>
      </w:r>
      <w:r w:rsidR="00456210">
        <w:rPr>
          <w:i/>
        </w:rPr>
        <w:t>:</w:t>
      </w:r>
      <w:r w:rsidRPr="00A221A0">
        <w:t xml:space="preserve"> the lower, tax-paying class, </w:t>
      </w:r>
      <w:proofErr w:type="spellStart"/>
      <w:r w:rsidRPr="007E671E">
        <w:rPr>
          <w:i/>
          <w:lang w:val="en-GB"/>
        </w:rPr>
        <w:t>Asker</w:t>
      </w:r>
      <w:r w:rsidR="00456210">
        <w:rPr>
          <w:i/>
          <w:lang w:val="en-GB"/>
        </w:rPr>
        <w:t>i</w:t>
      </w:r>
      <w:proofErr w:type="spellEnd"/>
      <w:r w:rsidR="00456210">
        <w:rPr>
          <w:i/>
          <w:lang w:val="en-GB"/>
        </w:rPr>
        <w:t>:</w:t>
      </w:r>
      <w:r w:rsidRPr="00A221A0">
        <w:rPr>
          <w:lang w:val="en-GB"/>
        </w:rPr>
        <w:t xml:space="preserve"> (literary meaning military) the upper, ruling class</w:t>
      </w:r>
      <w:r w:rsidR="00981F43">
        <w:rPr>
          <w:lang w:val="en-GB"/>
        </w:rPr>
        <w:t xml:space="preserve">; </w:t>
      </w:r>
      <w:proofErr w:type="spellStart"/>
      <w:r w:rsidR="00981F43" w:rsidRPr="00981F43">
        <w:rPr>
          <w:i/>
          <w:lang w:val="en-GB"/>
        </w:rPr>
        <w:t>Ulema</w:t>
      </w:r>
      <w:proofErr w:type="spellEnd"/>
      <w:r w:rsidR="00981F43">
        <w:rPr>
          <w:lang w:val="en-GB"/>
        </w:rPr>
        <w:t>: religious elite</w:t>
      </w:r>
    </w:p>
    <w:p w:rsidR="00F57DC6" w:rsidRPr="00F34C6B" w:rsidRDefault="00F57DC6" w:rsidP="00F57DC6">
      <w:pPr>
        <w:pStyle w:val="ListParagraph"/>
        <w:numPr>
          <w:ilvl w:val="0"/>
          <w:numId w:val="3"/>
        </w:numPr>
        <w:ind w:left="709" w:hanging="142"/>
        <w:rPr>
          <w:lang w:val="en-GB"/>
        </w:rPr>
      </w:pPr>
      <w:r w:rsidRPr="00A221A0">
        <w:rPr>
          <w:rFonts w:eastAsia="Times New Roman"/>
          <w:color w:val="000000"/>
          <w:shd w:val="clear" w:color="auto" w:fill="FFFFFF"/>
          <w:lang w:eastAsia="en-GB"/>
        </w:rPr>
        <w:t>A multi-</w:t>
      </w:r>
      <w:r>
        <w:rPr>
          <w:rFonts w:eastAsia="Times New Roman"/>
          <w:color w:val="000000"/>
          <w:shd w:val="clear" w:color="auto" w:fill="FFFFFF"/>
          <w:lang w:eastAsia="en-GB"/>
        </w:rPr>
        <w:t>ethnic</w:t>
      </w:r>
      <w:r w:rsidRPr="00A221A0">
        <w:rPr>
          <w:rFonts w:eastAsia="Times New Roman"/>
          <w:color w:val="000000"/>
          <w:shd w:val="clear" w:color="auto" w:fill="FFFFFF"/>
          <w:lang w:eastAsia="en-GB"/>
        </w:rPr>
        <w:t xml:space="preserve"> and multi-faith state</w:t>
      </w:r>
      <w:r>
        <w:rPr>
          <w:rFonts w:eastAsia="Times New Roman"/>
          <w:color w:val="000000"/>
          <w:shd w:val="clear" w:color="auto" w:fill="FFFFFF"/>
          <w:lang w:eastAsia="en-GB"/>
        </w:rPr>
        <w:t xml:space="preserve">: Islam the </w:t>
      </w:r>
      <w:r w:rsidR="00981F43">
        <w:rPr>
          <w:rFonts w:eastAsia="Times New Roman"/>
          <w:color w:val="000000"/>
          <w:shd w:val="clear" w:color="auto" w:fill="FFFFFF"/>
          <w:lang w:eastAsia="en-GB"/>
        </w:rPr>
        <w:t>main</w:t>
      </w:r>
      <w:r>
        <w:rPr>
          <w:rFonts w:eastAsia="Times New Roman"/>
          <w:color w:val="000000"/>
          <w:shd w:val="clear" w:color="auto" w:fill="FFFFFF"/>
          <w:lang w:eastAsia="en-GB"/>
        </w:rPr>
        <w:t xml:space="preserve"> religion, with </w:t>
      </w:r>
      <w:r w:rsidRPr="00A221A0">
        <w:rPr>
          <w:rFonts w:eastAsia="Times New Roman"/>
          <w:color w:val="000000"/>
          <w:shd w:val="clear" w:color="auto" w:fill="FFFFFF"/>
          <w:lang w:eastAsia="en-GB"/>
        </w:rPr>
        <w:t xml:space="preserve">respect for other monotheistic religions, and </w:t>
      </w:r>
      <w:r>
        <w:rPr>
          <w:rFonts w:eastAsia="Times New Roman"/>
          <w:color w:val="000000"/>
          <w:shd w:val="clear" w:color="auto" w:fill="FFFFFF"/>
          <w:lang w:eastAsia="en-GB"/>
        </w:rPr>
        <w:t xml:space="preserve">their </w:t>
      </w:r>
      <w:r w:rsidRPr="00A221A0">
        <w:rPr>
          <w:rFonts w:eastAsia="Times New Roman"/>
          <w:color w:val="000000"/>
          <w:shd w:val="clear" w:color="auto" w:fill="FFFFFF"/>
          <w:lang w:eastAsia="en-GB"/>
        </w:rPr>
        <w:t>religious autonomy</w:t>
      </w:r>
      <w:r>
        <w:rPr>
          <w:rFonts w:eastAsia="Times New Roman"/>
          <w:color w:val="000000"/>
          <w:shd w:val="clear" w:color="auto" w:fill="FFFFFF"/>
          <w:lang w:eastAsia="en-GB"/>
        </w:rPr>
        <w:t xml:space="preserve"> </w:t>
      </w:r>
      <w:r w:rsidRPr="00F34C6B">
        <w:rPr>
          <w:rFonts w:eastAsia="Times New Roman"/>
          <w:color w:val="000000"/>
          <w:shd w:val="clear" w:color="auto" w:fill="FFFFFF"/>
          <w:lang w:eastAsia="en-GB"/>
        </w:rPr>
        <w:t xml:space="preserve">(as long as all non-Muslims pay the </w:t>
      </w:r>
      <w:r w:rsidRPr="00F34C6B">
        <w:rPr>
          <w:rFonts w:eastAsia="Times New Roman"/>
          <w:i/>
          <w:color w:val="000000"/>
          <w:shd w:val="clear" w:color="auto" w:fill="FFFFFF"/>
          <w:lang w:eastAsia="en-GB"/>
        </w:rPr>
        <w:t>cizy</w:t>
      </w:r>
      <w:r w:rsidR="00456210">
        <w:rPr>
          <w:rFonts w:eastAsia="Times New Roman"/>
          <w:i/>
          <w:color w:val="000000"/>
          <w:shd w:val="clear" w:color="auto" w:fill="FFFFFF"/>
          <w:lang w:eastAsia="en-GB"/>
        </w:rPr>
        <w:t>e</w:t>
      </w:r>
      <w:r w:rsidRPr="00F34C6B">
        <w:rPr>
          <w:rFonts w:eastAsia="Times New Roman"/>
          <w:color w:val="000000"/>
          <w:shd w:val="clear" w:color="auto" w:fill="FFFFFF"/>
          <w:lang w:eastAsia="en-GB"/>
        </w:rPr>
        <w:t xml:space="preserve"> tax).</w:t>
      </w:r>
    </w:p>
    <w:p w:rsidR="00F57DC6" w:rsidRPr="00F34C6B" w:rsidRDefault="00F57DC6" w:rsidP="00F57DC6">
      <w:pPr>
        <w:pStyle w:val="ListParagraph"/>
        <w:numPr>
          <w:ilvl w:val="0"/>
          <w:numId w:val="3"/>
        </w:numPr>
        <w:shd w:val="clear" w:color="auto" w:fill="FFFFFF"/>
        <w:ind w:left="709"/>
        <w:rPr>
          <w:rFonts w:eastAsia="Times New Roman"/>
          <w:color w:val="000000"/>
          <w:shd w:val="clear" w:color="auto" w:fill="FFFFFF"/>
          <w:lang w:eastAsia="en-GB"/>
        </w:rPr>
      </w:pPr>
      <w:r>
        <w:rPr>
          <w:rFonts w:eastAsia="Times New Roman"/>
          <w:color w:val="000000"/>
          <w:shd w:val="clear" w:color="auto" w:fill="FFFFFF"/>
          <w:lang w:eastAsia="en-GB"/>
        </w:rPr>
        <w:t>Multilingual:</w:t>
      </w:r>
      <w:r w:rsidRPr="00F34C6B">
        <w:rPr>
          <w:rFonts w:eastAsia="Times New Roman"/>
          <w:color w:val="000000"/>
          <w:shd w:val="clear" w:color="auto" w:fill="FFFFFF"/>
          <w:lang w:eastAsia="en-GB"/>
        </w:rPr>
        <w:t xml:space="preserve"> Arabic</w:t>
      </w:r>
      <w:r>
        <w:rPr>
          <w:rFonts w:eastAsia="Times New Roman"/>
          <w:color w:val="000000"/>
          <w:shd w:val="clear" w:color="auto" w:fill="FFFFFF"/>
          <w:lang w:eastAsia="en-GB"/>
        </w:rPr>
        <w:t xml:space="preserve"> is the </w:t>
      </w:r>
      <w:r w:rsidRPr="00F34C6B">
        <w:rPr>
          <w:rFonts w:eastAsia="Times New Roman"/>
          <w:color w:val="000000"/>
          <w:shd w:val="clear" w:color="auto" w:fill="FFFFFF"/>
          <w:lang w:eastAsia="en-GB"/>
        </w:rPr>
        <w:t xml:space="preserve"> language of religion</w:t>
      </w:r>
      <w:r>
        <w:rPr>
          <w:rFonts w:eastAsia="Times New Roman"/>
          <w:color w:val="000000"/>
          <w:shd w:val="clear" w:color="auto" w:fill="FFFFFF"/>
          <w:lang w:eastAsia="en-GB"/>
        </w:rPr>
        <w:t xml:space="preserve">; </w:t>
      </w:r>
      <w:r w:rsidRPr="00F34C6B">
        <w:rPr>
          <w:rFonts w:eastAsia="Times New Roman"/>
          <w:color w:val="000000"/>
          <w:shd w:val="clear" w:color="auto" w:fill="FFFFFF"/>
          <w:lang w:eastAsia="en-GB"/>
        </w:rPr>
        <w:t>Persian</w:t>
      </w:r>
      <w:r>
        <w:rPr>
          <w:rFonts w:eastAsia="Times New Roman"/>
          <w:color w:val="000000"/>
          <w:shd w:val="clear" w:color="auto" w:fill="FFFFFF"/>
          <w:lang w:eastAsia="en-GB"/>
        </w:rPr>
        <w:t xml:space="preserve"> is the</w:t>
      </w:r>
      <w:r w:rsidRPr="00F34C6B">
        <w:rPr>
          <w:rFonts w:eastAsia="Times New Roman"/>
          <w:color w:val="000000"/>
          <w:shd w:val="clear" w:color="auto" w:fill="FFFFFF"/>
          <w:lang w:eastAsia="en-GB"/>
        </w:rPr>
        <w:t xml:space="preserve"> </w:t>
      </w:r>
      <w:r>
        <w:rPr>
          <w:rFonts w:eastAsia="Times New Roman"/>
          <w:color w:val="000000"/>
          <w:shd w:val="clear" w:color="auto" w:fill="FFFFFF"/>
          <w:lang w:eastAsia="en-GB"/>
        </w:rPr>
        <w:t>'</w:t>
      </w:r>
      <w:r w:rsidRPr="00F34C6B">
        <w:rPr>
          <w:rFonts w:eastAsia="Times New Roman"/>
          <w:color w:val="000000"/>
          <w:shd w:val="clear" w:color="auto" w:fill="FFFFFF"/>
          <w:lang w:eastAsia="en-GB"/>
        </w:rPr>
        <w:t>state</w:t>
      </w:r>
      <w:r>
        <w:rPr>
          <w:rFonts w:eastAsia="Times New Roman"/>
          <w:color w:val="000000"/>
          <w:shd w:val="clear" w:color="auto" w:fill="FFFFFF"/>
          <w:lang w:eastAsia="en-GB"/>
        </w:rPr>
        <w:t>' language, as well as high culture (</w:t>
      </w:r>
      <w:r w:rsidRPr="00F34C6B">
        <w:rPr>
          <w:rFonts w:eastAsia="Times New Roman"/>
          <w:color w:val="000000"/>
          <w:shd w:val="clear" w:color="auto" w:fill="FFFFFF"/>
          <w:lang w:eastAsia="en-GB"/>
        </w:rPr>
        <w:t>poet</w:t>
      </w:r>
      <w:r>
        <w:rPr>
          <w:rFonts w:eastAsia="Times New Roman"/>
          <w:color w:val="000000"/>
          <w:shd w:val="clear" w:color="auto" w:fill="FFFFFF"/>
          <w:lang w:eastAsia="en-GB"/>
        </w:rPr>
        <w:t>ry</w:t>
      </w:r>
      <w:r w:rsidRPr="00F34C6B">
        <w:rPr>
          <w:rFonts w:eastAsia="Times New Roman"/>
          <w:color w:val="000000"/>
          <w:shd w:val="clear" w:color="auto" w:fill="FFFFFF"/>
          <w:lang w:eastAsia="en-GB"/>
        </w:rPr>
        <w:t>/litera</w:t>
      </w:r>
      <w:r>
        <w:rPr>
          <w:rFonts w:eastAsia="Times New Roman"/>
          <w:color w:val="000000"/>
          <w:shd w:val="clear" w:color="auto" w:fill="FFFFFF"/>
          <w:lang w:eastAsia="en-GB"/>
        </w:rPr>
        <w:t>ture);</w:t>
      </w:r>
      <w:r w:rsidRPr="00F34C6B">
        <w:rPr>
          <w:rFonts w:eastAsia="Times New Roman"/>
          <w:color w:val="000000"/>
          <w:shd w:val="clear" w:color="auto" w:fill="FFFFFF"/>
          <w:lang w:eastAsia="en-GB"/>
        </w:rPr>
        <w:t xml:space="preserve"> Turkish</w:t>
      </w:r>
      <w:r>
        <w:rPr>
          <w:rFonts w:eastAsia="Times New Roman"/>
          <w:color w:val="000000"/>
          <w:shd w:val="clear" w:color="auto" w:fill="FFFFFF"/>
          <w:lang w:eastAsia="en-GB"/>
        </w:rPr>
        <w:t xml:space="preserve"> used</w:t>
      </w:r>
      <w:r w:rsidRPr="00F34C6B">
        <w:rPr>
          <w:rFonts w:eastAsia="Times New Roman"/>
          <w:color w:val="000000"/>
          <w:shd w:val="clear" w:color="auto" w:fill="FFFFFF"/>
          <w:lang w:eastAsia="en-GB"/>
        </w:rPr>
        <w:t xml:space="preserve"> in daily life.</w:t>
      </w:r>
    </w:p>
    <w:p w:rsidR="00456210" w:rsidRDefault="00F57DC6" w:rsidP="00456210">
      <w:pPr>
        <w:pStyle w:val="ListParagraph"/>
        <w:numPr>
          <w:ilvl w:val="0"/>
          <w:numId w:val="3"/>
        </w:numPr>
        <w:ind w:left="709" w:hanging="142"/>
        <w:rPr>
          <w:lang w:val="en-GB"/>
        </w:rPr>
      </w:pPr>
      <w:r w:rsidRPr="00F34C6B">
        <w:rPr>
          <w:rFonts w:eastAsia="Times New Roman"/>
          <w:color w:val="000000"/>
          <w:shd w:val="clear" w:color="auto" w:fill="FFFFFF"/>
          <w:lang w:eastAsia="en-GB"/>
        </w:rPr>
        <w:lastRenderedPageBreak/>
        <w:t xml:space="preserve">Law: Sharia courts which implemented Islamic law;  also recourse to the </w:t>
      </w:r>
      <w:r w:rsidRPr="00F34C6B">
        <w:rPr>
          <w:rFonts w:eastAsia="Times New Roman"/>
          <w:i/>
          <w:iCs/>
          <w:color w:val="000000"/>
          <w:shd w:val="clear" w:color="auto" w:fill="FFFFFF"/>
          <w:lang w:eastAsia="en-GB"/>
        </w:rPr>
        <w:t>kanun</w:t>
      </w:r>
      <w:r w:rsidRPr="00F34C6B">
        <w:rPr>
          <w:rFonts w:eastAsia="Times New Roman"/>
          <w:color w:val="000000"/>
          <w:shd w:val="clear" w:color="auto" w:fill="FFFFFF"/>
          <w:lang w:eastAsia="en-GB"/>
        </w:rPr>
        <w:t xml:space="preserve">, Sultanic law, </w:t>
      </w:r>
      <w:r w:rsidRPr="00F34C6B">
        <w:rPr>
          <w:lang w:val="en-GB"/>
        </w:rPr>
        <w:t>based on customary/secular laws</w:t>
      </w:r>
      <w:r>
        <w:rPr>
          <w:lang w:val="en-GB"/>
        </w:rPr>
        <w:t>.</w:t>
      </w:r>
      <w:r w:rsidR="00456210" w:rsidRPr="00456210">
        <w:rPr>
          <w:b/>
          <w:i/>
        </w:rPr>
        <w:t xml:space="preserve"> </w:t>
      </w:r>
      <w:r w:rsidR="00456210" w:rsidRPr="00720BD5">
        <w:rPr>
          <w:b/>
          <w:i/>
        </w:rPr>
        <w:t>Kadi:</w:t>
      </w:r>
      <w:r w:rsidR="00456210">
        <w:t xml:space="preserve"> </w:t>
      </w:r>
      <w:r w:rsidR="00981F43">
        <w:t xml:space="preserve">similar to </w:t>
      </w:r>
      <w:r w:rsidR="00456210">
        <w:t>'magistrates', appointed to the provinces to preside over social and judicial affairs.</w:t>
      </w:r>
    </w:p>
    <w:p w:rsidR="00456210" w:rsidRDefault="00456210" w:rsidP="00456210">
      <w:pPr>
        <w:pStyle w:val="ListParagraph"/>
        <w:ind w:left="0"/>
        <w:rPr>
          <w:rFonts w:eastAsia="Times New Roman"/>
          <w:b/>
          <w:color w:val="000000"/>
          <w:shd w:val="clear" w:color="auto" w:fill="FFFFFF"/>
          <w:lang w:eastAsia="en-GB"/>
        </w:rPr>
      </w:pPr>
    </w:p>
    <w:p w:rsidR="00F57DC6" w:rsidRPr="00456210" w:rsidRDefault="00456210" w:rsidP="00456210">
      <w:pPr>
        <w:pStyle w:val="ListParagraph"/>
        <w:ind w:left="0"/>
        <w:rPr>
          <w:i/>
          <w:lang w:val="en-GB"/>
        </w:rPr>
      </w:pPr>
      <w:r w:rsidRPr="00456210">
        <w:rPr>
          <w:rFonts w:eastAsia="Times New Roman"/>
          <w:b/>
          <w:i/>
          <w:color w:val="000000"/>
          <w:shd w:val="clear" w:color="auto" w:fill="FFFFFF"/>
          <w:lang w:eastAsia="en-GB"/>
        </w:rPr>
        <w:t xml:space="preserve">Trade and the Economy </w:t>
      </w:r>
    </w:p>
    <w:p w:rsidR="00F57DC6" w:rsidRDefault="00F57DC6" w:rsidP="00F57DC6">
      <w:pPr>
        <w:pStyle w:val="ListParagraph"/>
        <w:numPr>
          <w:ilvl w:val="0"/>
          <w:numId w:val="3"/>
        </w:numPr>
        <w:shd w:val="clear" w:color="auto" w:fill="FFFFFF"/>
        <w:ind w:left="709"/>
        <w:rPr>
          <w:rFonts w:eastAsia="Times New Roman"/>
          <w:color w:val="000000"/>
          <w:shd w:val="clear" w:color="auto" w:fill="FFFFFF"/>
          <w:lang w:eastAsia="en-GB"/>
        </w:rPr>
      </w:pPr>
      <w:r w:rsidRPr="00F34C6B">
        <w:rPr>
          <w:rFonts w:eastAsia="Times New Roman"/>
          <w:color w:val="000000"/>
          <w:shd w:val="clear" w:color="auto" w:fill="FFFFFF"/>
          <w:lang w:eastAsia="en-GB"/>
        </w:rPr>
        <w:t xml:space="preserve">Trade: </w:t>
      </w:r>
      <w:r>
        <w:rPr>
          <w:rFonts w:eastAsia="Times New Roman"/>
          <w:color w:val="000000"/>
          <w:shd w:val="clear" w:color="auto" w:fill="FFFFFF"/>
          <w:lang w:eastAsia="en-GB"/>
        </w:rPr>
        <w:t>it</w:t>
      </w:r>
      <w:r w:rsidRPr="00E43FE6">
        <w:rPr>
          <w:rFonts w:eastAsia="Times New Roman"/>
          <w:color w:val="000000"/>
          <w:shd w:val="clear" w:color="auto" w:fill="FFFFFF"/>
          <w:lang w:eastAsia="en-GB"/>
        </w:rPr>
        <w:t xml:space="preserve"> </w:t>
      </w:r>
      <w:r>
        <w:rPr>
          <w:rFonts w:eastAsia="Times New Roman"/>
          <w:color w:val="000000"/>
          <w:shd w:val="clear" w:color="auto" w:fill="FFFFFF"/>
          <w:lang w:eastAsia="en-GB"/>
        </w:rPr>
        <w:t xml:space="preserve">is essential for </w:t>
      </w:r>
      <w:r w:rsidRPr="00E43FE6">
        <w:rPr>
          <w:rFonts w:eastAsia="Times New Roman"/>
          <w:color w:val="000000"/>
          <w:shd w:val="clear" w:color="auto" w:fill="FFFFFF"/>
          <w:lang w:eastAsia="en-GB"/>
        </w:rPr>
        <w:t>looking after the local population. Local economic zones are linked to international trade routes.</w:t>
      </w:r>
    </w:p>
    <w:p w:rsidR="008F669C" w:rsidRPr="008F669C" w:rsidRDefault="008F669C" w:rsidP="00F57DC6">
      <w:pPr>
        <w:pStyle w:val="ListParagraph"/>
        <w:numPr>
          <w:ilvl w:val="0"/>
          <w:numId w:val="3"/>
        </w:numPr>
        <w:shd w:val="clear" w:color="auto" w:fill="FFFFFF"/>
        <w:ind w:left="709"/>
        <w:rPr>
          <w:rFonts w:eastAsia="Times New Roman"/>
          <w:color w:val="000000"/>
          <w:shd w:val="clear" w:color="auto" w:fill="FFFFFF"/>
          <w:lang w:eastAsia="en-GB"/>
        </w:rPr>
      </w:pPr>
      <w:r>
        <w:rPr>
          <w:rFonts w:eastAsia="Times New Roman"/>
          <w:color w:val="000000"/>
          <w:shd w:val="clear" w:color="auto" w:fill="FFFFFF"/>
          <w:lang w:eastAsia="en-GB"/>
        </w:rPr>
        <w:t xml:space="preserve">Merchants: </w:t>
      </w:r>
      <w:r w:rsidRPr="008F669C">
        <w:rPr>
          <w:color w:val="000000"/>
        </w:rPr>
        <w:t>Armenian</w:t>
      </w:r>
      <w:r>
        <w:rPr>
          <w:color w:val="000000"/>
        </w:rPr>
        <w:t>, Greek Orthodox Christian and Jewish subjects of the empire operate in southern European port towns.</w:t>
      </w:r>
    </w:p>
    <w:p w:rsidR="008F669C" w:rsidRPr="008F669C" w:rsidRDefault="008F669C" w:rsidP="00F57DC6">
      <w:pPr>
        <w:pStyle w:val="ListParagraph"/>
        <w:numPr>
          <w:ilvl w:val="0"/>
          <w:numId w:val="3"/>
        </w:numPr>
        <w:shd w:val="clear" w:color="auto" w:fill="FFFFFF"/>
        <w:ind w:left="709"/>
        <w:rPr>
          <w:rFonts w:eastAsia="Times New Roman"/>
          <w:color w:val="000000"/>
          <w:shd w:val="clear" w:color="auto" w:fill="FFFFFF"/>
          <w:lang w:eastAsia="en-GB"/>
        </w:rPr>
      </w:pPr>
      <w:r>
        <w:t>'C</w:t>
      </w:r>
      <w:r w:rsidRPr="004D2F27">
        <w:t>apitulations</w:t>
      </w:r>
      <w:r>
        <w:t>' (</w:t>
      </w:r>
      <w:r w:rsidRPr="000F17D5">
        <w:rPr>
          <w:i/>
        </w:rPr>
        <w:t>ahdname</w:t>
      </w:r>
      <w:r>
        <w:t xml:space="preserve">): </w:t>
      </w:r>
      <w:r w:rsidRPr="004D2F27">
        <w:t>Ottomans granting mutually beneficial trading privileges to French, Dutch and English merchants</w:t>
      </w:r>
      <w:r>
        <w:t xml:space="preserve"> </w:t>
      </w:r>
      <w:r w:rsidRPr="008F669C">
        <w:t>(</w:t>
      </w:r>
      <w:r w:rsidRPr="008F669C">
        <w:rPr>
          <w:color w:val="000000"/>
        </w:rPr>
        <w:t>France (1569),England (1581), the Netherlands (1600) )</w:t>
      </w:r>
    </w:p>
    <w:p w:rsidR="008F669C" w:rsidRPr="008F669C" w:rsidRDefault="008F669C" w:rsidP="008F669C">
      <w:pPr>
        <w:pStyle w:val="ListParagraph"/>
        <w:shd w:val="clear" w:color="auto" w:fill="FFFFFF"/>
        <w:ind w:left="709"/>
        <w:rPr>
          <w:rFonts w:eastAsia="Times New Roman"/>
          <w:color w:val="000000"/>
          <w:shd w:val="clear" w:color="auto" w:fill="FFFFFF"/>
          <w:lang w:eastAsia="en-GB"/>
        </w:rPr>
      </w:pPr>
    </w:p>
    <w:p w:rsidR="00F57DC6" w:rsidRPr="00E43FE6" w:rsidRDefault="00F57DC6" w:rsidP="00F57DC6">
      <w:pPr>
        <w:shd w:val="clear" w:color="auto" w:fill="FFFFFF"/>
        <w:rPr>
          <w:rFonts w:eastAsia="Times New Roman"/>
          <w:color w:val="000000"/>
          <w:shd w:val="clear" w:color="auto" w:fill="FFFFFF"/>
          <w:lang w:eastAsia="en-GB"/>
        </w:rPr>
      </w:pPr>
      <w:r w:rsidRPr="00E43FE6">
        <w:rPr>
          <w:rFonts w:eastAsia="Times New Roman"/>
          <w:b/>
          <w:i/>
          <w:color w:val="000000"/>
          <w:shd w:val="clear" w:color="auto" w:fill="FFFFFF"/>
          <w:lang w:eastAsia="en-GB"/>
        </w:rPr>
        <w:t>Military organisation</w:t>
      </w:r>
    </w:p>
    <w:p w:rsidR="00F57DC6" w:rsidRPr="00E43FE6" w:rsidRDefault="00F57DC6" w:rsidP="00F57DC6">
      <w:pPr>
        <w:pStyle w:val="ListParagraph"/>
        <w:numPr>
          <w:ilvl w:val="0"/>
          <w:numId w:val="2"/>
        </w:numPr>
        <w:shd w:val="clear" w:color="auto" w:fill="FFFFFF"/>
        <w:rPr>
          <w:rFonts w:eastAsia="Times New Roman"/>
          <w:color w:val="000000"/>
          <w:shd w:val="clear" w:color="auto" w:fill="FFFFFF"/>
          <w:lang w:eastAsia="en-GB"/>
        </w:rPr>
      </w:pPr>
      <w:r w:rsidRPr="00E43FE6">
        <w:rPr>
          <w:rFonts w:eastAsia="Times New Roman"/>
          <w:b/>
          <w:i/>
          <w:color w:val="000000"/>
          <w:shd w:val="clear" w:color="auto" w:fill="FFFFFF"/>
          <w:lang w:eastAsia="en-GB"/>
        </w:rPr>
        <w:t>Timar system:</w:t>
      </w:r>
      <w:r w:rsidRPr="00E43FE6">
        <w:rPr>
          <w:rFonts w:eastAsia="Times New Roman"/>
          <w:color w:val="000000"/>
          <w:shd w:val="clear" w:color="auto" w:fill="FFFFFF"/>
          <w:lang w:eastAsia="en-GB"/>
        </w:rPr>
        <w:t xml:space="preserve"> land is given out to a warrior class (sipahi) i</w:t>
      </w:r>
      <w:r>
        <w:rPr>
          <w:rFonts w:eastAsia="Times New Roman"/>
          <w:color w:val="000000"/>
          <w:shd w:val="clear" w:color="auto" w:fill="FFFFFF"/>
          <w:lang w:eastAsia="en-GB"/>
        </w:rPr>
        <w:t>n return for military service, quasi-</w:t>
      </w:r>
      <w:r w:rsidRPr="00E43FE6">
        <w:rPr>
          <w:rFonts w:eastAsia="Times New Roman"/>
          <w:color w:val="000000"/>
          <w:shd w:val="clear" w:color="auto" w:fill="FFFFFF"/>
          <w:lang w:eastAsia="en-GB"/>
        </w:rPr>
        <w:t>feudal</w:t>
      </w:r>
      <w:r w:rsidR="008F669C">
        <w:rPr>
          <w:rFonts w:eastAsia="Times New Roman"/>
          <w:color w:val="000000"/>
          <w:shd w:val="clear" w:color="auto" w:fill="FFFFFF"/>
          <w:lang w:eastAsia="en-GB"/>
        </w:rPr>
        <w:t>;</w:t>
      </w:r>
      <w:r w:rsidR="008F669C" w:rsidRPr="008F669C">
        <w:t xml:space="preserve"> </w:t>
      </w:r>
      <w:r w:rsidR="008F669C">
        <w:t>appointed by the state, they do not own the land and cannot pass it on to their children.</w:t>
      </w:r>
    </w:p>
    <w:p w:rsidR="00F57DC6" w:rsidRPr="00F34C6B" w:rsidRDefault="00F57DC6" w:rsidP="00F57DC6">
      <w:pPr>
        <w:pStyle w:val="ListParagraph"/>
        <w:numPr>
          <w:ilvl w:val="0"/>
          <w:numId w:val="2"/>
        </w:numPr>
      </w:pPr>
      <w:r w:rsidRPr="00E43FE6">
        <w:rPr>
          <w:rFonts w:eastAsia="Times New Roman"/>
          <w:b/>
          <w:i/>
          <w:color w:val="000000"/>
          <w:shd w:val="clear" w:color="auto" w:fill="FFFFFF"/>
          <w:lang w:eastAsia="en-GB"/>
        </w:rPr>
        <w:t>Janissaries</w:t>
      </w:r>
      <w:r w:rsidR="008F669C">
        <w:rPr>
          <w:rFonts w:eastAsia="Times New Roman"/>
          <w:b/>
          <w:i/>
          <w:color w:val="000000"/>
          <w:shd w:val="clear" w:color="auto" w:fill="FFFFFF"/>
          <w:lang w:eastAsia="en-GB"/>
        </w:rPr>
        <w:t>-</w:t>
      </w:r>
      <w:r w:rsidRPr="00E43FE6">
        <w:rPr>
          <w:rFonts w:eastAsia="Times New Roman"/>
          <w:b/>
          <w:i/>
          <w:color w:val="000000"/>
          <w:shd w:val="clear" w:color="auto" w:fill="FFFFFF"/>
          <w:lang w:eastAsia="en-GB"/>
        </w:rPr>
        <w:t xml:space="preserve"> devshirme system</w:t>
      </w:r>
      <w:r w:rsidR="008F669C">
        <w:rPr>
          <w:rFonts w:eastAsia="Times New Roman"/>
          <w:b/>
          <w:i/>
          <w:color w:val="000000"/>
          <w:shd w:val="clear" w:color="auto" w:fill="FFFFFF"/>
          <w:lang w:eastAsia="en-GB"/>
        </w:rPr>
        <w:t>:</w:t>
      </w:r>
      <w:r w:rsidR="008F669C">
        <w:rPr>
          <w:rFonts w:eastAsia="Times New Roman"/>
          <w:color w:val="000000"/>
          <w:shd w:val="clear" w:color="auto" w:fill="FFFFFF"/>
          <w:lang w:eastAsia="en-GB"/>
        </w:rPr>
        <w:t xml:space="preserve"> </w:t>
      </w:r>
      <w:r w:rsidRPr="00E43FE6">
        <w:rPr>
          <w:rFonts w:eastAsia="Times New Roman"/>
          <w:color w:val="000000"/>
          <w:shd w:val="clear" w:color="auto" w:fill="FFFFFF"/>
          <w:lang w:eastAsia="en-GB"/>
        </w:rPr>
        <w:t xml:space="preserve">Christian children are collected mainly from the Balkans, converted, trained and turned into </w:t>
      </w:r>
      <w:r w:rsidR="008F669C">
        <w:rPr>
          <w:rFonts w:eastAsia="Times New Roman"/>
          <w:color w:val="000000"/>
          <w:shd w:val="clear" w:color="auto" w:fill="FFFFFF"/>
          <w:lang w:eastAsia="en-GB"/>
        </w:rPr>
        <w:t>elite soldiers.</w:t>
      </w:r>
    </w:p>
    <w:p w:rsidR="00F57DC6" w:rsidRDefault="00F57DC6" w:rsidP="00456210">
      <w:pPr>
        <w:pStyle w:val="ListParagraph"/>
      </w:pPr>
    </w:p>
    <w:p w:rsidR="008F669C" w:rsidRDefault="008F669C" w:rsidP="008F669C">
      <w:pPr>
        <w:pStyle w:val="ListParagraph"/>
        <w:ind w:left="0"/>
        <w:rPr>
          <w:b/>
          <w:i/>
        </w:rPr>
      </w:pPr>
      <w:r w:rsidRPr="008F669C">
        <w:rPr>
          <w:b/>
          <w:i/>
        </w:rPr>
        <w:t>Ottoman decline?</w:t>
      </w:r>
    </w:p>
    <w:p w:rsidR="008F669C" w:rsidRPr="008F669C" w:rsidRDefault="001E0BEB" w:rsidP="008F669C">
      <w:pPr>
        <w:pStyle w:val="ListParagraph"/>
        <w:numPr>
          <w:ilvl w:val="0"/>
          <w:numId w:val="5"/>
        </w:numPr>
      </w:pPr>
      <w:r>
        <w:t>'Decline thesis'</w:t>
      </w:r>
      <w:r w:rsidR="000D6DCA">
        <w:t xml:space="preserve"> (esp. </w:t>
      </w:r>
      <w:r w:rsidR="000D6DCA" w:rsidRPr="004D2F27">
        <w:t xml:space="preserve">Bernard Lewis, </w:t>
      </w:r>
      <w:r w:rsidR="000D6DCA" w:rsidRPr="004D2F27">
        <w:rPr>
          <w:i/>
        </w:rPr>
        <w:t>The Emergence of Modern Turkey</w:t>
      </w:r>
      <w:r w:rsidR="000D6DCA" w:rsidRPr="004D2F27">
        <w:t xml:space="preserve"> </w:t>
      </w:r>
      <w:r w:rsidR="000D6DCA">
        <w:t>(</w:t>
      </w:r>
      <w:r w:rsidR="000D6DCA" w:rsidRPr="004D2F27">
        <w:t>Oxford</w:t>
      </w:r>
      <w:r w:rsidR="000D6DCA">
        <w:t xml:space="preserve">, </w:t>
      </w:r>
      <w:r w:rsidR="000D6DCA" w:rsidRPr="004D2F27">
        <w:t>1961</w:t>
      </w:r>
      <w:r w:rsidR="000D6DCA">
        <w:t xml:space="preserve">): this argument is now </w:t>
      </w:r>
      <w:r w:rsidR="008F669C">
        <w:t>refuted</w:t>
      </w:r>
      <w:r w:rsidR="00981F43">
        <w:t>; critics argue for a less teleological and more balanced assessment focusing on adaptation and change</w:t>
      </w:r>
      <w:r w:rsidR="008F669C">
        <w:t xml:space="preserve">. </w:t>
      </w:r>
      <w:r w:rsidR="008F669C" w:rsidRPr="004D2F27">
        <w:t>From the end of the 16</w:t>
      </w:r>
      <w:r w:rsidR="008F669C" w:rsidRPr="004D2F27">
        <w:rPr>
          <w:vertAlign w:val="superscript"/>
        </w:rPr>
        <w:t>th</w:t>
      </w:r>
      <w:r w:rsidR="008F669C" w:rsidRPr="004D2F27">
        <w:t xml:space="preserve"> century onwards, the Ottomans started losing wars</w:t>
      </w:r>
      <w:r w:rsidR="008F669C">
        <w:t xml:space="preserve"> and their territorial expansion was checked</w:t>
      </w:r>
      <w:r w:rsidR="00513262">
        <w:t xml:space="preserve"> (treaties of </w:t>
      </w:r>
      <w:r w:rsidR="00513262" w:rsidRPr="004D2F27">
        <w:t>Karlowitz of 1699</w:t>
      </w:r>
      <w:r w:rsidR="00513262">
        <w:t xml:space="preserve"> and Passarowitz</w:t>
      </w:r>
      <w:r w:rsidR="00D55F66">
        <w:t xml:space="preserve"> 1718)</w:t>
      </w:r>
      <w:r w:rsidR="008F669C">
        <w:t>.</w:t>
      </w:r>
      <w:r w:rsidR="000D6DCA">
        <w:t xml:space="preserve"> Decentralisation: rise of the </w:t>
      </w:r>
      <w:r w:rsidR="000D6DCA" w:rsidRPr="000D6DCA">
        <w:rPr>
          <w:i/>
        </w:rPr>
        <w:t>ayan</w:t>
      </w:r>
      <w:r w:rsidR="00981F43">
        <w:rPr>
          <w:i/>
        </w:rPr>
        <w:t>s</w:t>
      </w:r>
      <w:r w:rsidR="000D6DCA">
        <w:t xml:space="preserve"> </w:t>
      </w:r>
      <w:r w:rsidR="00981F43">
        <w:t>(</w:t>
      </w:r>
      <w:r w:rsidR="000D6DCA">
        <w:t>local notables</w:t>
      </w:r>
      <w:r w:rsidR="00981F43">
        <w:t>),</w:t>
      </w:r>
      <w:r w:rsidR="000D6DCA">
        <w:t xml:space="preserve"> holding power in the provinces</w:t>
      </w:r>
      <w:r w:rsidR="00981F43">
        <w:t>.</w:t>
      </w:r>
    </w:p>
    <w:p w:rsidR="00F57DC6" w:rsidRDefault="00F57DC6" w:rsidP="00F57DC6">
      <w:pPr>
        <w:pStyle w:val="ListParagraph"/>
      </w:pPr>
    </w:p>
    <w:p w:rsidR="00981F43" w:rsidRDefault="00981F43" w:rsidP="00F57DC6">
      <w:pPr>
        <w:pStyle w:val="ListParagraph"/>
      </w:pPr>
      <w:r>
        <w:t>Further bibliography:</w:t>
      </w:r>
    </w:p>
    <w:p w:rsidR="00981F43" w:rsidRDefault="00981F43" w:rsidP="00F57DC6">
      <w:pPr>
        <w:pStyle w:val="ListParagraph"/>
        <w:rPr>
          <w:rFonts w:ascii="Lato" w:hAnsi="Lato" w:cs="Arial"/>
          <w:color w:val="383838"/>
          <w:sz w:val="21"/>
          <w:szCs w:val="21"/>
        </w:rPr>
      </w:pPr>
      <w:r>
        <w:rPr>
          <w:rFonts w:ascii="Lato" w:hAnsi="Lato" w:cs="Arial"/>
          <w:color w:val="383838"/>
          <w:sz w:val="21"/>
          <w:szCs w:val="21"/>
        </w:rPr>
        <w:t xml:space="preserve">K. Barkey, </w:t>
      </w:r>
      <w:r>
        <w:rPr>
          <w:rStyle w:val="Emphasis"/>
          <w:rFonts w:ascii="Lato" w:hAnsi="Lato" w:cs="Arial"/>
          <w:color w:val="383838"/>
          <w:sz w:val="21"/>
          <w:szCs w:val="21"/>
        </w:rPr>
        <w:t>Empire of Difference: The Ottomans in Comparative Perspective</w:t>
      </w:r>
      <w:r>
        <w:rPr>
          <w:rFonts w:ascii="Lato" w:hAnsi="Lato" w:cs="Arial"/>
          <w:color w:val="383838"/>
          <w:sz w:val="21"/>
          <w:szCs w:val="21"/>
        </w:rPr>
        <w:t xml:space="preserve"> (New York: Cambridge University Press, 2008)</w:t>
      </w:r>
    </w:p>
    <w:p w:rsidR="00981F43" w:rsidRDefault="00981F43" w:rsidP="00F57DC6">
      <w:pPr>
        <w:pStyle w:val="ListParagraph"/>
        <w:rPr>
          <w:rFonts w:ascii="Lato" w:hAnsi="Lato" w:cs="Arial"/>
          <w:color w:val="383838"/>
          <w:sz w:val="21"/>
          <w:szCs w:val="21"/>
        </w:rPr>
      </w:pPr>
      <w:r>
        <w:rPr>
          <w:rFonts w:ascii="Lato" w:hAnsi="Lato" w:cs="Arial"/>
          <w:color w:val="383838"/>
          <w:sz w:val="21"/>
          <w:szCs w:val="21"/>
        </w:rPr>
        <w:t xml:space="preserve">C. Finkel, </w:t>
      </w:r>
      <w:r>
        <w:rPr>
          <w:rStyle w:val="Emphasis"/>
          <w:rFonts w:ascii="Lato" w:hAnsi="Lato" w:cs="Arial"/>
          <w:color w:val="383838"/>
          <w:sz w:val="21"/>
          <w:szCs w:val="21"/>
        </w:rPr>
        <w:t>Osman’s Dream: The Story of the Ottoman Empire</w:t>
      </w:r>
      <w:r>
        <w:rPr>
          <w:rFonts w:ascii="Lato" w:hAnsi="Lato" w:cs="Arial"/>
          <w:color w:val="383838"/>
          <w:sz w:val="21"/>
          <w:szCs w:val="21"/>
        </w:rPr>
        <w:t xml:space="preserve"> (London: John Murray, 2006).</w:t>
      </w:r>
    </w:p>
    <w:p w:rsidR="00981F43" w:rsidRDefault="00981F43" w:rsidP="00F57DC6">
      <w:pPr>
        <w:pStyle w:val="ListParagraph"/>
        <w:rPr>
          <w:rFonts w:ascii="Lato" w:hAnsi="Lato" w:cs="Arial"/>
          <w:color w:val="383838"/>
          <w:sz w:val="21"/>
          <w:szCs w:val="21"/>
        </w:rPr>
      </w:pPr>
      <w:r>
        <w:rPr>
          <w:rFonts w:ascii="Lato" w:hAnsi="Lato" w:cs="Arial"/>
          <w:color w:val="383838"/>
          <w:sz w:val="21"/>
          <w:szCs w:val="21"/>
        </w:rPr>
        <w:t xml:space="preserve">M. Greene, </w:t>
      </w:r>
      <w:r>
        <w:rPr>
          <w:rStyle w:val="Emphasis"/>
          <w:rFonts w:ascii="Lato" w:hAnsi="Lato" w:cs="Arial"/>
          <w:color w:val="383838"/>
          <w:sz w:val="21"/>
          <w:szCs w:val="21"/>
        </w:rPr>
        <w:t>A Shared World: Christians and Muslims in the Early Modern Mediterranean</w:t>
      </w:r>
      <w:r>
        <w:rPr>
          <w:rFonts w:ascii="Lato" w:hAnsi="Lato" w:cs="Arial"/>
          <w:color w:val="383838"/>
          <w:sz w:val="21"/>
          <w:szCs w:val="21"/>
        </w:rPr>
        <w:t xml:space="preserve"> (Princeton: Princeton University Press, 2000).</w:t>
      </w:r>
    </w:p>
    <w:p w:rsidR="00981F43" w:rsidRPr="00E43FE6" w:rsidRDefault="00981F43" w:rsidP="00F57DC6">
      <w:pPr>
        <w:pStyle w:val="ListParagraph"/>
      </w:pPr>
      <w:r>
        <w:rPr>
          <w:rFonts w:ascii="Lato" w:hAnsi="Lato" w:cs="Arial"/>
          <w:color w:val="383838"/>
          <w:sz w:val="21"/>
          <w:szCs w:val="21"/>
        </w:rPr>
        <w:t>D. Goffman</w:t>
      </w:r>
      <w:r>
        <w:rPr>
          <w:rStyle w:val="Emphasis"/>
          <w:rFonts w:ascii="Lato" w:hAnsi="Lato" w:cs="Arial"/>
          <w:color w:val="383838"/>
          <w:sz w:val="21"/>
          <w:szCs w:val="21"/>
        </w:rPr>
        <w:t xml:space="preserve">, </w:t>
      </w:r>
      <w:hyperlink r:id="rId5" w:tgtFrame="_blank" w:history="1">
        <w:r w:rsidRPr="00981F43">
          <w:rPr>
            <w:rStyle w:val="Hyperlink"/>
            <w:rFonts w:ascii="Lato" w:hAnsi="Lato" w:cs="Arial"/>
            <w:i/>
            <w:iCs/>
            <w:sz w:val="21"/>
            <w:szCs w:val="21"/>
            <w:u w:val="none"/>
          </w:rPr>
          <w:t>The Ottoman Empire and Early Modern Europe</w:t>
        </w:r>
      </w:hyperlink>
      <w:r>
        <w:rPr>
          <w:rStyle w:val="Emphasis"/>
          <w:rFonts w:ascii="Lato" w:hAnsi="Lato" w:cs="Arial"/>
          <w:color w:val="383838"/>
          <w:sz w:val="21"/>
          <w:szCs w:val="21"/>
        </w:rPr>
        <w:t xml:space="preserve"> </w:t>
      </w:r>
      <w:r w:rsidRPr="00981F43">
        <w:rPr>
          <w:rStyle w:val="Emphasis"/>
          <w:rFonts w:ascii="Lato" w:hAnsi="Lato" w:cs="Arial"/>
          <w:i w:val="0"/>
          <w:color w:val="383838"/>
          <w:sz w:val="21"/>
          <w:szCs w:val="21"/>
        </w:rPr>
        <w:t>(2002)</w:t>
      </w:r>
    </w:p>
    <w:p w:rsidR="009871DA" w:rsidRDefault="00981F43"/>
    <w:sectPr w:rsidR="009871DA" w:rsidSect="00B1671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+mn-ea">
    <w:panose1 w:val="00000000000000000000"/>
    <w:charset w:val="00"/>
    <w:family w:val="roman"/>
    <w:notTrueType/>
    <w:pitch w:val="default"/>
  </w:font>
  <w:font w:name="+mn-cs">
    <w:panose1 w:val="00000000000000000000"/>
    <w:charset w:val="00"/>
    <w:family w:val="roman"/>
    <w:notTrueType/>
    <w:pitch w:val="default"/>
  </w:font>
  <w:font w:name="Lato">
    <w:altName w:val="Times New Roman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6B02E0"/>
    <w:multiLevelType w:val="hybridMultilevel"/>
    <w:tmpl w:val="14D8E456"/>
    <w:lvl w:ilvl="0" w:tplc="44B087B4">
      <w:numFmt w:val="bullet"/>
      <w:lvlText w:val="-"/>
      <w:lvlJc w:val="left"/>
      <w:pPr>
        <w:ind w:left="1080" w:hanging="360"/>
      </w:pPr>
      <w:rPr>
        <w:rFonts w:ascii="Times New Roman" w:eastAsia="MS Mincho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52844654"/>
    <w:multiLevelType w:val="hybridMultilevel"/>
    <w:tmpl w:val="3C9A464A"/>
    <w:lvl w:ilvl="0" w:tplc="44B087B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MS Mincho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2A0136D"/>
    <w:multiLevelType w:val="hybridMultilevel"/>
    <w:tmpl w:val="E0E8A3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21397C"/>
    <w:multiLevelType w:val="hybridMultilevel"/>
    <w:tmpl w:val="429CDE30"/>
    <w:lvl w:ilvl="0" w:tplc="44B087B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MS Mincho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FA26694"/>
    <w:multiLevelType w:val="hybridMultilevel"/>
    <w:tmpl w:val="F1B683E6"/>
    <w:lvl w:ilvl="0" w:tplc="44B087B4"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F57DC6"/>
    <w:rsid w:val="00011B23"/>
    <w:rsid w:val="000A3317"/>
    <w:rsid w:val="000D6DCA"/>
    <w:rsid w:val="000E2EE9"/>
    <w:rsid w:val="00107B30"/>
    <w:rsid w:val="00161494"/>
    <w:rsid w:val="001E0BEB"/>
    <w:rsid w:val="001E2979"/>
    <w:rsid w:val="002764CB"/>
    <w:rsid w:val="003F005A"/>
    <w:rsid w:val="00456210"/>
    <w:rsid w:val="004E765D"/>
    <w:rsid w:val="00513262"/>
    <w:rsid w:val="0052731A"/>
    <w:rsid w:val="005B490B"/>
    <w:rsid w:val="005B7784"/>
    <w:rsid w:val="00610FD2"/>
    <w:rsid w:val="0068167D"/>
    <w:rsid w:val="00763AC1"/>
    <w:rsid w:val="00785F5A"/>
    <w:rsid w:val="00804A4E"/>
    <w:rsid w:val="00890C87"/>
    <w:rsid w:val="008D4CD7"/>
    <w:rsid w:val="008D6B26"/>
    <w:rsid w:val="008F669C"/>
    <w:rsid w:val="00981F43"/>
    <w:rsid w:val="009E4BD9"/>
    <w:rsid w:val="00B1671A"/>
    <w:rsid w:val="00BB3C1C"/>
    <w:rsid w:val="00CB6FD5"/>
    <w:rsid w:val="00CE7D58"/>
    <w:rsid w:val="00D55F66"/>
    <w:rsid w:val="00DF4475"/>
    <w:rsid w:val="00F57DC6"/>
    <w:rsid w:val="00F64D45"/>
    <w:rsid w:val="00F66C15"/>
    <w:rsid w:val="00FB3239"/>
    <w:rsid w:val="00FF45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EFEE2BE-9AB0-48A1-9CF0-6CBA76B7B2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57DC6"/>
    <w:pPr>
      <w:spacing w:after="0" w:line="240" w:lineRule="auto"/>
    </w:pPr>
    <w:rPr>
      <w:rFonts w:ascii="Times New Roman" w:eastAsia="MS Mincho" w:hAnsi="Times New Roman" w:cs="Times New Roman"/>
      <w:sz w:val="24"/>
      <w:szCs w:val="24"/>
      <w:lang w:val="de-DE" w:eastAsia="ja-JP"/>
    </w:rPr>
  </w:style>
  <w:style w:type="paragraph" w:styleId="Heading1">
    <w:name w:val="heading 1"/>
    <w:basedOn w:val="Normal"/>
    <w:next w:val="Normal"/>
    <w:link w:val="Heading1Char"/>
    <w:uiPriority w:val="9"/>
    <w:qFormat/>
    <w:rsid w:val="00CB6FD5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B6FD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B6FD5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B6FD5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B6FD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B6FD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B6FD5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B6FD5"/>
    <w:rPr>
      <w:rFonts w:asciiTheme="majorHAnsi" w:eastAsiaTheme="majorEastAsia" w:hAnsiTheme="majorHAnsi" w:cstheme="majorBidi"/>
      <w:color w:val="243F60" w:themeColor="accent1" w:themeShade="7F"/>
    </w:rPr>
  </w:style>
  <w:style w:type="character" w:styleId="Emphasis">
    <w:name w:val="Emphasis"/>
    <w:basedOn w:val="DefaultParagraphFont"/>
    <w:uiPriority w:val="20"/>
    <w:qFormat/>
    <w:rsid w:val="00CB6FD5"/>
    <w:rPr>
      <w:i/>
      <w:iCs/>
    </w:rPr>
  </w:style>
  <w:style w:type="paragraph" w:styleId="ListParagraph">
    <w:name w:val="List Paragraph"/>
    <w:basedOn w:val="Normal"/>
    <w:uiPriority w:val="34"/>
    <w:qFormat/>
    <w:rsid w:val="00CB6FD5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981F43"/>
    <w:rPr>
      <w:strike w:val="0"/>
      <w:dstrike w:val="0"/>
      <w:color w:val="4A4A4A"/>
      <w:u w:val="single"/>
      <w:effect w:val="none"/>
      <w:shd w:val="clear" w:color="auto" w:fil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encore.lib.warwick.ac.uk/iii/encore/record/C__Rb206198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608B5AAB</Template>
  <TotalTime>190</TotalTime>
  <Pages>2</Pages>
  <Words>817</Words>
  <Characters>4659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Aysu Dincer</dc:creator>
  <cp:lastModifiedBy>Dincer Hadjianastasis, Aysu</cp:lastModifiedBy>
  <cp:revision>3</cp:revision>
  <dcterms:created xsi:type="dcterms:W3CDTF">2019-01-20T13:12:00Z</dcterms:created>
  <dcterms:modified xsi:type="dcterms:W3CDTF">2019-01-22T10:51:00Z</dcterms:modified>
</cp:coreProperties>
</file>