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8C" w:rsidRPr="00653E8C" w:rsidRDefault="00653E8C" w:rsidP="00653E8C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European World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        </w:t>
      </w:r>
      <w:r w:rsidR="000D2FD5">
        <w:rPr>
          <w:rFonts w:cs="Times New Roman"/>
          <w:bCs/>
          <w:szCs w:val="24"/>
        </w:rPr>
        <w:tab/>
      </w:r>
      <w:r w:rsidR="000D2FD5"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>BK 0</w:t>
      </w:r>
      <w:r w:rsidR="00334990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>/1</w:t>
      </w:r>
      <w:r w:rsidR="00334990">
        <w:rPr>
          <w:rFonts w:cs="Times New Roman"/>
          <w:bCs/>
          <w:szCs w:val="24"/>
        </w:rPr>
        <w:t>9</w:t>
      </w:r>
    </w:p>
    <w:p w:rsidR="00653E8C" w:rsidRPr="00357955" w:rsidRDefault="00653E8C" w:rsidP="00653E8C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br/>
      </w:r>
      <w:r w:rsidR="00441327">
        <w:rPr>
          <w:rFonts w:cs="Times New Roman"/>
          <w:b/>
          <w:bCs/>
          <w:szCs w:val="24"/>
        </w:rPr>
        <w:t>The Political Landscape</w:t>
      </w:r>
      <w:r>
        <w:rPr>
          <w:rFonts w:cs="Times New Roman"/>
          <w:b/>
          <w:bCs/>
          <w:szCs w:val="24"/>
        </w:rPr>
        <w:t xml:space="preserve">: </w:t>
      </w:r>
      <w:r w:rsidR="00441327">
        <w:rPr>
          <w:rFonts w:cs="Times New Roman"/>
          <w:b/>
          <w:bCs/>
          <w:szCs w:val="24"/>
        </w:rPr>
        <w:t>Repub</w:t>
      </w:r>
      <w:r w:rsidRPr="00357955">
        <w:rPr>
          <w:rFonts w:cs="Times New Roman"/>
          <w:b/>
          <w:bCs/>
          <w:szCs w:val="24"/>
        </w:rPr>
        <w:t>lics</w:t>
      </w:r>
      <w:r>
        <w:rPr>
          <w:rFonts w:cs="Times New Roman"/>
          <w:b/>
          <w:bCs/>
          <w:szCs w:val="24"/>
        </w:rPr>
        <w:t xml:space="preserve"> </w:t>
      </w:r>
    </w:p>
    <w:p w:rsidR="00653E8C" w:rsidRDefault="00653E8C" w:rsidP="00653E8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653E8C" w:rsidRDefault="00441327" w:rsidP="00653E8C">
      <w:p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Long neglected in </w:t>
      </w:r>
      <w:r w:rsidR="00A45ABB">
        <w:rPr>
          <w:rFonts w:cs="Times New Roman"/>
          <w:bCs/>
          <w:sz w:val="22"/>
        </w:rPr>
        <w:t>historiography</w:t>
      </w:r>
      <w:r>
        <w:rPr>
          <w:rFonts w:cs="Times New Roman"/>
          <w:bCs/>
          <w:sz w:val="22"/>
        </w:rPr>
        <w:t xml:space="preserve">. </w:t>
      </w:r>
      <w:r w:rsidR="00653E8C" w:rsidRPr="00441327">
        <w:rPr>
          <w:rFonts w:cs="Times New Roman"/>
          <w:bCs/>
          <w:i/>
          <w:sz w:val="22"/>
        </w:rPr>
        <w:t>Term</w:t>
      </w:r>
      <w:r w:rsidR="00653E8C" w:rsidRPr="00A51E27">
        <w:rPr>
          <w:rFonts w:cs="Times New Roman"/>
          <w:bCs/>
          <w:sz w:val="22"/>
        </w:rPr>
        <w:t xml:space="preserve">: from Latin </w:t>
      </w:r>
      <w:r w:rsidR="00653E8C" w:rsidRPr="00A51E27">
        <w:rPr>
          <w:rFonts w:cs="Times New Roman"/>
          <w:bCs/>
          <w:i/>
          <w:sz w:val="22"/>
        </w:rPr>
        <w:t xml:space="preserve">res </w:t>
      </w:r>
      <w:proofErr w:type="spellStart"/>
      <w:r w:rsidR="00653E8C" w:rsidRPr="00A51E27">
        <w:rPr>
          <w:rFonts w:cs="Times New Roman"/>
          <w:bCs/>
          <w:i/>
          <w:sz w:val="22"/>
        </w:rPr>
        <w:t>publica</w:t>
      </w:r>
      <w:proofErr w:type="spellEnd"/>
      <w:r w:rsidR="00653E8C" w:rsidRPr="00A51E27">
        <w:rPr>
          <w:rFonts w:cs="Times New Roman"/>
          <w:bCs/>
          <w:sz w:val="22"/>
        </w:rPr>
        <w:t xml:space="preserve"> (public affair); </w:t>
      </w:r>
      <w:r w:rsidR="00334990">
        <w:rPr>
          <w:rFonts w:cs="Times New Roman"/>
          <w:bCs/>
          <w:sz w:val="22"/>
        </w:rPr>
        <w:t xml:space="preserve">in narrow sense </w:t>
      </w:r>
      <w:r w:rsidR="00653E8C" w:rsidRPr="00A51E27">
        <w:rPr>
          <w:rFonts w:cs="Times New Roman"/>
          <w:bCs/>
          <w:sz w:val="22"/>
        </w:rPr>
        <w:t xml:space="preserve">used for </w:t>
      </w:r>
      <w:r w:rsidR="00A45ABB">
        <w:rPr>
          <w:rFonts w:cs="Times New Roman"/>
          <w:bCs/>
          <w:sz w:val="22"/>
        </w:rPr>
        <w:t>polities</w:t>
      </w:r>
      <w:r w:rsidR="00653E8C" w:rsidRPr="00A51E27">
        <w:rPr>
          <w:rFonts w:cs="Times New Roman"/>
          <w:bCs/>
          <w:sz w:val="22"/>
        </w:rPr>
        <w:t xml:space="preserve"> governed by (a </w:t>
      </w:r>
      <w:proofErr w:type="gramStart"/>
      <w:r w:rsidR="00653E8C" w:rsidRPr="00A51E27">
        <w:rPr>
          <w:rFonts w:cs="Times New Roman"/>
          <w:bCs/>
          <w:sz w:val="22"/>
        </w:rPr>
        <w:t>more or less</w:t>
      </w:r>
      <w:r w:rsidR="00653E8C">
        <w:rPr>
          <w:rFonts w:cs="Times New Roman"/>
          <w:bCs/>
          <w:sz w:val="22"/>
        </w:rPr>
        <w:t xml:space="preserve"> extensive</w:t>
      </w:r>
      <w:proofErr w:type="gramEnd"/>
      <w:r w:rsidR="00653E8C">
        <w:rPr>
          <w:rFonts w:cs="Times New Roman"/>
          <w:bCs/>
          <w:sz w:val="22"/>
        </w:rPr>
        <w:t xml:space="preserve"> </w:t>
      </w:r>
      <w:r w:rsidR="00334990">
        <w:rPr>
          <w:rFonts w:cs="Times New Roman"/>
          <w:bCs/>
          <w:sz w:val="22"/>
        </w:rPr>
        <w:t>no</w:t>
      </w:r>
      <w:r w:rsidR="00653E8C">
        <w:rPr>
          <w:rFonts w:cs="Times New Roman"/>
          <w:bCs/>
          <w:sz w:val="22"/>
        </w:rPr>
        <w:t xml:space="preserve"> of) </w:t>
      </w:r>
      <w:r w:rsidR="006343E8">
        <w:rPr>
          <w:rFonts w:cs="Times New Roman"/>
          <w:bCs/>
          <w:sz w:val="22"/>
        </w:rPr>
        <w:t>members</w:t>
      </w:r>
      <w:r w:rsidR="00653E8C">
        <w:rPr>
          <w:rFonts w:cs="Times New Roman"/>
          <w:bCs/>
          <w:sz w:val="22"/>
        </w:rPr>
        <w:t xml:space="preserve">. Building on classical models, (male) </w:t>
      </w:r>
      <w:r w:rsidR="00A45ABB">
        <w:rPr>
          <w:rFonts w:cs="Times New Roman"/>
          <w:bCs/>
          <w:sz w:val="22"/>
        </w:rPr>
        <w:t>burghers</w:t>
      </w:r>
      <w:r w:rsidR="00653E8C">
        <w:rPr>
          <w:rFonts w:cs="Times New Roman"/>
          <w:bCs/>
          <w:sz w:val="22"/>
        </w:rPr>
        <w:t xml:space="preserve"> are viewed as equal ‘</w:t>
      </w:r>
      <w:r w:rsidR="00A45ABB">
        <w:rPr>
          <w:rFonts w:cs="Times New Roman"/>
          <w:bCs/>
          <w:sz w:val="22"/>
        </w:rPr>
        <w:t>citizen</w:t>
      </w:r>
      <w:r w:rsidR="006343E8">
        <w:rPr>
          <w:rFonts w:cs="Times New Roman"/>
          <w:bCs/>
          <w:sz w:val="22"/>
        </w:rPr>
        <w:t>s</w:t>
      </w:r>
      <w:r w:rsidR="00653E8C">
        <w:rPr>
          <w:rFonts w:cs="Times New Roman"/>
          <w:bCs/>
          <w:sz w:val="22"/>
        </w:rPr>
        <w:t>’ rather than ‘subjects’. They enjoy political rights in return for (financial</w:t>
      </w:r>
      <w:r w:rsidR="00A45ABB">
        <w:rPr>
          <w:rFonts w:cs="Times New Roman"/>
          <w:bCs/>
          <w:sz w:val="22"/>
        </w:rPr>
        <w:t xml:space="preserve"> </w:t>
      </w:r>
      <w:r w:rsidR="00653E8C">
        <w:rPr>
          <w:rFonts w:cs="Times New Roman"/>
          <w:bCs/>
          <w:sz w:val="22"/>
        </w:rPr>
        <w:t>/</w:t>
      </w:r>
      <w:r w:rsidR="00A45ABB">
        <w:rPr>
          <w:rFonts w:cs="Times New Roman"/>
          <w:bCs/>
          <w:sz w:val="22"/>
        </w:rPr>
        <w:t xml:space="preserve"> </w:t>
      </w:r>
      <w:r w:rsidR="00653E8C">
        <w:rPr>
          <w:rFonts w:cs="Times New Roman"/>
          <w:bCs/>
          <w:sz w:val="22"/>
        </w:rPr>
        <w:t xml:space="preserve">military) obligations and ideally serve the common good with a strong sense of civic </w:t>
      </w:r>
      <w:r w:rsidR="000A10BF">
        <w:rPr>
          <w:rFonts w:cs="Times New Roman"/>
          <w:bCs/>
          <w:sz w:val="22"/>
        </w:rPr>
        <w:t xml:space="preserve">responsibility / </w:t>
      </w:r>
      <w:r w:rsidR="00653E8C">
        <w:rPr>
          <w:rFonts w:cs="Times New Roman"/>
          <w:bCs/>
          <w:sz w:val="22"/>
        </w:rPr>
        <w:t>virtue.</w:t>
      </w:r>
    </w:p>
    <w:p w:rsidR="00653E8C" w:rsidRDefault="00653E8C" w:rsidP="00653E8C">
      <w:pPr>
        <w:autoSpaceDE w:val="0"/>
        <w:autoSpaceDN w:val="0"/>
        <w:adjustRightInd w:val="0"/>
        <w:rPr>
          <w:rFonts w:cs="Times New Roman"/>
          <w:bCs/>
          <w:sz w:val="22"/>
        </w:rPr>
      </w:pPr>
    </w:p>
    <w:p w:rsidR="00653E8C" w:rsidRDefault="00653E8C" w:rsidP="00653E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Historical </w:t>
      </w:r>
      <w:r w:rsidR="005F2932">
        <w:rPr>
          <w:rFonts w:cs="Times New Roman"/>
          <w:bCs/>
          <w:sz w:val="22"/>
        </w:rPr>
        <w:t>overview</w:t>
      </w:r>
    </w:p>
    <w:p w:rsidR="00653E8C" w:rsidRDefault="00334990" w:rsidP="00653E8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Examples include </w:t>
      </w:r>
      <w:r w:rsidR="00653E8C">
        <w:rPr>
          <w:rFonts w:cs="Times New Roman"/>
          <w:bCs/>
          <w:sz w:val="22"/>
        </w:rPr>
        <w:t xml:space="preserve">Greek </w:t>
      </w:r>
      <w:r w:rsidR="00653E8C" w:rsidRPr="00A51E27">
        <w:rPr>
          <w:rFonts w:cs="Times New Roman"/>
          <w:bCs/>
          <w:i/>
          <w:sz w:val="22"/>
        </w:rPr>
        <w:t>polis</w:t>
      </w:r>
      <w:r w:rsidR="00653E8C">
        <w:rPr>
          <w:rFonts w:cs="Times New Roman"/>
          <w:bCs/>
          <w:sz w:val="22"/>
        </w:rPr>
        <w:t xml:space="preserve">, high medieval Italian </w:t>
      </w:r>
      <w:r w:rsidR="00653E8C" w:rsidRPr="00A51E27">
        <w:rPr>
          <w:rFonts w:cs="Times New Roman"/>
          <w:bCs/>
          <w:i/>
          <w:sz w:val="22"/>
        </w:rPr>
        <w:t>commune</w:t>
      </w:r>
      <w:r w:rsidR="00653E8C">
        <w:rPr>
          <w:rFonts w:cs="Times New Roman"/>
          <w:bCs/>
          <w:sz w:val="22"/>
        </w:rPr>
        <w:t xml:space="preserve">, late medieval </w:t>
      </w:r>
      <w:r w:rsidR="00653E8C" w:rsidRPr="00A51E27">
        <w:rPr>
          <w:rFonts w:cs="Times New Roman"/>
          <w:bCs/>
          <w:i/>
          <w:sz w:val="22"/>
        </w:rPr>
        <w:t>Imperial Free Cities</w:t>
      </w:r>
      <w:r w:rsidR="00653E8C">
        <w:rPr>
          <w:rFonts w:cs="Times New Roman"/>
          <w:bCs/>
          <w:sz w:val="22"/>
        </w:rPr>
        <w:t xml:space="preserve">, early modern urban (and rural) </w:t>
      </w:r>
      <w:r w:rsidR="00653E8C" w:rsidRPr="00A51E27">
        <w:rPr>
          <w:rFonts w:cs="Times New Roman"/>
          <w:bCs/>
          <w:i/>
          <w:sz w:val="22"/>
        </w:rPr>
        <w:t>federations</w:t>
      </w:r>
      <w:r w:rsidR="00653E8C">
        <w:rPr>
          <w:rFonts w:cs="Times New Roman"/>
          <w:bCs/>
          <w:sz w:val="22"/>
        </w:rPr>
        <w:t xml:space="preserve"> and ‘special cases’ of </w:t>
      </w:r>
      <w:r w:rsidR="00653E8C" w:rsidRPr="00A51E27">
        <w:rPr>
          <w:rFonts w:cs="Times New Roman"/>
          <w:bCs/>
          <w:i/>
          <w:sz w:val="22"/>
        </w:rPr>
        <w:t>mixed</w:t>
      </w:r>
      <w:r w:rsidR="00653E8C">
        <w:rPr>
          <w:rFonts w:cs="Times New Roman"/>
          <w:bCs/>
          <w:sz w:val="22"/>
        </w:rPr>
        <w:t xml:space="preserve"> (</w:t>
      </w:r>
      <w:r w:rsidR="00A45ABB">
        <w:rPr>
          <w:rFonts w:cs="Times New Roman"/>
          <w:bCs/>
          <w:sz w:val="22"/>
        </w:rPr>
        <w:t xml:space="preserve">strong </w:t>
      </w:r>
      <w:r w:rsidR="00653E8C">
        <w:rPr>
          <w:rFonts w:cs="Times New Roman"/>
          <w:bCs/>
          <w:sz w:val="22"/>
        </w:rPr>
        <w:t xml:space="preserve">aristocratic power in Poland-Lithuania) and </w:t>
      </w:r>
      <w:r w:rsidR="00653E8C" w:rsidRPr="00A51E27">
        <w:rPr>
          <w:rFonts w:cs="Times New Roman"/>
          <w:bCs/>
          <w:i/>
          <w:sz w:val="22"/>
        </w:rPr>
        <w:t>temporary</w:t>
      </w:r>
      <w:r w:rsidR="00653E8C">
        <w:rPr>
          <w:rFonts w:cs="Times New Roman"/>
          <w:bCs/>
          <w:sz w:val="22"/>
        </w:rPr>
        <w:t xml:space="preserve"> republics (English Commonwealth).</w:t>
      </w:r>
    </w:p>
    <w:p w:rsidR="00653E8C" w:rsidRDefault="00653E8C" w:rsidP="00653E8C">
      <w:pPr>
        <w:pStyle w:val="ListParagraph"/>
        <w:autoSpaceDE w:val="0"/>
        <w:autoSpaceDN w:val="0"/>
        <w:adjustRightInd w:val="0"/>
        <w:ind w:left="1440"/>
        <w:rPr>
          <w:rFonts w:cs="Times New Roman"/>
          <w:bCs/>
          <w:sz w:val="22"/>
        </w:rPr>
      </w:pPr>
    </w:p>
    <w:p w:rsidR="00653E8C" w:rsidRDefault="00653E8C" w:rsidP="00653E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Strands of political thought</w:t>
      </w:r>
    </w:p>
    <w:p w:rsidR="00653E8C" w:rsidRDefault="00653E8C" w:rsidP="00653E8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Classical division into 3 (monarchy, aristocracy, democracy; Aristotle); Renaissance distinction be</w:t>
      </w:r>
      <w:r w:rsidR="000A10BF">
        <w:rPr>
          <w:rFonts w:cs="Times New Roman"/>
          <w:bCs/>
          <w:sz w:val="22"/>
        </w:rPr>
        <w:t>t</w:t>
      </w:r>
      <w:r>
        <w:rPr>
          <w:rFonts w:cs="Times New Roman"/>
          <w:bCs/>
          <w:sz w:val="22"/>
        </w:rPr>
        <w:t>ween 2 (principalities and republics; Machiavelli) forms of government</w:t>
      </w:r>
    </w:p>
    <w:p w:rsidR="00653E8C" w:rsidRDefault="00653E8C" w:rsidP="00653E8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Early modern ascendancy of ‘absolutist’ thinkers, according to whom human </w:t>
      </w:r>
      <w:r w:rsidRPr="00A51E27">
        <w:rPr>
          <w:rFonts w:cs="Times New Roman"/>
          <w:bCs/>
          <w:i/>
          <w:sz w:val="22"/>
        </w:rPr>
        <w:t>self</w:t>
      </w:r>
      <w:r>
        <w:rPr>
          <w:rFonts w:cs="Times New Roman"/>
          <w:bCs/>
          <w:sz w:val="22"/>
        </w:rPr>
        <w:t>-interest and need for order requires strong ruler (</w:t>
      </w:r>
      <w:proofErr w:type="spellStart"/>
      <w:r>
        <w:rPr>
          <w:rFonts w:cs="Times New Roman"/>
          <w:bCs/>
          <w:sz w:val="22"/>
        </w:rPr>
        <w:t>Bodin</w:t>
      </w:r>
      <w:proofErr w:type="spellEnd"/>
      <w:r>
        <w:rPr>
          <w:rFonts w:cs="Times New Roman"/>
          <w:bCs/>
          <w:sz w:val="22"/>
        </w:rPr>
        <w:t xml:space="preserve">/Hobbes), but resistance theories emerge in context of religious wars; </w:t>
      </w:r>
      <w:r w:rsidR="00740DDB">
        <w:rPr>
          <w:rFonts w:cs="Times New Roman"/>
          <w:bCs/>
          <w:sz w:val="22"/>
        </w:rPr>
        <w:t>notable r</w:t>
      </w:r>
      <w:r w:rsidR="00B57933">
        <w:rPr>
          <w:rFonts w:cs="Times New Roman"/>
          <w:bCs/>
          <w:sz w:val="22"/>
        </w:rPr>
        <w:t xml:space="preserve">epublican </w:t>
      </w:r>
      <w:r w:rsidR="00A9741E">
        <w:rPr>
          <w:rFonts w:cs="Times New Roman"/>
          <w:bCs/>
          <w:sz w:val="22"/>
        </w:rPr>
        <w:t>models</w:t>
      </w:r>
      <w:r w:rsidR="00B57933">
        <w:rPr>
          <w:rFonts w:cs="Times New Roman"/>
          <w:bCs/>
          <w:sz w:val="22"/>
        </w:rPr>
        <w:t>/</w:t>
      </w:r>
      <w:r w:rsidR="00740DDB">
        <w:rPr>
          <w:rFonts w:cs="Times New Roman"/>
          <w:bCs/>
          <w:sz w:val="22"/>
        </w:rPr>
        <w:t>tracts</w:t>
      </w:r>
      <w:r w:rsidR="00B57933">
        <w:rPr>
          <w:rFonts w:cs="Times New Roman"/>
          <w:bCs/>
          <w:sz w:val="22"/>
        </w:rPr>
        <w:t xml:space="preserve"> by James Harrington (</w:t>
      </w:r>
      <w:proofErr w:type="spellStart"/>
      <w:r w:rsidR="005F5CBB">
        <w:rPr>
          <w:rFonts w:cs="Times New Roman"/>
          <w:bCs/>
          <w:i/>
          <w:sz w:val="22"/>
        </w:rPr>
        <w:t>Ocean</w:t>
      </w:r>
      <w:r w:rsidR="00B57933" w:rsidRPr="00A9741E">
        <w:rPr>
          <w:rFonts w:cs="Times New Roman"/>
          <w:bCs/>
          <w:i/>
          <w:sz w:val="22"/>
        </w:rPr>
        <w:t>a</w:t>
      </w:r>
      <w:proofErr w:type="spellEnd"/>
      <w:r w:rsidR="00A9741E">
        <w:rPr>
          <w:rFonts w:cs="Times New Roman"/>
          <w:bCs/>
          <w:sz w:val="22"/>
        </w:rPr>
        <w:t>/England)</w:t>
      </w:r>
      <w:r w:rsidR="00B57933">
        <w:rPr>
          <w:rFonts w:cs="Times New Roman"/>
          <w:bCs/>
          <w:sz w:val="22"/>
        </w:rPr>
        <w:t xml:space="preserve"> and </w:t>
      </w:r>
      <w:r w:rsidR="00A9741E">
        <w:rPr>
          <w:rFonts w:cs="Times New Roman"/>
          <w:bCs/>
          <w:sz w:val="22"/>
        </w:rPr>
        <w:t>Johan / Pieter de la Court (</w:t>
      </w:r>
      <w:r w:rsidR="00A9741E" w:rsidRPr="00A9741E">
        <w:rPr>
          <w:rFonts w:cs="Times New Roman"/>
          <w:bCs/>
          <w:i/>
          <w:sz w:val="22"/>
        </w:rPr>
        <w:t>Interest van Holland</w:t>
      </w:r>
      <w:r w:rsidR="00A9741E">
        <w:rPr>
          <w:rFonts w:cs="Times New Roman"/>
          <w:bCs/>
          <w:sz w:val="22"/>
        </w:rPr>
        <w:t xml:space="preserve">/Dutch Republic); </w:t>
      </w:r>
      <w:r w:rsidR="00740DDB">
        <w:rPr>
          <w:rFonts w:cs="Times New Roman"/>
          <w:bCs/>
          <w:sz w:val="22"/>
        </w:rPr>
        <w:t xml:space="preserve">Enlightenment </w:t>
      </w:r>
      <w:r>
        <w:rPr>
          <w:rFonts w:cs="Times New Roman"/>
          <w:bCs/>
          <w:sz w:val="22"/>
        </w:rPr>
        <w:t xml:space="preserve">calls for a separation of powers </w:t>
      </w:r>
      <w:r w:rsidR="00A9741E">
        <w:rPr>
          <w:rFonts w:cs="Times New Roman"/>
          <w:bCs/>
          <w:sz w:val="22"/>
        </w:rPr>
        <w:t>&amp;</w:t>
      </w:r>
      <w:r>
        <w:rPr>
          <w:rFonts w:cs="Times New Roman"/>
          <w:bCs/>
          <w:sz w:val="22"/>
        </w:rPr>
        <w:t xml:space="preserve"> adherence to ‘general will’ (Montesquieu, Rousseau).</w:t>
      </w:r>
    </w:p>
    <w:p w:rsidR="00653E8C" w:rsidRDefault="00653E8C" w:rsidP="00653E8C">
      <w:pPr>
        <w:pStyle w:val="ListParagraph"/>
        <w:autoSpaceDE w:val="0"/>
        <w:autoSpaceDN w:val="0"/>
        <w:adjustRightInd w:val="0"/>
        <w:ind w:left="1440"/>
        <w:rPr>
          <w:rFonts w:cs="Times New Roman"/>
          <w:bCs/>
          <w:sz w:val="22"/>
        </w:rPr>
      </w:pPr>
    </w:p>
    <w:p w:rsidR="00653E8C" w:rsidRDefault="00C61D9C" w:rsidP="00653E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E</w:t>
      </w:r>
      <w:r w:rsidR="009C3283">
        <w:rPr>
          <w:rFonts w:cs="Times New Roman"/>
          <w:bCs/>
          <w:sz w:val="22"/>
        </w:rPr>
        <w:t xml:space="preserve">arly modern </w:t>
      </w:r>
      <w:r w:rsidR="00653E8C">
        <w:rPr>
          <w:rFonts w:cs="Times New Roman"/>
          <w:bCs/>
          <w:sz w:val="22"/>
        </w:rPr>
        <w:t>Republic</w:t>
      </w:r>
      <w:r w:rsidR="009C3283">
        <w:rPr>
          <w:rFonts w:cs="Times New Roman"/>
          <w:bCs/>
          <w:sz w:val="22"/>
        </w:rPr>
        <w:t>s</w:t>
      </w:r>
    </w:p>
    <w:p w:rsidR="00653E8C" w:rsidRPr="00A45ABB" w:rsidRDefault="00DD2C8D" w:rsidP="00653E8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The </w:t>
      </w:r>
      <w:r w:rsidR="00A45ABB" w:rsidRPr="00A45ABB">
        <w:rPr>
          <w:rFonts w:cs="Times New Roman"/>
          <w:bCs/>
          <w:i/>
          <w:sz w:val="22"/>
        </w:rPr>
        <w:t>Dutch</w:t>
      </w:r>
      <w:r w:rsidR="00A45ABB" w:rsidRPr="00A45AB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i/>
          <w:sz w:val="22"/>
        </w:rPr>
        <w:t>Republic</w:t>
      </w:r>
      <w:r>
        <w:rPr>
          <w:rFonts w:cs="Times New Roman"/>
          <w:bCs/>
          <w:sz w:val="22"/>
        </w:rPr>
        <w:t xml:space="preserve"> wa</w:t>
      </w:r>
      <w:r w:rsidR="00A45ABB" w:rsidRPr="00A45ABB">
        <w:rPr>
          <w:rFonts w:cs="Times New Roman"/>
          <w:bCs/>
          <w:sz w:val="22"/>
        </w:rPr>
        <w:t>s h</w:t>
      </w:r>
      <w:r w:rsidR="00653E8C" w:rsidRPr="00A45ABB">
        <w:rPr>
          <w:rFonts w:cs="Times New Roman"/>
          <w:bCs/>
          <w:sz w:val="22"/>
        </w:rPr>
        <w:t>ighly urbanized and distinguished by (overseas) trade, (shipping) industry and commercialized agriculture; reluctant coexistence of Calvinist majority and Catholics. Aut</w:t>
      </w:r>
      <w:r>
        <w:rPr>
          <w:rFonts w:cs="Times New Roman"/>
          <w:bCs/>
          <w:sz w:val="22"/>
        </w:rPr>
        <w:t>horitarian Spanish rule triggered</w:t>
      </w:r>
      <w:r w:rsidR="00653E8C" w:rsidRPr="00A45ABB">
        <w:rPr>
          <w:rFonts w:cs="Times New Roman"/>
          <w:bCs/>
          <w:sz w:val="22"/>
        </w:rPr>
        <w:t xml:space="preserve"> military resistance </w:t>
      </w:r>
      <w:r>
        <w:rPr>
          <w:rFonts w:cs="Times New Roman"/>
          <w:bCs/>
          <w:sz w:val="22"/>
        </w:rPr>
        <w:t>&amp;</w:t>
      </w:r>
      <w:r w:rsidR="00653E8C" w:rsidRPr="00A45ABB">
        <w:rPr>
          <w:rFonts w:cs="Times New Roman"/>
          <w:bCs/>
          <w:sz w:val="22"/>
        </w:rPr>
        <w:t xml:space="preserve"> ultimately declaration of independence 1581; resulting government de-centralised, based on representative assemblies (States General) with princely figurehead (</w:t>
      </w:r>
      <w:r w:rsidR="00653E8C" w:rsidRPr="00A45ABB">
        <w:rPr>
          <w:rFonts w:cs="Times New Roman"/>
          <w:bCs/>
          <w:i/>
          <w:sz w:val="22"/>
        </w:rPr>
        <w:t>stadholders</w:t>
      </w:r>
      <w:r w:rsidR="00653E8C" w:rsidRPr="00A45ABB">
        <w:rPr>
          <w:rFonts w:cs="Times New Roman"/>
          <w:bCs/>
          <w:sz w:val="22"/>
        </w:rPr>
        <w:t>/House of Orange). Relatively tolerant and ‘middling’ culture, with urban patrons; large print industry, extensive art market catering to mass demand for ‘moralistic’ everyday scenes.</w:t>
      </w:r>
      <w:r w:rsidR="00A45ABB" w:rsidRPr="00A45ABB">
        <w:rPr>
          <w:rFonts w:cs="Times New Roman"/>
          <w:bCs/>
          <w:sz w:val="22"/>
        </w:rPr>
        <w:t xml:space="preserve"> </w:t>
      </w:r>
      <w:r w:rsidR="00653E8C" w:rsidRPr="00A45ABB">
        <w:rPr>
          <w:rFonts w:cs="Times New Roman"/>
          <w:bCs/>
          <w:sz w:val="22"/>
        </w:rPr>
        <w:t xml:space="preserve">Meteoric rise in 17thC linked to colonial expansion, trading wealth, </w:t>
      </w:r>
      <w:proofErr w:type="spellStart"/>
      <w:r w:rsidR="00653E8C" w:rsidRPr="00A45ABB">
        <w:rPr>
          <w:rFonts w:cs="Times New Roman"/>
          <w:bCs/>
          <w:i/>
          <w:sz w:val="22"/>
        </w:rPr>
        <w:t>entrepôt</w:t>
      </w:r>
      <w:proofErr w:type="spellEnd"/>
      <w:r w:rsidR="00653E8C" w:rsidRPr="00A45ABB">
        <w:rPr>
          <w:rFonts w:cs="Times New Roman"/>
          <w:bCs/>
          <w:sz w:val="22"/>
        </w:rPr>
        <w:t xml:space="preserve"> services and military innovation/naval power.</w:t>
      </w:r>
    </w:p>
    <w:p w:rsidR="00A45ABB" w:rsidRDefault="00653E8C" w:rsidP="00653E8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In comparison, the </w:t>
      </w:r>
      <w:r w:rsidRPr="00A45ABB">
        <w:rPr>
          <w:rFonts w:cs="Times New Roman"/>
          <w:bCs/>
          <w:i/>
          <w:sz w:val="22"/>
        </w:rPr>
        <w:t>Swiss</w:t>
      </w:r>
      <w:r>
        <w:rPr>
          <w:rFonts w:cs="Times New Roman"/>
          <w:bCs/>
          <w:sz w:val="22"/>
        </w:rPr>
        <w:t xml:space="preserve"> </w:t>
      </w:r>
      <w:r w:rsidRPr="00DD2C8D">
        <w:rPr>
          <w:rFonts w:cs="Times New Roman"/>
          <w:bCs/>
          <w:i/>
          <w:sz w:val="22"/>
        </w:rPr>
        <w:t>Confederation</w:t>
      </w:r>
      <w:r>
        <w:rPr>
          <w:rFonts w:cs="Times New Roman"/>
          <w:bCs/>
          <w:sz w:val="22"/>
        </w:rPr>
        <w:t xml:space="preserve"> had a stronger rural component and more </w:t>
      </w:r>
      <w:r w:rsidR="00334990">
        <w:rPr>
          <w:rFonts w:cs="Times New Roman"/>
          <w:bCs/>
          <w:sz w:val="22"/>
        </w:rPr>
        <w:t>agricultural character; o</w:t>
      </w:r>
      <w:r>
        <w:rPr>
          <w:rFonts w:cs="Times New Roman"/>
          <w:bCs/>
          <w:sz w:val="22"/>
        </w:rPr>
        <w:t xml:space="preserve">fficially bi-confessional </w:t>
      </w:r>
      <w:r w:rsidR="00A45ABB">
        <w:rPr>
          <w:rFonts w:cs="Times New Roman"/>
          <w:bCs/>
          <w:sz w:val="22"/>
        </w:rPr>
        <w:t>(since Kappel Peace</w:t>
      </w:r>
      <w:r w:rsidR="00334990">
        <w:rPr>
          <w:rFonts w:cs="Times New Roman"/>
          <w:bCs/>
          <w:sz w:val="22"/>
        </w:rPr>
        <w:t xml:space="preserve"> 1531), it</w:t>
      </w:r>
      <w:bookmarkStart w:id="0" w:name="_GoBack"/>
      <w:bookmarkEnd w:id="0"/>
      <w:r>
        <w:rPr>
          <w:rFonts w:cs="Times New Roman"/>
          <w:bCs/>
          <w:sz w:val="22"/>
        </w:rPr>
        <w:t xml:space="preserve"> stayed neutral in military conflicts (often fought with Swiss mercenaries)</w:t>
      </w:r>
      <w:r w:rsidR="00740DDB">
        <w:rPr>
          <w:rFonts w:cs="Times New Roman"/>
          <w:bCs/>
          <w:sz w:val="22"/>
        </w:rPr>
        <w:t>; operates</w:t>
      </w:r>
      <w:r>
        <w:rPr>
          <w:rFonts w:cs="Times New Roman"/>
          <w:bCs/>
          <w:sz w:val="22"/>
        </w:rPr>
        <w:t xml:space="preserve"> </w:t>
      </w:r>
      <w:r w:rsidR="00740DDB">
        <w:rPr>
          <w:rFonts w:cs="Times New Roman"/>
          <w:bCs/>
          <w:sz w:val="22"/>
        </w:rPr>
        <w:t xml:space="preserve">a (weak) diet, but </w:t>
      </w:r>
      <w:r>
        <w:rPr>
          <w:rFonts w:cs="Times New Roman"/>
          <w:bCs/>
          <w:sz w:val="22"/>
        </w:rPr>
        <w:t>no princely court.</w:t>
      </w:r>
      <w:r w:rsidR="009C3283">
        <w:rPr>
          <w:rFonts w:cs="Times New Roman"/>
          <w:bCs/>
          <w:sz w:val="22"/>
        </w:rPr>
        <w:t xml:space="preserve"> </w:t>
      </w:r>
    </w:p>
    <w:p w:rsidR="00653E8C" w:rsidRDefault="009C3283" w:rsidP="00653E8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 w:rsidRPr="00A45ABB">
        <w:rPr>
          <w:rFonts w:cs="Times New Roman"/>
          <w:bCs/>
          <w:i/>
          <w:sz w:val="22"/>
        </w:rPr>
        <w:t>Venice</w:t>
      </w:r>
      <w:r>
        <w:rPr>
          <w:rFonts w:cs="Times New Roman"/>
          <w:bCs/>
          <w:sz w:val="22"/>
        </w:rPr>
        <w:t xml:space="preserve"> </w:t>
      </w:r>
      <w:r w:rsidR="00740DDB">
        <w:rPr>
          <w:rFonts w:cs="Times New Roman"/>
          <w:bCs/>
          <w:sz w:val="22"/>
        </w:rPr>
        <w:t>practiced</w:t>
      </w:r>
      <w:r>
        <w:rPr>
          <w:rFonts w:cs="Times New Roman"/>
          <w:bCs/>
          <w:sz w:val="22"/>
        </w:rPr>
        <w:t xml:space="preserve"> a mixed form of government with ‘monarchical’</w:t>
      </w:r>
      <w:r w:rsidR="00A45ABB">
        <w:rPr>
          <w:rFonts w:cs="Times New Roman"/>
          <w:bCs/>
          <w:sz w:val="22"/>
        </w:rPr>
        <w:t xml:space="preserve"> (Doge)</w:t>
      </w:r>
      <w:r>
        <w:rPr>
          <w:rFonts w:cs="Times New Roman"/>
          <w:bCs/>
          <w:sz w:val="22"/>
        </w:rPr>
        <w:t xml:space="preserve">, aristocratic </w:t>
      </w:r>
      <w:r w:rsidR="00A45ABB">
        <w:rPr>
          <w:rFonts w:cs="Times New Roman"/>
          <w:bCs/>
          <w:sz w:val="22"/>
        </w:rPr>
        <w:t xml:space="preserve">(Senate) </w:t>
      </w:r>
      <w:r w:rsidR="00740DDB">
        <w:rPr>
          <w:rFonts w:cs="Times New Roman"/>
          <w:bCs/>
          <w:sz w:val="22"/>
        </w:rPr>
        <w:t>&amp;</w:t>
      </w:r>
      <w:r>
        <w:rPr>
          <w:rFonts w:cs="Times New Roman"/>
          <w:bCs/>
          <w:sz w:val="22"/>
        </w:rPr>
        <w:t xml:space="preserve"> </w:t>
      </w:r>
      <w:r w:rsidR="001248BF">
        <w:rPr>
          <w:rFonts w:cs="Times New Roman"/>
          <w:bCs/>
          <w:sz w:val="22"/>
        </w:rPr>
        <w:t>‘democratic’</w:t>
      </w:r>
      <w:r>
        <w:rPr>
          <w:rFonts w:cs="Times New Roman"/>
          <w:bCs/>
          <w:sz w:val="22"/>
        </w:rPr>
        <w:t xml:space="preserve"> elements</w:t>
      </w:r>
      <w:r w:rsidR="00A45ABB">
        <w:rPr>
          <w:rFonts w:cs="Times New Roman"/>
          <w:bCs/>
          <w:sz w:val="22"/>
        </w:rPr>
        <w:t xml:space="preserve"> (</w:t>
      </w:r>
      <w:r w:rsidR="001248BF">
        <w:rPr>
          <w:rFonts w:cs="Times New Roman"/>
          <w:bCs/>
          <w:sz w:val="22"/>
        </w:rPr>
        <w:t xml:space="preserve">large council; </w:t>
      </w:r>
      <w:r w:rsidR="00A45ABB">
        <w:rPr>
          <w:rFonts w:cs="Times New Roman"/>
          <w:bCs/>
          <w:sz w:val="22"/>
        </w:rPr>
        <w:t xml:space="preserve">indirect </w:t>
      </w:r>
      <w:r w:rsidR="00740DDB">
        <w:rPr>
          <w:rFonts w:cs="Times New Roman"/>
          <w:bCs/>
          <w:sz w:val="22"/>
        </w:rPr>
        <w:t>role</w:t>
      </w:r>
      <w:r w:rsidR="00A45ABB">
        <w:rPr>
          <w:rFonts w:cs="Times New Roman"/>
          <w:bCs/>
          <w:sz w:val="22"/>
        </w:rPr>
        <w:t xml:space="preserve"> </w:t>
      </w:r>
      <w:r w:rsidR="00740DDB">
        <w:rPr>
          <w:rFonts w:cs="Times New Roman"/>
          <w:bCs/>
          <w:sz w:val="22"/>
        </w:rPr>
        <w:t>of popular need</w:t>
      </w:r>
      <w:r w:rsidR="00A45ABB">
        <w:rPr>
          <w:rFonts w:cs="Times New Roman"/>
          <w:bCs/>
          <w:sz w:val="22"/>
        </w:rPr>
        <w:t>/ discontent)</w:t>
      </w:r>
      <w:r>
        <w:rPr>
          <w:rFonts w:cs="Times New Roman"/>
          <w:bCs/>
          <w:sz w:val="22"/>
        </w:rPr>
        <w:t>.</w:t>
      </w:r>
    </w:p>
    <w:p w:rsidR="00DD2C8D" w:rsidRDefault="00DD2C8D" w:rsidP="00DD2C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 w:rsidRPr="00DD2C8D">
        <w:rPr>
          <w:rFonts w:cs="Times New Roman"/>
          <w:bCs/>
          <w:i/>
          <w:sz w:val="22"/>
        </w:rPr>
        <w:t>England</w:t>
      </w:r>
      <w:r>
        <w:rPr>
          <w:rFonts w:cs="Times New Roman"/>
          <w:bCs/>
          <w:sz w:val="22"/>
        </w:rPr>
        <w:t xml:space="preserve"> became a temporary republic in 1649, adopting its only written constitution in 1653.</w:t>
      </w:r>
    </w:p>
    <w:p w:rsidR="00653E8C" w:rsidRDefault="00653E8C" w:rsidP="00653E8C">
      <w:pPr>
        <w:pStyle w:val="ListParagraph"/>
        <w:autoSpaceDE w:val="0"/>
        <w:autoSpaceDN w:val="0"/>
        <w:adjustRightInd w:val="0"/>
        <w:rPr>
          <w:rFonts w:cs="Times New Roman"/>
          <w:bCs/>
          <w:sz w:val="22"/>
        </w:rPr>
      </w:pPr>
    </w:p>
    <w:p w:rsidR="00653E8C" w:rsidRDefault="00653E8C" w:rsidP="00653E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Historiographical perspectives</w:t>
      </w:r>
    </w:p>
    <w:p w:rsidR="00653E8C" w:rsidRDefault="00653E8C" w:rsidP="00653E8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Some historians stress intellectual </w:t>
      </w:r>
      <w:r w:rsidR="00A45ABB">
        <w:rPr>
          <w:rFonts w:cs="Times New Roman"/>
          <w:bCs/>
          <w:sz w:val="22"/>
        </w:rPr>
        <w:t>links</w:t>
      </w:r>
      <w:r>
        <w:rPr>
          <w:rFonts w:cs="Times New Roman"/>
          <w:bCs/>
          <w:sz w:val="22"/>
        </w:rPr>
        <w:t xml:space="preserve"> from Antiquity via Renaissance to Atlantic Revolutions (Pocock), others constitutional affinities between communal self-government and modern democratic regimes (</w:t>
      </w:r>
      <w:proofErr w:type="spellStart"/>
      <w:r>
        <w:rPr>
          <w:rFonts w:cs="Times New Roman"/>
          <w:bCs/>
          <w:sz w:val="22"/>
        </w:rPr>
        <w:t>Blickle</w:t>
      </w:r>
      <w:proofErr w:type="spellEnd"/>
      <w:r>
        <w:rPr>
          <w:rFonts w:cs="Times New Roman"/>
          <w:bCs/>
          <w:sz w:val="22"/>
        </w:rPr>
        <w:t xml:space="preserve">), </w:t>
      </w:r>
      <w:r w:rsidR="00DD2C8D">
        <w:rPr>
          <w:rFonts w:cs="Times New Roman"/>
          <w:bCs/>
          <w:sz w:val="22"/>
        </w:rPr>
        <w:t>recent work</w:t>
      </w:r>
      <w:r>
        <w:rPr>
          <w:rFonts w:cs="Times New Roman"/>
          <w:bCs/>
          <w:sz w:val="22"/>
        </w:rPr>
        <w:t xml:space="preserve"> </w:t>
      </w:r>
      <w:r w:rsidR="00DD2C8D">
        <w:rPr>
          <w:rFonts w:cs="Times New Roman"/>
          <w:bCs/>
          <w:sz w:val="22"/>
        </w:rPr>
        <w:t>(</w:t>
      </w:r>
      <w:proofErr w:type="spellStart"/>
      <w:r w:rsidR="00DD2C8D">
        <w:rPr>
          <w:rFonts w:cs="Times New Roman"/>
          <w:bCs/>
          <w:sz w:val="22"/>
        </w:rPr>
        <w:t>Maissen</w:t>
      </w:r>
      <w:proofErr w:type="spellEnd"/>
      <w:r w:rsidR="00DD2C8D">
        <w:rPr>
          <w:rFonts w:cs="Times New Roman"/>
          <w:bCs/>
          <w:sz w:val="22"/>
        </w:rPr>
        <w:t xml:space="preserve">) </w:t>
      </w:r>
      <w:r w:rsidR="00A45ABB">
        <w:rPr>
          <w:rFonts w:cs="Times New Roman"/>
          <w:bCs/>
          <w:sz w:val="22"/>
        </w:rPr>
        <w:t>relate</w:t>
      </w:r>
      <w:r w:rsidR="00DD2C8D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 xml:space="preserve"> growing republican self-consciousness and representation </w:t>
      </w:r>
      <w:r w:rsidR="00A45ABB">
        <w:rPr>
          <w:rFonts w:cs="Times New Roman"/>
          <w:bCs/>
          <w:sz w:val="22"/>
        </w:rPr>
        <w:t>to</w:t>
      </w:r>
      <w:r>
        <w:rPr>
          <w:rFonts w:cs="Times New Roman"/>
          <w:bCs/>
          <w:sz w:val="22"/>
        </w:rPr>
        <w:t xml:space="preserve"> need for status/legitimacy in system of sovereign states after Peace of Westphalia 1648.</w:t>
      </w:r>
      <w:r w:rsidR="00C61D9C" w:rsidRPr="00C61D9C">
        <w:rPr>
          <w:rFonts w:cs="Times New Roman"/>
          <w:bCs/>
          <w:sz w:val="22"/>
        </w:rPr>
        <w:t xml:space="preserve"> </w:t>
      </w:r>
      <w:r w:rsidR="00DD2C8D">
        <w:rPr>
          <w:rFonts w:cs="Times New Roman"/>
          <w:bCs/>
          <w:sz w:val="22"/>
        </w:rPr>
        <w:t>Much</w:t>
      </w:r>
      <w:r w:rsidR="00C61D9C">
        <w:rPr>
          <w:rFonts w:cs="Times New Roman"/>
          <w:bCs/>
          <w:sz w:val="22"/>
        </w:rPr>
        <w:t xml:space="preserve"> interest in symbolism (classical allusions/civic virtues).</w:t>
      </w:r>
    </w:p>
    <w:p w:rsidR="00653E8C" w:rsidRDefault="00653E8C" w:rsidP="00653E8C">
      <w:pPr>
        <w:autoSpaceDE w:val="0"/>
        <w:autoSpaceDN w:val="0"/>
        <w:adjustRightInd w:val="0"/>
        <w:ind w:left="360"/>
        <w:rPr>
          <w:rFonts w:cs="Times New Roman"/>
          <w:bCs/>
          <w:sz w:val="22"/>
        </w:rPr>
      </w:pPr>
    </w:p>
    <w:p w:rsidR="00653E8C" w:rsidRDefault="00653E8C" w:rsidP="00653E8C">
      <w:pPr>
        <w:autoSpaceDE w:val="0"/>
        <w:autoSpaceDN w:val="0"/>
        <w:adjustRightInd w:val="0"/>
        <w:ind w:left="36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Conclusion</w:t>
      </w:r>
    </w:p>
    <w:p w:rsidR="00653E8C" w:rsidRDefault="00653E8C" w:rsidP="00653E8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Early modern Europe was dominated by strong monarchies and Empires, but republican forms of government built on a long tradition and provided a viable alternative (in a variety of formats). Indirectly, at least, elements like regular elections, decentralised government and civic virtues formed precedents of modern democracy.</w:t>
      </w:r>
      <w:r w:rsidR="009C3283">
        <w:rPr>
          <w:rFonts w:cs="Times New Roman"/>
          <w:bCs/>
          <w:sz w:val="22"/>
        </w:rPr>
        <w:br/>
      </w:r>
    </w:p>
    <w:p w:rsidR="00653E8C" w:rsidRDefault="00653E8C" w:rsidP="00653E8C">
      <w:pPr>
        <w:autoSpaceDE w:val="0"/>
        <w:autoSpaceDN w:val="0"/>
        <w:adjustRightInd w:val="0"/>
        <w:ind w:left="720" w:hanging="720"/>
        <w:rPr>
          <w:rFonts w:cs="Times New Roman"/>
          <w:bCs/>
          <w:sz w:val="20"/>
          <w:szCs w:val="20"/>
        </w:rPr>
      </w:pPr>
      <w:proofErr w:type="spellStart"/>
      <w:r w:rsidRPr="00357955">
        <w:rPr>
          <w:rFonts w:cs="Times New Roman"/>
          <w:bCs/>
          <w:sz w:val="20"/>
          <w:szCs w:val="20"/>
        </w:rPr>
        <w:t>Holenstein</w:t>
      </w:r>
      <w:proofErr w:type="spellEnd"/>
      <w:r w:rsidRPr="00357955">
        <w:rPr>
          <w:rFonts w:cs="Times New Roman"/>
          <w:bCs/>
          <w:sz w:val="20"/>
          <w:szCs w:val="20"/>
        </w:rPr>
        <w:t xml:space="preserve">, A., Prak, M. and </w:t>
      </w:r>
      <w:proofErr w:type="spellStart"/>
      <w:r w:rsidRPr="00357955">
        <w:rPr>
          <w:rFonts w:cs="Times New Roman"/>
          <w:bCs/>
          <w:sz w:val="20"/>
          <w:szCs w:val="20"/>
        </w:rPr>
        <w:t>Maissen</w:t>
      </w:r>
      <w:proofErr w:type="spellEnd"/>
      <w:r w:rsidRPr="00357955">
        <w:rPr>
          <w:rFonts w:cs="Times New Roman"/>
          <w:bCs/>
          <w:sz w:val="20"/>
          <w:szCs w:val="20"/>
        </w:rPr>
        <w:t>, Th.</w:t>
      </w:r>
      <w:r w:rsidRPr="00357955">
        <w:rPr>
          <w:rFonts w:cs="Times New Roman"/>
          <w:sz w:val="20"/>
          <w:szCs w:val="20"/>
        </w:rPr>
        <w:t xml:space="preserve"> </w:t>
      </w:r>
      <w:r w:rsidRPr="00357955">
        <w:rPr>
          <w:rFonts w:cs="Times New Roman"/>
          <w:bCs/>
          <w:i/>
          <w:iCs/>
          <w:sz w:val="20"/>
          <w:szCs w:val="20"/>
        </w:rPr>
        <w:t>(</w:t>
      </w:r>
      <w:proofErr w:type="spellStart"/>
      <w:r w:rsidRPr="00357955">
        <w:rPr>
          <w:rFonts w:cs="Times New Roman"/>
          <w:bCs/>
          <w:i/>
          <w:iCs/>
          <w:sz w:val="20"/>
          <w:szCs w:val="20"/>
        </w:rPr>
        <w:t>eds</w:t>
      </w:r>
      <w:proofErr w:type="spellEnd"/>
      <w:r w:rsidRPr="00357955">
        <w:rPr>
          <w:rFonts w:cs="Times New Roman"/>
          <w:bCs/>
          <w:i/>
          <w:iCs/>
          <w:sz w:val="20"/>
          <w:szCs w:val="20"/>
        </w:rPr>
        <w:t>), The Republican Alte</w:t>
      </w:r>
      <w:r>
        <w:rPr>
          <w:rFonts w:cs="Times New Roman"/>
          <w:bCs/>
          <w:i/>
          <w:iCs/>
          <w:sz w:val="20"/>
          <w:szCs w:val="20"/>
        </w:rPr>
        <w:t>rn</w:t>
      </w:r>
      <w:r w:rsidRPr="00357955">
        <w:rPr>
          <w:rFonts w:cs="Times New Roman"/>
          <w:bCs/>
          <w:i/>
          <w:iCs/>
          <w:sz w:val="20"/>
          <w:szCs w:val="20"/>
        </w:rPr>
        <w:t xml:space="preserve">ative: The Netherlands and Switzerland Compared </w:t>
      </w:r>
      <w:r w:rsidRPr="00357955">
        <w:rPr>
          <w:rFonts w:cs="Times New Roman"/>
          <w:bCs/>
          <w:iCs/>
          <w:sz w:val="20"/>
          <w:szCs w:val="20"/>
        </w:rPr>
        <w:t>(Amst</w:t>
      </w:r>
      <w:r>
        <w:rPr>
          <w:rFonts w:cs="Times New Roman"/>
          <w:bCs/>
          <w:iCs/>
          <w:sz w:val="20"/>
          <w:szCs w:val="20"/>
        </w:rPr>
        <w:t>er</w:t>
      </w:r>
      <w:r w:rsidRPr="00357955">
        <w:rPr>
          <w:rFonts w:cs="Times New Roman"/>
          <w:bCs/>
          <w:iCs/>
          <w:sz w:val="20"/>
          <w:szCs w:val="20"/>
        </w:rPr>
        <w:t>dam,</w:t>
      </w:r>
      <w:r w:rsidRPr="00357955">
        <w:rPr>
          <w:rFonts w:cs="Times New Roman"/>
          <w:bCs/>
          <w:i/>
          <w:iCs/>
          <w:sz w:val="20"/>
          <w:szCs w:val="20"/>
        </w:rPr>
        <w:t xml:space="preserve"> </w:t>
      </w:r>
      <w:r w:rsidRPr="00357955">
        <w:rPr>
          <w:rFonts w:cs="Times New Roman"/>
          <w:bCs/>
          <w:sz w:val="20"/>
          <w:szCs w:val="20"/>
        </w:rPr>
        <w:t>2008)</w:t>
      </w:r>
      <w:r>
        <w:rPr>
          <w:rFonts w:cs="Times New Roman"/>
          <w:bCs/>
          <w:sz w:val="20"/>
          <w:szCs w:val="20"/>
        </w:rPr>
        <w:t xml:space="preserve">; </w:t>
      </w:r>
    </w:p>
    <w:p w:rsidR="00004557" w:rsidRDefault="00653E8C" w:rsidP="00653E8C">
      <w:pPr>
        <w:autoSpaceDE w:val="0"/>
        <w:autoSpaceDN w:val="0"/>
        <w:adjustRightInd w:val="0"/>
        <w:ind w:left="720" w:hanging="720"/>
      </w:pPr>
      <w:r w:rsidRPr="00357955">
        <w:rPr>
          <w:rFonts w:cs="Times New Roman"/>
          <w:bCs/>
          <w:sz w:val="20"/>
          <w:szCs w:val="20"/>
        </w:rPr>
        <w:t xml:space="preserve">Pocock, J.G.A., </w:t>
      </w:r>
      <w:r w:rsidRPr="00131434">
        <w:rPr>
          <w:rFonts w:cs="Times New Roman"/>
          <w:bCs/>
          <w:i/>
          <w:sz w:val="20"/>
          <w:szCs w:val="20"/>
        </w:rPr>
        <w:t>The Machiavellian Moment: Florentine Political Thought and the Atlantic Republican Tradition</w:t>
      </w:r>
      <w:r w:rsidRPr="00357955">
        <w:rPr>
          <w:rFonts w:cs="Times New Roman"/>
          <w:bCs/>
          <w:sz w:val="20"/>
          <w:szCs w:val="20"/>
        </w:rPr>
        <w:t xml:space="preserve"> (1973)</w:t>
      </w:r>
    </w:p>
    <w:sectPr w:rsidR="00004557" w:rsidSect="009C328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93F"/>
    <w:multiLevelType w:val="hybridMultilevel"/>
    <w:tmpl w:val="6B10A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8C"/>
    <w:rsid w:val="00004557"/>
    <w:rsid w:val="000A10BF"/>
    <w:rsid w:val="000D2FD5"/>
    <w:rsid w:val="00123F84"/>
    <w:rsid w:val="001248BF"/>
    <w:rsid w:val="001B06CF"/>
    <w:rsid w:val="00207185"/>
    <w:rsid w:val="00225333"/>
    <w:rsid w:val="002535F6"/>
    <w:rsid w:val="00334990"/>
    <w:rsid w:val="004223B3"/>
    <w:rsid w:val="00441327"/>
    <w:rsid w:val="00453214"/>
    <w:rsid w:val="00461C32"/>
    <w:rsid w:val="004B266B"/>
    <w:rsid w:val="004D28AB"/>
    <w:rsid w:val="005B3B7A"/>
    <w:rsid w:val="005F2932"/>
    <w:rsid w:val="005F5CBB"/>
    <w:rsid w:val="00631C0B"/>
    <w:rsid w:val="006343E8"/>
    <w:rsid w:val="00653E8C"/>
    <w:rsid w:val="006925AB"/>
    <w:rsid w:val="006A211E"/>
    <w:rsid w:val="00740DDB"/>
    <w:rsid w:val="00774E1C"/>
    <w:rsid w:val="007F5BBE"/>
    <w:rsid w:val="00932C24"/>
    <w:rsid w:val="009565C0"/>
    <w:rsid w:val="0098454B"/>
    <w:rsid w:val="009C3283"/>
    <w:rsid w:val="00A10C14"/>
    <w:rsid w:val="00A32E94"/>
    <w:rsid w:val="00A45ABB"/>
    <w:rsid w:val="00A924BA"/>
    <w:rsid w:val="00A9741E"/>
    <w:rsid w:val="00B36E52"/>
    <w:rsid w:val="00B57933"/>
    <w:rsid w:val="00C61D9C"/>
    <w:rsid w:val="00DD2C8D"/>
    <w:rsid w:val="00EB36EE"/>
    <w:rsid w:val="00EF694B"/>
    <w:rsid w:val="00F4123B"/>
    <w:rsid w:val="00F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A450"/>
  <w15:docId w15:val="{A2D90247-DB64-4009-A818-81D099AC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E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hyscd</dc:creator>
  <cp:lastModifiedBy>Beat</cp:lastModifiedBy>
  <cp:revision>2</cp:revision>
  <cp:lastPrinted>2015-02-18T09:10:00Z</cp:lastPrinted>
  <dcterms:created xsi:type="dcterms:W3CDTF">2019-01-07T19:11:00Z</dcterms:created>
  <dcterms:modified xsi:type="dcterms:W3CDTF">2019-01-07T19:11:00Z</dcterms:modified>
</cp:coreProperties>
</file>